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2E83B" w14:textId="4418B78F" w:rsidR="00DC3365" w:rsidRDefault="001E1AF1" w:rsidP="007728CB">
      <w:pPr>
        <w:tabs>
          <w:tab w:val="left" w:pos="2629"/>
        </w:tabs>
        <w:spacing w:after="0"/>
        <w:rPr>
          <w:rFonts w:ascii="Times New Roman" w:hAnsi="Times New Roman"/>
          <w:sz w:val="72"/>
          <w:szCs w:val="72"/>
        </w:rPr>
      </w:pPr>
      <w:bookmarkStart w:id="0" w:name="_Toc438661954"/>
      <w:r>
        <w:rPr>
          <w:rFonts w:ascii="Times New Roman" w:hAnsi="Times New Roman"/>
          <w:noProof/>
          <w:sz w:val="72"/>
          <w:szCs w:val="72"/>
        </w:rPr>
        <w:drawing>
          <wp:inline distT="0" distB="0" distL="0" distR="0" wp14:anchorId="10CC178D" wp14:editId="5C509245">
            <wp:extent cx="5935287" cy="7680959"/>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287" cy="7680959"/>
                    </a:xfrm>
                    <a:prstGeom prst="rect">
                      <a:avLst/>
                    </a:prstGeom>
                    <a:noFill/>
                    <a:ln>
                      <a:noFill/>
                    </a:ln>
                  </pic:spPr>
                </pic:pic>
              </a:graphicData>
            </a:graphic>
          </wp:inline>
        </w:drawing>
      </w:r>
      <w:bookmarkEnd w:id="0"/>
    </w:p>
    <w:p w14:paraId="59BE4B6A" w14:textId="77777777" w:rsidR="007728CB" w:rsidRDefault="007728CB" w:rsidP="007728CB">
      <w:pPr>
        <w:pStyle w:val="0-NORMAL"/>
        <w:ind w:firstLine="0"/>
        <w:jc w:val="center"/>
        <w:rPr>
          <w:rStyle w:val="Strong"/>
          <w:b w:val="0"/>
          <w:bCs w:val="0"/>
          <w:sz w:val="72"/>
          <w:szCs w:val="72"/>
        </w:rPr>
      </w:pPr>
      <w:r w:rsidRPr="00F47066">
        <w:rPr>
          <w:rStyle w:val="Strong"/>
          <w:b w:val="0"/>
          <w:bCs w:val="0"/>
          <w:sz w:val="72"/>
          <w:szCs w:val="72"/>
        </w:rPr>
        <w:lastRenderedPageBreak/>
        <w:t>BANKRUPTCY LAW</w:t>
      </w:r>
      <w:bookmarkStart w:id="1" w:name="_Toc438661955"/>
    </w:p>
    <w:p w14:paraId="3DE15554" w14:textId="77777777" w:rsidR="007728CB" w:rsidRDefault="007728CB" w:rsidP="007728CB">
      <w:pPr>
        <w:pStyle w:val="0-NORMAL"/>
        <w:ind w:firstLine="0"/>
        <w:jc w:val="center"/>
        <w:rPr>
          <w:rStyle w:val="Strong"/>
          <w:b w:val="0"/>
          <w:bCs w:val="0"/>
          <w:sz w:val="72"/>
          <w:szCs w:val="72"/>
        </w:rPr>
      </w:pPr>
      <w:r w:rsidRPr="00F47066">
        <w:rPr>
          <w:rStyle w:val="Strong"/>
          <w:b w:val="0"/>
          <w:bCs w:val="0"/>
          <w:sz w:val="72"/>
          <w:szCs w:val="72"/>
        </w:rPr>
        <w:t>AND PRACTICE</w:t>
      </w:r>
      <w:bookmarkStart w:id="2" w:name="_Toc438661956"/>
      <w:bookmarkEnd w:id="1"/>
    </w:p>
    <w:p w14:paraId="18374FA1" w14:textId="77777777" w:rsidR="007728CB" w:rsidRDefault="007728CB" w:rsidP="007728CB">
      <w:pPr>
        <w:pStyle w:val="0-NORMAL"/>
        <w:ind w:firstLine="0"/>
        <w:jc w:val="center"/>
        <w:rPr>
          <w:rStyle w:val="Strong"/>
          <w:b w:val="0"/>
          <w:bCs w:val="0"/>
          <w:sz w:val="72"/>
          <w:szCs w:val="72"/>
        </w:rPr>
      </w:pPr>
    </w:p>
    <w:p w14:paraId="610337F4" w14:textId="77777777" w:rsidR="007728CB" w:rsidRDefault="007728CB" w:rsidP="007728CB">
      <w:pPr>
        <w:pStyle w:val="0-NORMAL"/>
        <w:ind w:firstLine="0"/>
        <w:jc w:val="center"/>
        <w:rPr>
          <w:rStyle w:val="Strong"/>
          <w:b w:val="0"/>
          <w:bCs w:val="0"/>
          <w:sz w:val="72"/>
          <w:szCs w:val="72"/>
        </w:rPr>
      </w:pPr>
    </w:p>
    <w:p w14:paraId="0C31D9C5" w14:textId="77777777" w:rsidR="007728CB" w:rsidRDefault="00E70BDC" w:rsidP="007728CB">
      <w:pPr>
        <w:pStyle w:val="0-NORMAL"/>
        <w:ind w:firstLine="0"/>
        <w:jc w:val="center"/>
        <w:rPr>
          <w:rStyle w:val="Strong"/>
          <w:b w:val="0"/>
          <w:bCs w:val="0"/>
          <w:sz w:val="72"/>
          <w:szCs w:val="72"/>
        </w:rPr>
      </w:pPr>
      <w:r w:rsidRPr="00F47066">
        <w:rPr>
          <w:rStyle w:val="Strong"/>
          <w:sz w:val="44"/>
          <w:szCs w:val="44"/>
        </w:rPr>
        <w:t>A C</w:t>
      </w:r>
      <w:r w:rsidR="00DC3365" w:rsidRPr="00F47066">
        <w:rPr>
          <w:rStyle w:val="Strong"/>
          <w:sz w:val="44"/>
          <w:szCs w:val="44"/>
        </w:rPr>
        <w:t>asebook Designed to</w:t>
      </w:r>
      <w:bookmarkStart w:id="3" w:name="_Toc438661957"/>
      <w:bookmarkEnd w:id="2"/>
    </w:p>
    <w:p w14:paraId="34A067E9" w14:textId="77777777" w:rsidR="007728CB" w:rsidRDefault="00DC3365" w:rsidP="007728CB">
      <w:pPr>
        <w:pStyle w:val="0-NORMAL"/>
        <w:ind w:firstLine="0"/>
        <w:jc w:val="center"/>
        <w:rPr>
          <w:rStyle w:val="Strong"/>
          <w:b w:val="0"/>
          <w:bCs w:val="0"/>
          <w:sz w:val="72"/>
          <w:szCs w:val="72"/>
        </w:rPr>
      </w:pPr>
      <w:r w:rsidRPr="00F47066">
        <w:rPr>
          <w:rStyle w:val="Strong"/>
          <w:sz w:val="44"/>
          <w:szCs w:val="44"/>
        </w:rPr>
        <w:t>Train Lawyers for the</w:t>
      </w:r>
      <w:bookmarkStart w:id="4" w:name="_Toc438661958"/>
      <w:bookmarkEnd w:id="3"/>
    </w:p>
    <w:p w14:paraId="0B8CB87E" w14:textId="77777777" w:rsidR="007728CB" w:rsidRDefault="00DC3365" w:rsidP="007728CB">
      <w:pPr>
        <w:pStyle w:val="0-NORMAL"/>
        <w:ind w:firstLine="0"/>
        <w:jc w:val="center"/>
        <w:rPr>
          <w:rStyle w:val="Strong"/>
          <w:b w:val="0"/>
          <w:bCs w:val="0"/>
          <w:sz w:val="72"/>
          <w:szCs w:val="72"/>
        </w:rPr>
      </w:pPr>
      <w:r w:rsidRPr="00F47066">
        <w:rPr>
          <w:rStyle w:val="Strong"/>
          <w:sz w:val="44"/>
          <w:szCs w:val="44"/>
        </w:rPr>
        <w:t>Practice of Bankruptcy Law</w:t>
      </w:r>
      <w:bookmarkEnd w:id="4"/>
    </w:p>
    <w:p w14:paraId="2ED63BCE" w14:textId="77777777" w:rsidR="007728CB" w:rsidRDefault="00EC71CB" w:rsidP="007728CB">
      <w:pPr>
        <w:pStyle w:val="0-NORMAL"/>
        <w:ind w:firstLine="0"/>
        <w:jc w:val="center"/>
        <w:rPr>
          <w:rStyle w:val="Strong"/>
          <w:b w:val="0"/>
          <w:bCs w:val="0"/>
          <w:sz w:val="72"/>
          <w:szCs w:val="72"/>
        </w:rPr>
      </w:pPr>
      <w:r>
        <w:rPr>
          <w:rStyle w:val="Strong"/>
          <w:sz w:val="44"/>
          <w:szCs w:val="44"/>
        </w:rPr>
        <w:t xml:space="preserve">Fourth </w:t>
      </w:r>
      <w:r w:rsidR="00AB338E">
        <w:rPr>
          <w:rStyle w:val="Strong"/>
          <w:sz w:val="44"/>
          <w:szCs w:val="44"/>
        </w:rPr>
        <w:t>Edition</w:t>
      </w:r>
    </w:p>
    <w:p w14:paraId="536310EA" w14:textId="77777777" w:rsidR="007728CB" w:rsidRDefault="007728CB" w:rsidP="007728CB">
      <w:pPr>
        <w:pStyle w:val="0-NORMAL"/>
        <w:ind w:firstLine="0"/>
        <w:jc w:val="center"/>
        <w:rPr>
          <w:rStyle w:val="Strong"/>
          <w:b w:val="0"/>
          <w:bCs w:val="0"/>
          <w:sz w:val="72"/>
          <w:szCs w:val="72"/>
        </w:rPr>
      </w:pPr>
    </w:p>
    <w:p w14:paraId="2681831D"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__________</w:t>
      </w:r>
      <w:r w:rsidR="007728CB">
        <w:rPr>
          <w:rStyle w:val="Strong"/>
          <w:b w:val="0"/>
          <w:bCs w:val="0"/>
          <w:sz w:val="72"/>
          <w:szCs w:val="72"/>
        </w:rPr>
        <w:br/>
      </w:r>
    </w:p>
    <w:p w14:paraId="3267CA7D"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Gregory Germain</w:t>
      </w:r>
    </w:p>
    <w:p w14:paraId="3D2C6F52" w14:textId="77777777" w:rsid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Professor of Law</w:t>
      </w:r>
    </w:p>
    <w:p w14:paraId="22E861AE" w14:textId="0DBD95E7" w:rsidR="00F92B5B" w:rsidRPr="007728CB" w:rsidRDefault="00F92B5B" w:rsidP="007728CB">
      <w:pPr>
        <w:pStyle w:val="0-NORMAL"/>
        <w:ind w:firstLine="0"/>
        <w:jc w:val="center"/>
        <w:rPr>
          <w:rStyle w:val="Strong"/>
          <w:b w:val="0"/>
          <w:bCs w:val="0"/>
          <w:sz w:val="72"/>
          <w:szCs w:val="72"/>
        </w:rPr>
      </w:pPr>
      <w:r w:rsidRPr="00F92B5B">
        <w:rPr>
          <w:rStyle w:val="Strong"/>
          <w:rFonts w:ascii="Arial" w:hAnsi="Arial" w:cs="Arial"/>
          <w:b w:val="0"/>
          <w:bCs w:val="0"/>
          <w:sz w:val="36"/>
          <w:szCs w:val="36"/>
        </w:rPr>
        <w:t>Syracuse University College of Law</w:t>
      </w:r>
    </w:p>
    <w:p w14:paraId="15AEEC34" w14:textId="77777777" w:rsidR="00E70BDC" w:rsidRDefault="00E70BDC" w:rsidP="00E70BDC">
      <w:pPr>
        <w:pStyle w:val="AuthorName"/>
      </w:pPr>
    </w:p>
    <w:p w14:paraId="2B1B5EA6" w14:textId="77777777" w:rsidR="002A31B6" w:rsidRDefault="002A31B6" w:rsidP="00F92B5B">
      <w:pPr>
        <w:pStyle w:val="AuthorName"/>
        <w:jc w:val="left"/>
      </w:pPr>
    </w:p>
    <w:p w14:paraId="24173C39" w14:textId="77777777" w:rsidR="00CC6A7A" w:rsidRDefault="00CC6A7A" w:rsidP="002A31B6">
      <w:pPr>
        <w:pStyle w:val="TitlePage-Author"/>
      </w:pPr>
    </w:p>
    <w:p w14:paraId="30F201C6" w14:textId="26F1A2BC" w:rsidR="002A31B6" w:rsidRDefault="002A31B6"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rsidRPr="002A31B6">
        <w:t>CALI eLangdell</w:t>
      </w:r>
      <w:r w:rsidR="00CC6A7A">
        <w:t>®</w:t>
      </w:r>
      <w:r w:rsidRPr="002A31B6">
        <w:t xml:space="preserve"> Press 20</w:t>
      </w:r>
      <w:r w:rsidR="00DC11E8">
        <w:t>2</w:t>
      </w:r>
      <w:r w:rsidR="009D63B8">
        <w:t>1</w:t>
      </w:r>
    </w:p>
    <w:p w14:paraId="1D128603" w14:textId="25947B69" w:rsidR="002A31B6" w:rsidRPr="00665BF4" w:rsidRDefault="002A31B6" w:rsidP="00CC6A7A">
      <w:pPr>
        <w:pStyle w:val="ITEM1"/>
        <w:numPr>
          <w:ilvl w:val="0"/>
          <w:numId w:val="0"/>
        </w:numPr>
      </w:pPr>
      <w:bookmarkStart w:id="5" w:name="_Toc79699039"/>
      <w:bookmarkStart w:id="6" w:name="_Toc79699365"/>
      <w:bookmarkStart w:id="7" w:name="_Toc79699703"/>
      <w:bookmarkStart w:id="8" w:name="_Toc79700023"/>
      <w:bookmarkStart w:id="9" w:name="_Toc79700345"/>
      <w:bookmarkStart w:id="10" w:name="_Toc87039122"/>
      <w:bookmarkStart w:id="11" w:name="_Toc90983518"/>
      <w:r w:rsidRPr="00665BF4">
        <w:lastRenderedPageBreak/>
        <w:t xml:space="preserve">About the </w:t>
      </w:r>
      <w:r w:rsidRPr="00F60E9B">
        <w:t>Author</w:t>
      </w:r>
      <w:bookmarkStart w:id="12" w:name="_Toc79689213"/>
      <w:bookmarkStart w:id="13" w:name="_Toc79692899"/>
      <w:bookmarkStart w:id="14" w:name="_Toc79693219"/>
      <w:bookmarkStart w:id="15" w:name="_Toc79693539"/>
      <w:bookmarkStart w:id="16" w:name="_Toc79696709"/>
      <w:bookmarkStart w:id="17" w:name="_Toc79697041"/>
      <w:bookmarkEnd w:id="5"/>
      <w:bookmarkEnd w:id="6"/>
      <w:bookmarkEnd w:id="7"/>
      <w:bookmarkEnd w:id="8"/>
      <w:bookmarkEnd w:id="9"/>
      <w:bookmarkEnd w:id="10"/>
      <w:bookmarkEnd w:id="11"/>
      <w:bookmarkEnd w:id="12"/>
      <w:bookmarkEnd w:id="13"/>
      <w:bookmarkEnd w:id="14"/>
      <w:bookmarkEnd w:id="15"/>
      <w:bookmarkEnd w:id="16"/>
      <w:bookmarkEnd w:id="17"/>
    </w:p>
    <w:p w14:paraId="5759DC9F" w14:textId="364147FF" w:rsidR="00956CF2" w:rsidRPr="00242670" w:rsidRDefault="00956CF2" w:rsidP="001720E0">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He also runs a pro bono bankruptcy program for first year law students, and a bankruptcy clini</w:t>
      </w:r>
      <w:r w:rsidR="00E42620">
        <w:rPr>
          <w:rFonts w:ascii="Times New Roman" w:hAnsi="Times New Roman"/>
        </w:rPr>
        <w:t xml:space="preserve">c for upper division students. </w:t>
      </w:r>
      <w:r w:rsidRPr="00242670">
        <w:rPr>
          <w:rFonts w:ascii="Times New Roman" w:hAnsi="Times New Roman"/>
        </w:rPr>
        <w:t>The clinic represents indigent individuals in bankruptcy cases.</w:t>
      </w:r>
    </w:p>
    <w:p w14:paraId="2A0B8890" w14:textId="6FBD7767" w:rsidR="00956CF2" w:rsidRPr="00AB338E" w:rsidRDefault="00956CF2" w:rsidP="00AB338E">
      <w:pPr>
        <w:ind w:firstLine="720"/>
        <w:jc w:val="both"/>
        <w:rPr>
          <w:rStyle w:val="Heading1Char"/>
          <w:rFonts w:ascii="Times New Roman" w:hAnsi="Times New Roman"/>
          <w:b w:val="0"/>
          <w:bCs w:val="0"/>
          <w:sz w:val="24"/>
          <w:szCs w:val="22"/>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r w:rsidR="00083478">
        <w:rPr>
          <w:rFonts w:ascii="Times New Roman" w:hAnsi="Times New Roman"/>
        </w:rPr>
        <w:t xml:space="preserve"> in 2001</w:t>
      </w:r>
      <w:r w:rsidRPr="00242670">
        <w:rPr>
          <w:rFonts w:ascii="Times New Roman" w:hAnsi="Times New Roman"/>
        </w:rPr>
        <w:t>.</w:t>
      </w:r>
    </w:p>
    <w:p w14:paraId="543B93F8" w14:textId="77777777" w:rsidR="00CC6A7A" w:rsidRDefault="00CC6A7A" w:rsidP="00CC6A7A">
      <w:pPr>
        <w:pStyle w:val="ITEM1"/>
        <w:numPr>
          <w:ilvl w:val="0"/>
          <w:numId w:val="0"/>
        </w:numPr>
      </w:pPr>
      <w:bookmarkStart w:id="18" w:name="_Toc79699040"/>
      <w:bookmarkStart w:id="19" w:name="_Toc79699366"/>
      <w:bookmarkStart w:id="20" w:name="_Toc79699704"/>
      <w:bookmarkStart w:id="21" w:name="_Toc79700024"/>
      <w:bookmarkStart w:id="22" w:name="_Toc79700346"/>
      <w:bookmarkStart w:id="23" w:name="_Toc87039123"/>
    </w:p>
    <w:p w14:paraId="35DB9052" w14:textId="77777777" w:rsidR="00CC6A7A" w:rsidRDefault="00CC6A7A" w:rsidP="00CC6A7A">
      <w:pPr>
        <w:pStyle w:val="ITEM1"/>
        <w:numPr>
          <w:ilvl w:val="0"/>
          <w:numId w:val="0"/>
        </w:numPr>
      </w:pPr>
    </w:p>
    <w:p w14:paraId="027FE9E7" w14:textId="77777777" w:rsidR="00CC6A7A" w:rsidRDefault="00CC6A7A" w:rsidP="00CC6A7A">
      <w:pPr>
        <w:pStyle w:val="ITEM1"/>
        <w:numPr>
          <w:ilvl w:val="0"/>
          <w:numId w:val="0"/>
        </w:numPr>
      </w:pPr>
    </w:p>
    <w:p w14:paraId="3F913DAC" w14:textId="77777777" w:rsidR="00CC6A7A" w:rsidRDefault="00CC6A7A" w:rsidP="00CC6A7A">
      <w:pPr>
        <w:pStyle w:val="ITEM1"/>
        <w:numPr>
          <w:ilvl w:val="0"/>
          <w:numId w:val="0"/>
        </w:numPr>
      </w:pPr>
    </w:p>
    <w:p w14:paraId="5C4055B0" w14:textId="77777777" w:rsidR="00CC6A7A" w:rsidRDefault="00CC6A7A" w:rsidP="00CC6A7A">
      <w:pPr>
        <w:pStyle w:val="ITEM1"/>
        <w:numPr>
          <w:ilvl w:val="0"/>
          <w:numId w:val="0"/>
        </w:numPr>
      </w:pPr>
    </w:p>
    <w:p w14:paraId="264EB17F" w14:textId="77777777" w:rsidR="00CC6A7A" w:rsidRDefault="00CC6A7A" w:rsidP="00CC6A7A">
      <w:pPr>
        <w:pStyle w:val="ITEM1"/>
        <w:numPr>
          <w:ilvl w:val="0"/>
          <w:numId w:val="0"/>
        </w:numPr>
      </w:pPr>
    </w:p>
    <w:p w14:paraId="6AE292AA" w14:textId="77777777" w:rsidR="00CC6A7A" w:rsidRDefault="00CC6A7A" w:rsidP="00CC6A7A">
      <w:pPr>
        <w:pStyle w:val="ITEM1"/>
        <w:numPr>
          <w:ilvl w:val="0"/>
          <w:numId w:val="0"/>
        </w:numPr>
      </w:pPr>
    </w:p>
    <w:p w14:paraId="4C5A96ED" w14:textId="77777777" w:rsidR="00CC6A7A" w:rsidRDefault="00CC6A7A" w:rsidP="00CC6A7A">
      <w:pPr>
        <w:pStyle w:val="ITEM1"/>
        <w:numPr>
          <w:ilvl w:val="0"/>
          <w:numId w:val="0"/>
        </w:numPr>
      </w:pPr>
    </w:p>
    <w:p w14:paraId="6834AEEF" w14:textId="77777777" w:rsidR="00CC6A7A" w:rsidRDefault="00CC6A7A" w:rsidP="00CC6A7A">
      <w:pPr>
        <w:pStyle w:val="ITEM1"/>
        <w:numPr>
          <w:ilvl w:val="0"/>
          <w:numId w:val="0"/>
        </w:numPr>
      </w:pPr>
    </w:p>
    <w:p w14:paraId="4032A547" w14:textId="77777777" w:rsidR="00CC6A7A" w:rsidRDefault="00CC6A7A" w:rsidP="00CC6A7A">
      <w:pPr>
        <w:pStyle w:val="ITEM1"/>
        <w:numPr>
          <w:ilvl w:val="0"/>
          <w:numId w:val="0"/>
        </w:numPr>
      </w:pPr>
    </w:p>
    <w:p w14:paraId="5787DABC" w14:textId="77777777" w:rsidR="00CC6A7A" w:rsidRDefault="00CC6A7A" w:rsidP="00CC6A7A">
      <w:pPr>
        <w:pStyle w:val="ITEM1"/>
        <w:numPr>
          <w:ilvl w:val="0"/>
          <w:numId w:val="0"/>
        </w:numPr>
      </w:pPr>
    </w:p>
    <w:p w14:paraId="3EA9C3A9" w14:textId="77777777" w:rsidR="00CC6A7A" w:rsidRDefault="00CC6A7A" w:rsidP="00CC6A7A">
      <w:pPr>
        <w:pStyle w:val="ITEM1"/>
        <w:numPr>
          <w:ilvl w:val="0"/>
          <w:numId w:val="0"/>
        </w:numPr>
      </w:pPr>
    </w:p>
    <w:p w14:paraId="24E6A5DF" w14:textId="77777777" w:rsidR="00CC6A7A" w:rsidRDefault="00CC6A7A" w:rsidP="00CC6A7A">
      <w:pPr>
        <w:pStyle w:val="ITEM1"/>
        <w:numPr>
          <w:ilvl w:val="0"/>
          <w:numId w:val="0"/>
        </w:numPr>
      </w:pPr>
    </w:p>
    <w:p w14:paraId="3278DAD6" w14:textId="77777777" w:rsidR="00CC6A7A" w:rsidRDefault="00CC6A7A" w:rsidP="00CC6A7A">
      <w:pPr>
        <w:pStyle w:val="ITEM1"/>
        <w:numPr>
          <w:ilvl w:val="0"/>
          <w:numId w:val="0"/>
        </w:numPr>
      </w:pPr>
    </w:p>
    <w:p w14:paraId="25766B71" w14:textId="77777777" w:rsidR="00CC6A7A" w:rsidRDefault="00CC6A7A" w:rsidP="00CC6A7A">
      <w:pPr>
        <w:pStyle w:val="ITEM1"/>
        <w:numPr>
          <w:ilvl w:val="0"/>
          <w:numId w:val="0"/>
        </w:numPr>
      </w:pPr>
    </w:p>
    <w:p w14:paraId="08095CC9" w14:textId="471E6D43" w:rsidR="00CC6A7A" w:rsidRDefault="00CC6A7A" w:rsidP="00CC6A7A">
      <w:pPr>
        <w:pStyle w:val="ITEM1"/>
        <w:numPr>
          <w:ilvl w:val="0"/>
          <w:numId w:val="0"/>
        </w:numPr>
      </w:pPr>
    </w:p>
    <w:p w14:paraId="75527BAD" w14:textId="77777777" w:rsidR="007B589E" w:rsidRDefault="007B589E" w:rsidP="00CC6A7A">
      <w:pPr>
        <w:pStyle w:val="ITEM1"/>
        <w:numPr>
          <w:ilvl w:val="0"/>
          <w:numId w:val="0"/>
        </w:numPr>
      </w:pPr>
    </w:p>
    <w:p w14:paraId="4055B861" w14:textId="0A1747DD" w:rsidR="00956CF2" w:rsidRDefault="00956CF2" w:rsidP="00CC6A7A">
      <w:pPr>
        <w:pStyle w:val="ITEM1"/>
        <w:numPr>
          <w:ilvl w:val="0"/>
          <w:numId w:val="0"/>
        </w:numPr>
      </w:pPr>
      <w:bookmarkStart w:id="24" w:name="_Toc90983519"/>
      <w:r w:rsidRPr="009A00A1">
        <w:lastRenderedPageBreak/>
        <w:t>Notices</w:t>
      </w:r>
      <w:bookmarkStart w:id="25" w:name="_Toc79687257"/>
      <w:bookmarkStart w:id="26" w:name="_Toc79687581"/>
      <w:bookmarkStart w:id="27" w:name="_Toc79687948"/>
      <w:bookmarkStart w:id="28" w:name="_Toc79688277"/>
      <w:bookmarkStart w:id="29" w:name="_Toc79689214"/>
      <w:bookmarkStart w:id="30" w:name="_Toc79692900"/>
      <w:bookmarkStart w:id="31" w:name="_Toc79693220"/>
      <w:bookmarkStart w:id="32" w:name="_Toc79693540"/>
      <w:bookmarkStart w:id="33" w:name="_Toc79696710"/>
      <w:bookmarkStart w:id="34" w:name="_Toc7969704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38F4A24" w14:textId="1AFAE012" w:rsidR="00956CF2" w:rsidRPr="00576ED7" w:rsidRDefault="00956CF2" w:rsidP="009A00A1">
      <w:pPr>
        <w:pStyle w:val="0-NORMAL"/>
      </w:pPr>
      <w:r w:rsidRPr="00576ED7">
        <w:t xml:space="preserve">This is the </w:t>
      </w:r>
      <w:r w:rsidR="009D63B8">
        <w:t>fourth</w:t>
      </w:r>
      <w:r w:rsidR="009A00A1">
        <w:t xml:space="preserve"> </w:t>
      </w:r>
      <w:r>
        <w:t>e</w:t>
      </w:r>
      <w:r w:rsidRPr="00576ED7">
        <w:t xml:space="preserve">dition of this casebook, updated </w:t>
      </w:r>
      <w:r w:rsidR="009D63B8">
        <w:t>December</w:t>
      </w:r>
      <w:r w:rsidR="009A00A1">
        <w:t xml:space="preserve"> 2021</w:t>
      </w:r>
      <w:r w:rsidRPr="00576ED7">
        <w:t xml:space="preserve">. Visit </w:t>
      </w:r>
      <w:hyperlink r:id="rId11" w:history="1">
        <w:r w:rsidRPr="001720E0">
          <w:rPr>
            <w:rStyle w:val="Hyperlink"/>
          </w:rPr>
          <w:t>http://elangdell.cali.org/</w:t>
        </w:r>
      </w:hyperlink>
      <w:r w:rsidRPr="00576ED7">
        <w:t xml:space="preserve"> for the latest version and for revision history.</w:t>
      </w:r>
    </w:p>
    <w:p w14:paraId="1B1C1169" w14:textId="147EBCFA"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001720E0" w:rsidRPr="00C619AA">
          <w:rPr>
            <w:rStyle w:val="Hyperlink"/>
            <w:rFonts w:ascii="Times New Roman" w:hAnsi="Times New Roman"/>
            <w:szCs w:val="24"/>
          </w:rPr>
          <w:t>feedback@cali.org</w:t>
        </w:r>
      </w:hyperlink>
      <w:r w:rsidRPr="00576ED7">
        <w:rPr>
          <w:rFonts w:ascii="Times New Roman" w:hAnsi="Times New Roman"/>
          <w:color w:val="auto"/>
          <w:szCs w:val="24"/>
        </w:rPr>
        <w:t>.</w:t>
      </w:r>
    </w:p>
    <w:p w14:paraId="1ED4A3D1" w14:textId="77777777" w:rsidR="00956CF2" w:rsidRPr="00576ED7" w:rsidRDefault="00956CF2" w:rsidP="00B57B0F">
      <w:pPr>
        <w:pStyle w:val="Body"/>
        <w:spacing w:line="240" w:lineRule="auto"/>
        <w:ind w:firstLine="360"/>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7F3399">
      <w:pPr>
        <w:pStyle w:val="Body"/>
        <w:numPr>
          <w:ilvl w:val="0"/>
          <w:numId w:val="12"/>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4A3934B5" w:rsidR="00956CF2" w:rsidRDefault="00956CF2" w:rsidP="00B57B0F">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 xml:space="preserve">Bankruptcy Law and Practice, </w:t>
      </w:r>
      <w:r w:rsidRPr="00576ED7">
        <w:rPr>
          <w:rFonts w:ascii="Times New Roman" w:hAnsi="Times New Roman"/>
        </w:rPr>
        <w:t xml:space="preserve">Published by CALI eLangdell Press. </w:t>
      </w:r>
      <w:r w:rsidR="00F616F2">
        <w:rPr>
          <w:rFonts w:ascii="Times New Roman" w:hAnsi="Times New Roman"/>
        </w:rPr>
        <w:t>Copyright CALI 20</w:t>
      </w:r>
      <w:r w:rsidR="009D63B8">
        <w:rPr>
          <w:rFonts w:ascii="Times New Roman" w:hAnsi="Times New Roman"/>
        </w:rPr>
        <w:t>21</w:t>
      </w:r>
      <w:r w:rsidR="00F616F2">
        <w:rPr>
          <w:rFonts w:ascii="Times New Roman" w:hAnsi="Times New Roman"/>
        </w:rPr>
        <w:t xml:space="preserve">.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6A16F011" w14:textId="77777777"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D049904" w14:textId="77777777" w:rsidR="00956CF2" w:rsidRPr="00576ED7" w:rsidRDefault="00956CF2" w:rsidP="00B57B0F">
      <w:pPr>
        <w:pStyle w:val="Body"/>
        <w:spacing w:line="240" w:lineRule="auto"/>
        <w:ind w:firstLine="720"/>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35051BC6" w14:textId="6A3947EF" w:rsidR="00AB338E" w:rsidRDefault="00956CF2" w:rsidP="00AB338E">
      <w:pPr>
        <w:pStyle w:val="Body"/>
        <w:spacing w:line="240" w:lineRule="auto"/>
        <w:ind w:firstLine="720"/>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32898F84" w14:textId="1BBF6DE1" w:rsidR="00CC6A7A" w:rsidRDefault="00CC6A7A" w:rsidP="00AB338E">
      <w:pPr>
        <w:pStyle w:val="Body"/>
        <w:spacing w:line="240" w:lineRule="auto"/>
        <w:ind w:firstLine="720"/>
        <w:rPr>
          <w:rFonts w:ascii="Times New Roman" w:hAnsi="Times New Roman"/>
          <w:szCs w:val="24"/>
          <w:shd w:val="clear" w:color="auto" w:fill="FFFFFF"/>
        </w:rPr>
      </w:pPr>
    </w:p>
    <w:p w14:paraId="19E702CB" w14:textId="4E62E61C" w:rsidR="00CC6A7A" w:rsidRDefault="00CC6A7A" w:rsidP="00AB338E">
      <w:pPr>
        <w:pStyle w:val="Body"/>
        <w:spacing w:line="240" w:lineRule="auto"/>
        <w:ind w:firstLine="720"/>
        <w:rPr>
          <w:rFonts w:ascii="Times New Roman" w:hAnsi="Times New Roman"/>
          <w:szCs w:val="24"/>
          <w:shd w:val="clear" w:color="auto" w:fill="FFFFFF"/>
        </w:rPr>
      </w:pPr>
    </w:p>
    <w:p w14:paraId="43229B23" w14:textId="21A654D3" w:rsidR="00CC6A7A" w:rsidRDefault="00CC6A7A" w:rsidP="00AB338E">
      <w:pPr>
        <w:pStyle w:val="Body"/>
        <w:spacing w:line="240" w:lineRule="auto"/>
        <w:ind w:firstLine="720"/>
        <w:rPr>
          <w:rFonts w:ascii="Times New Roman" w:hAnsi="Times New Roman"/>
          <w:szCs w:val="24"/>
          <w:shd w:val="clear" w:color="auto" w:fill="FFFFFF"/>
        </w:rPr>
      </w:pPr>
    </w:p>
    <w:p w14:paraId="0510E498" w14:textId="741E48B3" w:rsidR="00CC6A7A" w:rsidRDefault="00CC6A7A" w:rsidP="00AB338E">
      <w:pPr>
        <w:pStyle w:val="Body"/>
        <w:spacing w:line="240" w:lineRule="auto"/>
        <w:ind w:firstLine="720"/>
        <w:rPr>
          <w:rFonts w:ascii="Times New Roman" w:hAnsi="Times New Roman"/>
          <w:szCs w:val="24"/>
          <w:shd w:val="clear" w:color="auto" w:fill="FFFFFF"/>
        </w:rPr>
      </w:pPr>
    </w:p>
    <w:p w14:paraId="48D7DEAF" w14:textId="1C86A988" w:rsidR="00CC6A7A" w:rsidRDefault="00CC6A7A" w:rsidP="00AB338E">
      <w:pPr>
        <w:pStyle w:val="Body"/>
        <w:spacing w:line="240" w:lineRule="auto"/>
        <w:ind w:firstLine="720"/>
        <w:rPr>
          <w:rFonts w:ascii="Times New Roman" w:hAnsi="Times New Roman"/>
          <w:szCs w:val="24"/>
          <w:shd w:val="clear" w:color="auto" w:fill="FFFFFF"/>
        </w:rPr>
      </w:pPr>
    </w:p>
    <w:p w14:paraId="75228498" w14:textId="4845B248" w:rsidR="00CC6A7A" w:rsidRDefault="00CC6A7A" w:rsidP="00AB338E">
      <w:pPr>
        <w:pStyle w:val="Body"/>
        <w:spacing w:line="240" w:lineRule="auto"/>
        <w:ind w:firstLine="720"/>
        <w:rPr>
          <w:rFonts w:ascii="Times New Roman" w:hAnsi="Times New Roman"/>
          <w:szCs w:val="24"/>
          <w:shd w:val="clear" w:color="auto" w:fill="FFFFFF"/>
        </w:rPr>
      </w:pPr>
    </w:p>
    <w:p w14:paraId="34D53FC3" w14:textId="77777777" w:rsidR="00CC6A7A" w:rsidRPr="00AB338E" w:rsidRDefault="00CC6A7A" w:rsidP="00AB338E">
      <w:pPr>
        <w:pStyle w:val="Body"/>
        <w:spacing w:line="240" w:lineRule="auto"/>
        <w:ind w:firstLine="720"/>
        <w:rPr>
          <w:rFonts w:ascii="Times New Roman" w:hAnsi="Times New Roman"/>
          <w:szCs w:val="24"/>
          <w:shd w:val="clear" w:color="auto" w:fill="FFFFFF"/>
        </w:rPr>
      </w:pPr>
    </w:p>
    <w:p w14:paraId="65BB60F2" w14:textId="6DBEE838" w:rsidR="00241677" w:rsidRPr="00AB338E" w:rsidRDefault="00241677" w:rsidP="00CC6A7A">
      <w:pPr>
        <w:pStyle w:val="ITEM1"/>
        <w:numPr>
          <w:ilvl w:val="0"/>
          <w:numId w:val="0"/>
        </w:numPr>
      </w:pPr>
      <w:bookmarkStart w:id="35" w:name="_Toc79699041"/>
      <w:bookmarkStart w:id="36" w:name="_Toc79699367"/>
      <w:bookmarkStart w:id="37" w:name="_Toc79699705"/>
      <w:bookmarkStart w:id="38" w:name="_Toc79700025"/>
      <w:bookmarkStart w:id="39" w:name="_Toc79700347"/>
      <w:bookmarkStart w:id="40" w:name="_Toc87039124"/>
      <w:bookmarkStart w:id="41" w:name="_Toc90983520"/>
      <w:r w:rsidRPr="008F205E">
        <w:lastRenderedPageBreak/>
        <w:t>About</w:t>
      </w:r>
      <w:r w:rsidRPr="00241677">
        <w:t xml:space="preserve"> CALI eLangdell Press</w:t>
      </w:r>
      <w:bookmarkEnd w:id="35"/>
      <w:bookmarkEnd w:id="36"/>
      <w:bookmarkEnd w:id="37"/>
      <w:bookmarkEnd w:id="38"/>
      <w:bookmarkEnd w:id="39"/>
      <w:bookmarkEnd w:id="40"/>
      <w:bookmarkEnd w:id="41"/>
    </w:p>
    <w:p w14:paraId="1EA66BC2" w14:textId="063C8918" w:rsidR="00241677" w:rsidRPr="00576ED7" w:rsidRDefault="007C1024" w:rsidP="00241677">
      <w:pPr>
        <w:pStyle w:val="Body"/>
        <w:rPr>
          <w:rFonts w:ascii="Times New Roman" w:hAnsi="Times New Roman"/>
          <w:color w:val="auto"/>
          <w:szCs w:val="24"/>
        </w:rPr>
      </w:pPr>
      <w:hyperlink r:id="rId15" w:history="1">
        <w:r w:rsidR="00241677" w:rsidRPr="001720E0">
          <w:rPr>
            <w:rStyle w:val="Hyperlink"/>
            <w:rFonts w:ascii="Times New Roman" w:hAnsi="Times New Roman"/>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1720E0">
          <w:rPr>
            <w:rStyle w:val="Hyperlink"/>
            <w:rFonts w:ascii="Times New Roman" w:hAnsi="Times New Roman"/>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241677" w:rsidRPr="001720E0">
          <w:rPr>
            <w:rStyle w:val="Hyperlink"/>
            <w:rFonts w:ascii="Times New Roman" w:hAnsi="Times New Roman"/>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7F3399">
      <w:pPr>
        <w:pStyle w:val="Body"/>
        <w:numPr>
          <w:ilvl w:val="0"/>
          <w:numId w:val="13"/>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25C47F2" w14:textId="5DBC77F0" w:rsidR="00241677" w:rsidRDefault="00241677" w:rsidP="00AB338E">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1720E0">
          <w:rPr>
            <w:rStyle w:val="Hyperlink"/>
            <w:rFonts w:ascii="Times New Roman" w:hAnsi="Times New Roman"/>
            <w:szCs w:val="24"/>
          </w:rPr>
          <w:t>elangdell.cali.org</w:t>
        </w:r>
      </w:hyperlink>
      <w:r w:rsidRPr="00576ED7">
        <w:rPr>
          <w:rFonts w:ascii="Times New Roman" w:hAnsi="Times New Roman"/>
          <w:color w:val="auto"/>
          <w:szCs w:val="24"/>
        </w:rPr>
        <w:t xml:space="preserve">. Show support for CALI by following us on </w:t>
      </w:r>
      <w:hyperlink r:id="rId19" w:history="1">
        <w:r w:rsidRPr="001720E0">
          <w:rPr>
            <w:rStyle w:val="Hyperlink"/>
            <w:rFonts w:ascii="Times New Roman" w:hAnsi="Times New Roman"/>
            <w:szCs w:val="24"/>
          </w:rPr>
          <w:t>Twitter</w:t>
        </w:r>
      </w:hyperlink>
      <w:r w:rsidRPr="00576ED7">
        <w:rPr>
          <w:rFonts w:ascii="Times New Roman" w:hAnsi="Times New Roman"/>
          <w:color w:val="auto"/>
          <w:szCs w:val="24"/>
        </w:rPr>
        <w:t xml:space="preserve"> and by telling your friends and colleagues where you received your free book.</w:t>
      </w:r>
    </w:p>
    <w:p w14:paraId="60CF2FBE" w14:textId="07678902" w:rsidR="00CC6A7A" w:rsidRDefault="00CC6A7A" w:rsidP="00AB338E">
      <w:pPr>
        <w:pStyle w:val="Body"/>
        <w:rPr>
          <w:rFonts w:ascii="Times New Roman" w:hAnsi="Times New Roman"/>
          <w:color w:val="auto"/>
          <w:szCs w:val="24"/>
        </w:rPr>
      </w:pPr>
    </w:p>
    <w:p w14:paraId="29FFC44E" w14:textId="4C84F32F" w:rsidR="00CC6A7A" w:rsidRDefault="00CC6A7A" w:rsidP="00AB338E">
      <w:pPr>
        <w:pStyle w:val="Body"/>
        <w:rPr>
          <w:rFonts w:ascii="Times New Roman" w:hAnsi="Times New Roman"/>
          <w:color w:val="auto"/>
          <w:szCs w:val="24"/>
        </w:rPr>
      </w:pPr>
    </w:p>
    <w:p w14:paraId="237221BA" w14:textId="77777777" w:rsidR="00CC6A7A" w:rsidRDefault="00CC6A7A" w:rsidP="00AB338E">
      <w:pPr>
        <w:pStyle w:val="Body"/>
        <w:rPr>
          <w:rFonts w:ascii="Times New Roman" w:hAnsi="Times New Roman"/>
          <w:szCs w:val="24"/>
        </w:rPr>
      </w:pPr>
    </w:p>
    <w:p w14:paraId="5D05C46C" w14:textId="77777777" w:rsidR="00CC6A7A" w:rsidRDefault="00CC6A7A" w:rsidP="00CC6A7A">
      <w:pPr>
        <w:pStyle w:val="ITEM1"/>
        <w:numPr>
          <w:ilvl w:val="0"/>
          <w:numId w:val="0"/>
        </w:numPr>
      </w:pPr>
      <w:bookmarkStart w:id="42" w:name="_Toc79699042"/>
      <w:bookmarkStart w:id="43" w:name="_Toc79699368"/>
      <w:bookmarkStart w:id="44" w:name="_Toc79699706"/>
      <w:bookmarkStart w:id="45" w:name="_Toc79700026"/>
      <w:bookmarkStart w:id="46" w:name="_Toc79700348"/>
      <w:bookmarkStart w:id="47" w:name="_Toc87039125"/>
    </w:p>
    <w:p w14:paraId="4E7FAD4B" w14:textId="77777777" w:rsidR="00CC6A7A" w:rsidRDefault="00CC6A7A" w:rsidP="00CC6A7A">
      <w:pPr>
        <w:pStyle w:val="ITEM1"/>
        <w:numPr>
          <w:ilvl w:val="0"/>
          <w:numId w:val="0"/>
        </w:numPr>
      </w:pPr>
    </w:p>
    <w:p w14:paraId="7F4C00FD" w14:textId="77777777" w:rsidR="00CC6A7A" w:rsidRDefault="00CC6A7A" w:rsidP="00CC6A7A">
      <w:pPr>
        <w:pStyle w:val="ITEM1"/>
        <w:numPr>
          <w:ilvl w:val="0"/>
          <w:numId w:val="0"/>
        </w:numPr>
      </w:pPr>
    </w:p>
    <w:p w14:paraId="16DECFFB" w14:textId="77777777" w:rsidR="00CC6A7A" w:rsidRDefault="00CC6A7A" w:rsidP="00CC6A7A">
      <w:pPr>
        <w:pStyle w:val="ITEM1"/>
        <w:numPr>
          <w:ilvl w:val="0"/>
          <w:numId w:val="0"/>
        </w:numPr>
      </w:pPr>
    </w:p>
    <w:p w14:paraId="58056818" w14:textId="77777777" w:rsidR="00CC6A7A" w:rsidRDefault="00CC6A7A" w:rsidP="00CC6A7A">
      <w:pPr>
        <w:pStyle w:val="ITEM1"/>
        <w:numPr>
          <w:ilvl w:val="0"/>
          <w:numId w:val="0"/>
        </w:numPr>
      </w:pPr>
    </w:p>
    <w:p w14:paraId="12F192EB" w14:textId="77777777" w:rsidR="00CC6A7A" w:rsidRDefault="00CC6A7A" w:rsidP="00CC6A7A">
      <w:pPr>
        <w:pStyle w:val="ITEM1"/>
        <w:numPr>
          <w:ilvl w:val="0"/>
          <w:numId w:val="0"/>
        </w:numPr>
      </w:pPr>
    </w:p>
    <w:p w14:paraId="3F22F65E" w14:textId="77777777" w:rsidR="00CC6A7A" w:rsidRDefault="00CC6A7A" w:rsidP="00CC6A7A">
      <w:pPr>
        <w:pStyle w:val="ITEM1"/>
        <w:numPr>
          <w:ilvl w:val="0"/>
          <w:numId w:val="0"/>
        </w:numPr>
      </w:pPr>
    </w:p>
    <w:p w14:paraId="5CF19253" w14:textId="77777777" w:rsidR="00CC6A7A" w:rsidRDefault="00CC6A7A" w:rsidP="00CC6A7A">
      <w:pPr>
        <w:pStyle w:val="ITEM1"/>
        <w:numPr>
          <w:ilvl w:val="0"/>
          <w:numId w:val="0"/>
        </w:numPr>
      </w:pPr>
    </w:p>
    <w:p w14:paraId="78AD5AE7" w14:textId="77777777" w:rsidR="00CC6A7A" w:rsidRDefault="00CC6A7A" w:rsidP="00CC6A7A">
      <w:pPr>
        <w:pStyle w:val="ITEM1"/>
        <w:numPr>
          <w:ilvl w:val="0"/>
          <w:numId w:val="0"/>
        </w:numPr>
      </w:pPr>
    </w:p>
    <w:p w14:paraId="6CE9D7D2" w14:textId="77777777" w:rsidR="00CC6A7A" w:rsidRDefault="00CC6A7A" w:rsidP="00CC6A7A">
      <w:pPr>
        <w:pStyle w:val="ITEM1"/>
        <w:numPr>
          <w:ilvl w:val="0"/>
          <w:numId w:val="0"/>
        </w:numPr>
      </w:pPr>
    </w:p>
    <w:p w14:paraId="1F72B3BD" w14:textId="258F1943" w:rsidR="00CC6A7A" w:rsidRDefault="00CC6A7A" w:rsidP="00CC6A7A">
      <w:pPr>
        <w:pStyle w:val="ITEM1"/>
        <w:numPr>
          <w:ilvl w:val="0"/>
          <w:numId w:val="0"/>
        </w:numPr>
      </w:pPr>
    </w:p>
    <w:p w14:paraId="7DC8E385" w14:textId="77777777" w:rsidR="007B589E" w:rsidRDefault="007B589E" w:rsidP="00CC6A7A">
      <w:pPr>
        <w:pStyle w:val="ITEM1"/>
        <w:numPr>
          <w:ilvl w:val="0"/>
          <w:numId w:val="0"/>
        </w:numPr>
      </w:pPr>
    </w:p>
    <w:p w14:paraId="1E685CFE" w14:textId="7E010FDF" w:rsidR="00137D43" w:rsidRDefault="00137D43" w:rsidP="00CC6A7A">
      <w:pPr>
        <w:pStyle w:val="ITEM1"/>
        <w:numPr>
          <w:ilvl w:val="0"/>
          <w:numId w:val="0"/>
        </w:numPr>
      </w:pPr>
      <w:bookmarkStart w:id="48" w:name="_Toc90983521"/>
      <w:r w:rsidRPr="008F205E">
        <w:lastRenderedPageBreak/>
        <w:t>Purpose</w:t>
      </w:r>
      <w:r>
        <w:t xml:space="preserve"> of Textbook</w:t>
      </w:r>
      <w:bookmarkStart w:id="49" w:name="_Toc79689215"/>
      <w:bookmarkStart w:id="50" w:name="_Toc79692901"/>
      <w:bookmarkStart w:id="51" w:name="_Toc79693221"/>
      <w:bookmarkStart w:id="52" w:name="_Toc79693541"/>
      <w:bookmarkStart w:id="53" w:name="_Toc79696711"/>
      <w:bookmarkStart w:id="54" w:name="_Toc79697043"/>
      <w:bookmarkEnd w:id="42"/>
      <w:bookmarkEnd w:id="43"/>
      <w:bookmarkEnd w:id="44"/>
      <w:bookmarkEnd w:id="45"/>
      <w:bookmarkEnd w:id="46"/>
      <w:bookmarkEnd w:id="47"/>
      <w:bookmarkEnd w:id="48"/>
      <w:bookmarkEnd w:id="49"/>
      <w:bookmarkEnd w:id="50"/>
      <w:bookmarkEnd w:id="51"/>
      <w:bookmarkEnd w:id="52"/>
      <w:bookmarkEnd w:id="53"/>
      <w:bookmarkEnd w:id="54"/>
    </w:p>
    <w:p w14:paraId="1FD1CFFC" w14:textId="2C499866"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147DE64B" w14:textId="11FFD113" w:rsidR="007170E3" w:rsidRDefault="007170E3" w:rsidP="00671FAD">
      <w:pPr>
        <w:pStyle w:val="ITEM1"/>
        <w:numPr>
          <w:ilvl w:val="0"/>
          <w:numId w:val="0"/>
        </w:numPr>
      </w:pPr>
      <w:bookmarkStart w:id="55" w:name="_Toc79699043"/>
      <w:bookmarkStart w:id="56" w:name="_Toc79699369"/>
      <w:bookmarkStart w:id="57" w:name="_Toc79699707"/>
      <w:bookmarkStart w:id="58" w:name="_Toc79700027"/>
      <w:bookmarkStart w:id="59" w:name="_Toc79700349"/>
      <w:bookmarkStart w:id="60" w:name="_Toc87039126"/>
      <w:bookmarkStart w:id="61" w:name="_Toc90983522"/>
      <w:r w:rsidRPr="008F205E">
        <w:lastRenderedPageBreak/>
        <w:t>Table</w:t>
      </w:r>
      <w:r w:rsidRPr="009C3E99">
        <w:t xml:space="preserve"> of Contents</w:t>
      </w:r>
      <w:bookmarkEnd w:id="55"/>
      <w:bookmarkEnd w:id="56"/>
      <w:bookmarkEnd w:id="57"/>
      <w:bookmarkEnd w:id="58"/>
      <w:bookmarkEnd w:id="59"/>
      <w:bookmarkEnd w:id="60"/>
      <w:bookmarkEnd w:id="61"/>
    </w:p>
    <w:p w14:paraId="6C621723" w14:textId="2A8C78E3" w:rsidR="00F758D4" w:rsidRDefault="00AB4BE5">
      <w:pPr>
        <w:pStyle w:val="TOC1"/>
        <w:tabs>
          <w:tab w:val="right" w:leader="dot" w:pos="9350"/>
        </w:tabs>
        <w:rPr>
          <w:rFonts w:asciiTheme="minorHAnsi" w:eastAsiaTheme="minorEastAsia" w:hAnsiTheme="minorHAnsi" w:cstheme="minorBidi"/>
          <w:b w:val="0"/>
          <w:bCs w:val="0"/>
          <w:noProof/>
          <w:color w:val="auto"/>
          <w:sz w:val="22"/>
          <w:szCs w:val="22"/>
        </w:rPr>
      </w:pPr>
      <w:r>
        <w:fldChar w:fldCharType="begin"/>
      </w:r>
      <w:r>
        <w:instrText xml:space="preserve"> TOC \o "1-5" \h \z \t "APPENDIX,1" </w:instrText>
      </w:r>
      <w:r>
        <w:fldChar w:fldCharType="separate"/>
      </w:r>
      <w:hyperlink w:anchor="_Toc90983518" w:history="1">
        <w:r w:rsidR="00F758D4" w:rsidRPr="00C24B66">
          <w:rPr>
            <w:rStyle w:val="Hyperlink"/>
            <w:noProof/>
          </w:rPr>
          <w:t>About the Author</w:t>
        </w:r>
        <w:r w:rsidR="00F758D4">
          <w:rPr>
            <w:noProof/>
            <w:webHidden/>
          </w:rPr>
          <w:tab/>
        </w:r>
        <w:r w:rsidR="00F758D4">
          <w:rPr>
            <w:noProof/>
            <w:webHidden/>
          </w:rPr>
          <w:fldChar w:fldCharType="begin"/>
        </w:r>
        <w:r w:rsidR="00F758D4">
          <w:rPr>
            <w:noProof/>
            <w:webHidden/>
          </w:rPr>
          <w:instrText xml:space="preserve"> PAGEREF _Toc90983518 \h </w:instrText>
        </w:r>
        <w:r w:rsidR="00F758D4">
          <w:rPr>
            <w:noProof/>
            <w:webHidden/>
          </w:rPr>
        </w:r>
        <w:r w:rsidR="00F758D4">
          <w:rPr>
            <w:noProof/>
            <w:webHidden/>
          </w:rPr>
          <w:fldChar w:fldCharType="separate"/>
        </w:r>
        <w:r w:rsidR="00F758D4">
          <w:rPr>
            <w:noProof/>
            <w:webHidden/>
          </w:rPr>
          <w:t>i</w:t>
        </w:r>
        <w:r w:rsidR="00F758D4">
          <w:rPr>
            <w:noProof/>
            <w:webHidden/>
          </w:rPr>
          <w:fldChar w:fldCharType="end"/>
        </w:r>
      </w:hyperlink>
    </w:p>
    <w:p w14:paraId="0A1E87B7" w14:textId="3EFB0154"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519" w:history="1">
        <w:r w:rsidR="00F758D4" w:rsidRPr="00C24B66">
          <w:rPr>
            <w:rStyle w:val="Hyperlink"/>
            <w:noProof/>
          </w:rPr>
          <w:t>Notices</w:t>
        </w:r>
        <w:r w:rsidR="00F758D4">
          <w:rPr>
            <w:noProof/>
            <w:webHidden/>
          </w:rPr>
          <w:tab/>
        </w:r>
        <w:r w:rsidR="00F758D4">
          <w:rPr>
            <w:noProof/>
            <w:webHidden/>
          </w:rPr>
          <w:fldChar w:fldCharType="begin"/>
        </w:r>
        <w:r w:rsidR="00F758D4">
          <w:rPr>
            <w:noProof/>
            <w:webHidden/>
          </w:rPr>
          <w:instrText xml:space="preserve"> PAGEREF _Toc90983519 \h </w:instrText>
        </w:r>
        <w:r w:rsidR="00F758D4">
          <w:rPr>
            <w:noProof/>
            <w:webHidden/>
          </w:rPr>
        </w:r>
        <w:r w:rsidR="00F758D4">
          <w:rPr>
            <w:noProof/>
            <w:webHidden/>
          </w:rPr>
          <w:fldChar w:fldCharType="separate"/>
        </w:r>
        <w:r w:rsidR="00F758D4">
          <w:rPr>
            <w:noProof/>
            <w:webHidden/>
          </w:rPr>
          <w:t>ii</w:t>
        </w:r>
        <w:r w:rsidR="00F758D4">
          <w:rPr>
            <w:noProof/>
            <w:webHidden/>
          </w:rPr>
          <w:fldChar w:fldCharType="end"/>
        </w:r>
      </w:hyperlink>
    </w:p>
    <w:p w14:paraId="50491D78" w14:textId="163CCC91"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520" w:history="1">
        <w:r w:rsidR="00F758D4" w:rsidRPr="00C24B66">
          <w:rPr>
            <w:rStyle w:val="Hyperlink"/>
            <w:noProof/>
          </w:rPr>
          <w:t>About CALI eLangdell Press</w:t>
        </w:r>
        <w:r w:rsidR="00F758D4">
          <w:rPr>
            <w:noProof/>
            <w:webHidden/>
          </w:rPr>
          <w:tab/>
        </w:r>
        <w:r w:rsidR="00F758D4">
          <w:rPr>
            <w:noProof/>
            <w:webHidden/>
          </w:rPr>
          <w:fldChar w:fldCharType="begin"/>
        </w:r>
        <w:r w:rsidR="00F758D4">
          <w:rPr>
            <w:noProof/>
            <w:webHidden/>
          </w:rPr>
          <w:instrText xml:space="preserve"> PAGEREF _Toc90983520 \h </w:instrText>
        </w:r>
        <w:r w:rsidR="00F758D4">
          <w:rPr>
            <w:noProof/>
            <w:webHidden/>
          </w:rPr>
        </w:r>
        <w:r w:rsidR="00F758D4">
          <w:rPr>
            <w:noProof/>
            <w:webHidden/>
          </w:rPr>
          <w:fldChar w:fldCharType="separate"/>
        </w:r>
        <w:r w:rsidR="00F758D4">
          <w:rPr>
            <w:noProof/>
            <w:webHidden/>
          </w:rPr>
          <w:t>iii</w:t>
        </w:r>
        <w:r w:rsidR="00F758D4">
          <w:rPr>
            <w:noProof/>
            <w:webHidden/>
          </w:rPr>
          <w:fldChar w:fldCharType="end"/>
        </w:r>
      </w:hyperlink>
    </w:p>
    <w:p w14:paraId="1FFC61F5" w14:textId="1190694F"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521" w:history="1">
        <w:r w:rsidR="00F758D4" w:rsidRPr="00C24B66">
          <w:rPr>
            <w:rStyle w:val="Hyperlink"/>
            <w:noProof/>
          </w:rPr>
          <w:t>Purpose of Textbook</w:t>
        </w:r>
        <w:r w:rsidR="00F758D4">
          <w:rPr>
            <w:noProof/>
            <w:webHidden/>
          </w:rPr>
          <w:tab/>
        </w:r>
        <w:r w:rsidR="00F758D4">
          <w:rPr>
            <w:noProof/>
            <w:webHidden/>
          </w:rPr>
          <w:fldChar w:fldCharType="begin"/>
        </w:r>
        <w:r w:rsidR="00F758D4">
          <w:rPr>
            <w:noProof/>
            <w:webHidden/>
          </w:rPr>
          <w:instrText xml:space="preserve"> PAGEREF _Toc90983521 \h </w:instrText>
        </w:r>
        <w:r w:rsidR="00F758D4">
          <w:rPr>
            <w:noProof/>
            <w:webHidden/>
          </w:rPr>
        </w:r>
        <w:r w:rsidR="00F758D4">
          <w:rPr>
            <w:noProof/>
            <w:webHidden/>
          </w:rPr>
          <w:fldChar w:fldCharType="separate"/>
        </w:r>
        <w:r w:rsidR="00F758D4">
          <w:rPr>
            <w:noProof/>
            <w:webHidden/>
          </w:rPr>
          <w:t>iv</w:t>
        </w:r>
        <w:r w:rsidR="00F758D4">
          <w:rPr>
            <w:noProof/>
            <w:webHidden/>
          </w:rPr>
          <w:fldChar w:fldCharType="end"/>
        </w:r>
      </w:hyperlink>
    </w:p>
    <w:p w14:paraId="237115E4" w14:textId="352953F1"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523" w:history="1">
        <w:r w:rsidR="00F758D4" w:rsidRPr="00C24B66">
          <w:rPr>
            <w:rStyle w:val="Hyperlink"/>
            <w:noProof/>
          </w:rPr>
          <w:t>Chapter 1.</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A World Without Bankruptcy</w:t>
        </w:r>
        <w:r w:rsidR="00F758D4">
          <w:rPr>
            <w:noProof/>
            <w:webHidden/>
          </w:rPr>
          <w:tab/>
        </w:r>
        <w:r w:rsidR="00F758D4">
          <w:rPr>
            <w:noProof/>
            <w:webHidden/>
          </w:rPr>
          <w:fldChar w:fldCharType="begin"/>
        </w:r>
        <w:r w:rsidR="00F758D4">
          <w:rPr>
            <w:noProof/>
            <w:webHidden/>
          </w:rPr>
          <w:instrText xml:space="preserve"> PAGEREF _Toc90983523 \h </w:instrText>
        </w:r>
        <w:r w:rsidR="00F758D4">
          <w:rPr>
            <w:noProof/>
            <w:webHidden/>
          </w:rPr>
        </w:r>
        <w:r w:rsidR="00F758D4">
          <w:rPr>
            <w:noProof/>
            <w:webHidden/>
          </w:rPr>
          <w:fldChar w:fldCharType="separate"/>
        </w:r>
        <w:r w:rsidR="00F758D4">
          <w:rPr>
            <w:noProof/>
            <w:webHidden/>
          </w:rPr>
          <w:t>1</w:t>
        </w:r>
        <w:r w:rsidR="00F758D4">
          <w:rPr>
            <w:noProof/>
            <w:webHidden/>
          </w:rPr>
          <w:fldChar w:fldCharType="end"/>
        </w:r>
      </w:hyperlink>
    </w:p>
    <w:p w14:paraId="4461854C" w14:textId="4F8B1E0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24" w:history="1">
        <w:r w:rsidR="00F758D4" w:rsidRPr="00C24B66">
          <w:rPr>
            <w:rStyle w:val="Hyperlink"/>
            <w:noProof/>
          </w:rPr>
          <w:t>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A Wee Bit of History</w:t>
        </w:r>
        <w:r w:rsidR="00F758D4">
          <w:rPr>
            <w:noProof/>
            <w:webHidden/>
          </w:rPr>
          <w:tab/>
        </w:r>
        <w:r w:rsidR="00F758D4">
          <w:rPr>
            <w:noProof/>
            <w:webHidden/>
          </w:rPr>
          <w:fldChar w:fldCharType="begin"/>
        </w:r>
        <w:r w:rsidR="00F758D4">
          <w:rPr>
            <w:noProof/>
            <w:webHidden/>
          </w:rPr>
          <w:instrText xml:space="preserve"> PAGEREF _Toc90983524 \h </w:instrText>
        </w:r>
        <w:r w:rsidR="00F758D4">
          <w:rPr>
            <w:noProof/>
            <w:webHidden/>
          </w:rPr>
        </w:r>
        <w:r w:rsidR="00F758D4">
          <w:rPr>
            <w:noProof/>
            <w:webHidden/>
          </w:rPr>
          <w:fldChar w:fldCharType="separate"/>
        </w:r>
        <w:r w:rsidR="00F758D4">
          <w:rPr>
            <w:noProof/>
            <w:webHidden/>
          </w:rPr>
          <w:t>1</w:t>
        </w:r>
        <w:r w:rsidR="00F758D4">
          <w:rPr>
            <w:noProof/>
            <w:webHidden/>
          </w:rPr>
          <w:fldChar w:fldCharType="end"/>
        </w:r>
      </w:hyperlink>
    </w:p>
    <w:p w14:paraId="6C439AA9" w14:textId="112134F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25" w:history="1">
        <w:r w:rsidR="00F758D4" w:rsidRPr="00C24B66">
          <w:rPr>
            <w:rStyle w:val="Hyperlink"/>
            <w:noProof/>
          </w:rPr>
          <w:t>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Enforcing Claims</w:t>
        </w:r>
        <w:r w:rsidR="00F758D4">
          <w:rPr>
            <w:noProof/>
            <w:webHidden/>
          </w:rPr>
          <w:tab/>
        </w:r>
        <w:r w:rsidR="00F758D4">
          <w:rPr>
            <w:noProof/>
            <w:webHidden/>
          </w:rPr>
          <w:fldChar w:fldCharType="begin"/>
        </w:r>
        <w:r w:rsidR="00F758D4">
          <w:rPr>
            <w:noProof/>
            <w:webHidden/>
          </w:rPr>
          <w:instrText xml:space="preserve"> PAGEREF _Toc90983525 \h </w:instrText>
        </w:r>
        <w:r w:rsidR="00F758D4">
          <w:rPr>
            <w:noProof/>
            <w:webHidden/>
          </w:rPr>
        </w:r>
        <w:r w:rsidR="00F758D4">
          <w:rPr>
            <w:noProof/>
            <w:webHidden/>
          </w:rPr>
          <w:fldChar w:fldCharType="separate"/>
        </w:r>
        <w:r w:rsidR="00F758D4">
          <w:rPr>
            <w:noProof/>
            <w:webHidden/>
          </w:rPr>
          <w:t>1</w:t>
        </w:r>
        <w:r w:rsidR="00F758D4">
          <w:rPr>
            <w:noProof/>
            <w:webHidden/>
          </w:rPr>
          <w:fldChar w:fldCharType="end"/>
        </w:r>
      </w:hyperlink>
    </w:p>
    <w:p w14:paraId="78912E5E" w14:textId="0790C26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26" w:history="1">
        <w:r w:rsidR="00F758D4" w:rsidRPr="00C24B66">
          <w:rPr>
            <w:rStyle w:val="Hyperlink"/>
            <w:noProof/>
          </w:rPr>
          <w:t>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Self-Help System for Collecting Unsecured Claims</w:t>
        </w:r>
        <w:r w:rsidR="00F758D4">
          <w:rPr>
            <w:noProof/>
            <w:webHidden/>
          </w:rPr>
          <w:tab/>
        </w:r>
        <w:r w:rsidR="00F758D4">
          <w:rPr>
            <w:noProof/>
            <w:webHidden/>
          </w:rPr>
          <w:fldChar w:fldCharType="begin"/>
        </w:r>
        <w:r w:rsidR="00F758D4">
          <w:rPr>
            <w:noProof/>
            <w:webHidden/>
          </w:rPr>
          <w:instrText xml:space="preserve"> PAGEREF _Toc90983526 \h </w:instrText>
        </w:r>
        <w:r w:rsidR="00F758D4">
          <w:rPr>
            <w:noProof/>
            <w:webHidden/>
          </w:rPr>
        </w:r>
        <w:r w:rsidR="00F758D4">
          <w:rPr>
            <w:noProof/>
            <w:webHidden/>
          </w:rPr>
          <w:fldChar w:fldCharType="separate"/>
        </w:r>
        <w:r w:rsidR="00F758D4">
          <w:rPr>
            <w:noProof/>
            <w:webHidden/>
          </w:rPr>
          <w:t>2</w:t>
        </w:r>
        <w:r w:rsidR="00F758D4">
          <w:rPr>
            <w:noProof/>
            <w:webHidden/>
          </w:rPr>
          <w:fldChar w:fldCharType="end"/>
        </w:r>
      </w:hyperlink>
    </w:p>
    <w:p w14:paraId="74ACB86B" w14:textId="455DE81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27" w:history="1">
        <w:r w:rsidR="00F758D4" w:rsidRPr="00C24B66">
          <w:rPr>
            <w:rStyle w:val="Hyperlink"/>
            <w:noProof/>
          </w:rPr>
          <w:t>1.3.1.</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Fair Debt Collection Practices Act (FDCPA)</w:t>
        </w:r>
        <w:r w:rsidR="00F758D4">
          <w:rPr>
            <w:noProof/>
            <w:webHidden/>
          </w:rPr>
          <w:tab/>
        </w:r>
        <w:r w:rsidR="00F758D4">
          <w:rPr>
            <w:noProof/>
            <w:webHidden/>
          </w:rPr>
          <w:fldChar w:fldCharType="begin"/>
        </w:r>
        <w:r w:rsidR="00F758D4">
          <w:rPr>
            <w:noProof/>
            <w:webHidden/>
          </w:rPr>
          <w:instrText xml:space="preserve"> PAGEREF _Toc90983527 \h </w:instrText>
        </w:r>
        <w:r w:rsidR="00F758D4">
          <w:rPr>
            <w:noProof/>
            <w:webHidden/>
          </w:rPr>
        </w:r>
        <w:r w:rsidR="00F758D4">
          <w:rPr>
            <w:noProof/>
            <w:webHidden/>
          </w:rPr>
          <w:fldChar w:fldCharType="separate"/>
        </w:r>
        <w:r w:rsidR="00F758D4">
          <w:rPr>
            <w:noProof/>
            <w:webHidden/>
          </w:rPr>
          <w:t>2</w:t>
        </w:r>
        <w:r w:rsidR="00F758D4">
          <w:rPr>
            <w:noProof/>
            <w:webHidden/>
          </w:rPr>
          <w:fldChar w:fldCharType="end"/>
        </w:r>
      </w:hyperlink>
    </w:p>
    <w:p w14:paraId="212BCCD8" w14:textId="7D9EF63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28" w:history="1">
        <w:r w:rsidR="00F758D4" w:rsidRPr="00C24B66">
          <w:rPr>
            <w:rStyle w:val="Hyperlink"/>
            <w:noProof/>
          </w:rPr>
          <w:t>1.3.2.</w:t>
        </w:r>
        <w:r w:rsidR="00F758D4">
          <w:rPr>
            <w:rFonts w:asciiTheme="minorHAnsi" w:eastAsiaTheme="minorEastAsia" w:hAnsiTheme="minorHAnsi" w:cstheme="minorBidi"/>
            <w:noProof/>
            <w:color w:val="auto"/>
            <w:sz w:val="22"/>
            <w:szCs w:val="22"/>
          </w:rPr>
          <w:tab/>
        </w:r>
        <w:r w:rsidR="00F758D4" w:rsidRPr="00C24B66">
          <w:rPr>
            <w:rStyle w:val="Hyperlink"/>
            <w:noProof/>
          </w:rPr>
          <w:t>HENSON v. SANTANDER CONSUMER USA INC., 582 U.S. (June 12, 2017)</w:t>
        </w:r>
        <w:r w:rsidR="00F758D4">
          <w:rPr>
            <w:noProof/>
            <w:webHidden/>
          </w:rPr>
          <w:tab/>
        </w:r>
        <w:r w:rsidR="00F758D4">
          <w:rPr>
            <w:noProof/>
            <w:webHidden/>
          </w:rPr>
          <w:fldChar w:fldCharType="begin"/>
        </w:r>
        <w:r w:rsidR="00F758D4">
          <w:rPr>
            <w:noProof/>
            <w:webHidden/>
          </w:rPr>
          <w:instrText xml:space="preserve"> PAGEREF _Toc90983528 \h </w:instrText>
        </w:r>
        <w:r w:rsidR="00F758D4">
          <w:rPr>
            <w:noProof/>
            <w:webHidden/>
          </w:rPr>
        </w:r>
        <w:r w:rsidR="00F758D4">
          <w:rPr>
            <w:noProof/>
            <w:webHidden/>
          </w:rPr>
          <w:fldChar w:fldCharType="separate"/>
        </w:r>
        <w:r w:rsidR="00F758D4">
          <w:rPr>
            <w:noProof/>
            <w:webHidden/>
          </w:rPr>
          <w:t>3</w:t>
        </w:r>
        <w:r w:rsidR="00F758D4">
          <w:rPr>
            <w:noProof/>
            <w:webHidden/>
          </w:rPr>
          <w:fldChar w:fldCharType="end"/>
        </w:r>
      </w:hyperlink>
    </w:p>
    <w:p w14:paraId="285E4A92" w14:textId="0CCA9C0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29" w:history="1">
        <w:r w:rsidR="00F758D4" w:rsidRPr="00C24B66">
          <w:rPr>
            <w:rStyle w:val="Hyperlink"/>
            <w:noProof/>
          </w:rPr>
          <w:t>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Judicial System for Collecting Unsecured Claims – Obtaining and Enforcing a Judgment</w:t>
        </w:r>
        <w:r w:rsidR="00F758D4">
          <w:rPr>
            <w:noProof/>
            <w:webHidden/>
          </w:rPr>
          <w:tab/>
        </w:r>
        <w:r w:rsidR="00F758D4">
          <w:rPr>
            <w:noProof/>
            <w:webHidden/>
          </w:rPr>
          <w:fldChar w:fldCharType="begin"/>
        </w:r>
        <w:r w:rsidR="00F758D4">
          <w:rPr>
            <w:noProof/>
            <w:webHidden/>
          </w:rPr>
          <w:instrText xml:space="preserve"> PAGEREF _Toc90983529 \h </w:instrText>
        </w:r>
        <w:r w:rsidR="00F758D4">
          <w:rPr>
            <w:noProof/>
            <w:webHidden/>
          </w:rPr>
        </w:r>
        <w:r w:rsidR="00F758D4">
          <w:rPr>
            <w:noProof/>
            <w:webHidden/>
          </w:rPr>
          <w:fldChar w:fldCharType="separate"/>
        </w:r>
        <w:r w:rsidR="00F758D4">
          <w:rPr>
            <w:noProof/>
            <w:webHidden/>
          </w:rPr>
          <w:t>6</w:t>
        </w:r>
        <w:r w:rsidR="00F758D4">
          <w:rPr>
            <w:noProof/>
            <w:webHidden/>
          </w:rPr>
          <w:fldChar w:fldCharType="end"/>
        </w:r>
      </w:hyperlink>
    </w:p>
    <w:p w14:paraId="445F7D2F" w14:textId="37EF5C3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30" w:history="1">
        <w:r w:rsidR="00F758D4" w:rsidRPr="00C24B66">
          <w:rPr>
            <w:rStyle w:val="Hyperlink"/>
            <w:noProof/>
          </w:rPr>
          <w:t>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Provisional Remedies</w:t>
        </w:r>
        <w:r w:rsidR="00F758D4">
          <w:rPr>
            <w:noProof/>
            <w:webHidden/>
          </w:rPr>
          <w:tab/>
        </w:r>
        <w:r w:rsidR="00F758D4">
          <w:rPr>
            <w:noProof/>
            <w:webHidden/>
          </w:rPr>
          <w:fldChar w:fldCharType="begin"/>
        </w:r>
        <w:r w:rsidR="00F758D4">
          <w:rPr>
            <w:noProof/>
            <w:webHidden/>
          </w:rPr>
          <w:instrText xml:space="preserve"> PAGEREF _Toc90983530 \h </w:instrText>
        </w:r>
        <w:r w:rsidR="00F758D4">
          <w:rPr>
            <w:noProof/>
            <w:webHidden/>
          </w:rPr>
        </w:r>
        <w:r w:rsidR="00F758D4">
          <w:rPr>
            <w:noProof/>
            <w:webHidden/>
          </w:rPr>
          <w:fldChar w:fldCharType="separate"/>
        </w:r>
        <w:r w:rsidR="00F758D4">
          <w:rPr>
            <w:noProof/>
            <w:webHidden/>
          </w:rPr>
          <w:t>7</w:t>
        </w:r>
        <w:r w:rsidR="00F758D4">
          <w:rPr>
            <w:noProof/>
            <w:webHidden/>
          </w:rPr>
          <w:fldChar w:fldCharType="end"/>
        </w:r>
      </w:hyperlink>
    </w:p>
    <w:p w14:paraId="1E524C1E" w14:textId="06EA141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31" w:history="1">
        <w:r w:rsidR="00F758D4" w:rsidRPr="00C24B66">
          <w:rPr>
            <w:rStyle w:val="Hyperlink"/>
            <w:noProof/>
          </w:rPr>
          <w:t>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The Sheriff’s Duty to Enforce Writs</w:t>
        </w:r>
        <w:r w:rsidR="00F758D4">
          <w:rPr>
            <w:noProof/>
            <w:webHidden/>
          </w:rPr>
          <w:tab/>
        </w:r>
        <w:r w:rsidR="00F758D4">
          <w:rPr>
            <w:noProof/>
            <w:webHidden/>
          </w:rPr>
          <w:fldChar w:fldCharType="begin"/>
        </w:r>
        <w:r w:rsidR="00F758D4">
          <w:rPr>
            <w:noProof/>
            <w:webHidden/>
          </w:rPr>
          <w:instrText xml:space="preserve"> PAGEREF _Toc90983531 \h </w:instrText>
        </w:r>
        <w:r w:rsidR="00F758D4">
          <w:rPr>
            <w:noProof/>
            <w:webHidden/>
          </w:rPr>
        </w:r>
        <w:r w:rsidR="00F758D4">
          <w:rPr>
            <w:noProof/>
            <w:webHidden/>
          </w:rPr>
          <w:fldChar w:fldCharType="separate"/>
        </w:r>
        <w:r w:rsidR="00F758D4">
          <w:rPr>
            <w:noProof/>
            <w:webHidden/>
          </w:rPr>
          <w:t>8</w:t>
        </w:r>
        <w:r w:rsidR="00F758D4">
          <w:rPr>
            <w:noProof/>
            <w:webHidden/>
          </w:rPr>
          <w:fldChar w:fldCharType="end"/>
        </w:r>
      </w:hyperlink>
    </w:p>
    <w:p w14:paraId="563EDEC8" w14:textId="785EF19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32" w:history="1">
        <w:r w:rsidR="00F758D4" w:rsidRPr="00C24B66">
          <w:rPr>
            <w:rStyle w:val="Hyperlink"/>
            <w:noProof/>
          </w:rPr>
          <w:t>1.6.1.</w:t>
        </w:r>
        <w:r w:rsidR="00F758D4">
          <w:rPr>
            <w:rFonts w:asciiTheme="minorHAnsi" w:eastAsiaTheme="minorEastAsia" w:hAnsiTheme="minorHAnsi" w:cstheme="minorBidi"/>
            <w:noProof/>
            <w:color w:val="auto"/>
            <w:sz w:val="22"/>
            <w:szCs w:val="22"/>
          </w:rPr>
          <w:tab/>
        </w:r>
        <w:r w:rsidR="00F758D4" w:rsidRPr="00C24B66">
          <w:rPr>
            <w:rStyle w:val="Hyperlink"/>
            <w:noProof/>
          </w:rPr>
          <w:t>DAVID J. VITALE v. HOTEL CALIFORNIA, INC., 184 N.J. Super 512, 446 A.2d 880 (1982)</w:t>
        </w:r>
        <w:r w:rsidR="00F758D4">
          <w:rPr>
            <w:noProof/>
            <w:webHidden/>
          </w:rPr>
          <w:tab/>
        </w:r>
        <w:r w:rsidR="00F758D4">
          <w:rPr>
            <w:noProof/>
            <w:webHidden/>
          </w:rPr>
          <w:fldChar w:fldCharType="begin"/>
        </w:r>
        <w:r w:rsidR="00F758D4">
          <w:rPr>
            <w:noProof/>
            <w:webHidden/>
          </w:rPr>
          <w:instrText xml:space="preserve"> PAGEREF _Toc90983532 \h </w:instrText>
        </w:r>
        <w:r w:rsidR="00F758D4">
          <w:rPr>
            <w:noProof/>
            <w:webHidden/>
          </w:rPr>
        </w:r>
        <w:r w:rsidR="00F758D4">
          <w:rPr>
            <w:noProof/>
            <w:webHidden/>
          </w:rPr>
          <w:fldChar w:fldCharType="separate"/>
        </w:r>
        <w:r w:rsidR="00F758D4">
          <w:rPr>
            <w:noProof/>
            <w:webHidden/>
          </w:rPr>
          <w:t>8</w:t>
        </w:r>
        <w:r w:rsidR="00F758D4">
          <w:rPr>
            <w:noProof/>
            <w:webHidden/>
          </w:rPr>
          <w:fldChar w:fldCharType="end"/>
        </w:r>
      </w:hyperlink>
    </w:p>
    <w:p w14:paraId="44F58E39" w14:textId="7300943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33" w:history="1">
        <w:r w:rsidR="00F758D4" w:rsidRPr="00C24B66">
          <w:rPr>
            <w:rStyle w:val="Hyperlink"/>
            <w:noProof/>
          </w:rPr>
          <w:t>1.7.</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Property Garnishments</w:t>
        </w:r>
        <w:r w:rsidR="00F758D4">
          <w:rPr>
            <w:noProof/>
            <w:webHidden/>
          </w:rPr>
          <w:tab/>
        </w:r>
        <w:r w:rsidR="00F758D4">
          <w:rPr>
            <w:noProof/>
            <w:webHidden/>
          </w:rPr>
          <w:fldChar w:fldCharType="begin"/>
        </w:r>
        <w:r w:rsidR="00F758D4">
          <w:rPr>
            <w:noProof/>
            <w:webHidden/>
          </w:rPr>
          <w:instrText xml:space="preserve"> PAGEREF _Toc90983533 \h </w:instrText>
        </w:r>
        <w:r w:rsidR="00F758D4">
          <w:rPr>
            <w:noProof/>
            <w:webHidden/>
          </w:rPr>
        </w:r>
        <w:r w:rsidR="00F758D4">
          <w:rPr>
            <w:noProof/>
            <w:webHidden/>
          </w:rPr>
          <w:fldChar w:fldCharType="separate"/>
        </w:r>
        <w:r w:rsidR="00F758D4">
          <w:rPr>
            <w:noProof/>
            <w:webHidden/>
          </w:rPr>
          <w:t>11</w:t>
        </w:r>
        <w:r w:rsidR="00F758D4">
          <w:rPr>
            <w:noProof/>
            <w:webHidden/>
          </w:rPr>
          <w:fldChar w:fldCharType="end"/>
        </w:r>
      </w:hyperlink>
    </w:p>
    <w:p w14:paraId="1B5E0C4E" w14:textId="6D519BE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34" w:history="1">
        <w:r w:rsidR="00F758D4" w:rsidRPr="00C24B66">
          <w:rPr>
            <w:rStyle w:val="Hyperlink"/>
            <w:noProof/>
          </w:rPr>
          <w:t>1.8.</w:t>
        </w:r>
        <w:r w:rsidR="00F758D4">
          <w:rPr>
            <w:rFonts w:asciiTheme="minorHAnsi" w:eastAsiaTheme="minorEastAsia" w:hAnsiTheme="minorHAnsi" w:cstheme="minorBidi"/>
            <w:iCs w:val="0"/>
            <w:noProof/>
            <w:color w:val="auto"/>
            <w:sz w:val="22"/>
            <w:szCs w:val="22"/>
          </w:rPr>
          <w:tab/>
        </w:r>
        <w:r w:rsidR="00F758D4" w:rsidRPr="00C24B66">
          <w:rPr>
            <w:rStyle w:val="Hyperlink"/>
            <w:noProof/>
          </w:rPr>
          <w:t>Wage Garnishments</w:t>
        </w:r>
        <w:r w:rsidR="00F758D4">
          <w:rPr>
            <w:noProof/>
            <w:webHidden/>
          </w:rPr>
          <w:tab/>
        </w:r>
        <w:r w:rsidR="00F758D4">
          <w:rPr>
            <w:noProof/>
            <w:webHidden/>
          </w:rPr>
          <w:fldChar w:fldCharType="begin"/>
        </w:r>
        <w:r w:rsidR="00F758D4">
          <w:rPr>
            <w:noProof/>
            <w:webHidden/>
          </w:rPr>
          <w:instrText xml:space="preserve"> PAGEREF _Toc90983534 \h </w:instrText>
        </w:r>
        <w:r w:rsidR="00F758D4">
          <w:rPr>
            <w:noProof/>
            <w:webHidden/>
          </w:rPr>
        </w:r>
        <w:r w:rsidR="00F758D4">
          <w:rPr>
            <w:noProof/>
            <w:webHidden/>
          </w:rPr>
          <w:fldChar w:fldCharType="separate"/>
        </w:r>
        <w:r w:rsidR="00F758D4">
          <w:rPr>
            <w:noProof/>
            <w:webHidden/>
          </w:rPr>
          <w:t>12</w:t>
        </w:r>
        <w:r w:rsidR="00F758D4">
          <w:rPr>
            <w:noProof/>
            <w:webHidden/>
          </w:rPr>
          <w:fldChar w:fldCharType="end"/>
        </w:r>
      </w:hyperlink>
    </w:p>
    <w:p w14:paraId="020ADFE3" w14:textId="70B0B6B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35" w:history="1">
        <w:r w:rsidR="00F758D4" w:rsidRPr="00C24B66">
          <w:rPr>
            <w:rStyle w:val="Hyperlink"/>
            <w:noProof/>
          </w:rPr>
          <w:t>1.8.1.</w:t>
        </w:r>
        <w:r w:rsidR="00F758D4">
          <w:rPr>
            <w:rFonts w:asciiTheme="minorHAnsi" w:eastAsiaTheme="minorEastAsia" w:hAnsiTheme="minorHAnsi" w:cstheme="minorBidi"/>
            <w:noProof/>
            <w:color w:val="auto"/>
            <w:sz w:val="22"/>
            <w:szCs w:val="22"/>
          </w:rPr>
          <w:tab/>
        </w:r>
        <w:r w:rsidR="00F758D4" w:rsidRPr="00C24B66">
          <w:rPr>
            <w:rStyle w:val="Hyperlink"/>
            <w:noProof/>
          </w:rPr>
          <w:t>State Wage Garnishment Exemptions</w:t>
        </w:r>
        <w:r w:rsidR="00F758D4">
          <w:rPr>
            <w:noProof/>
            <w:webHidden/>
          </w:rPr>
          <w:tab/>
        </w:r>
        <w:r w:rsidR="00F758D4">
          <w:rPr>
            <w:noProof/>
            <w:webHidden/>
          </w:rPr>
          <w:fldChar w:fldCharType="begin"/>
        </w:r>
        <w:r w:rsidR="00F758D4">
          <w:rPr>
            <w:noProof/>
            <w:webHidden/>
          </w:rPr>
          <w:instrText xml:space="preserve"> PAGEREF _Toc90983535 \h </w:instrText>
        </w:r>
        <w:r w:rsidR="00F758D4">
          <w:rPr>
            <w:noProof/>
            <w:webHidden/>
          </w:rPr>
        </w:r>
        <w:r w:rsidR="00F758D4">
          <w:rPr>
            <w:noProof/>
            <w:webHidden/>
          </w:rPr>
          <w:fldChar w:fldCharType="separate"/>
        </w:r>
        <w:r w:rsidR="00F758D4">
          <w:rPr>
            <w:noProof/>
            <w:webHidden/>
          </w:rPr>
          <w:t>13</w:t>
        </w:r>
        <w:r w:rsidR="00F758D4">
          <w:rPr>
            <w:noProof/>
            <w:webHidden/>
          </w:rPr>
          <w:fldChar w:fldCharType="end"/>
        </w:r>
      </w:hyperlink>
    </w:p>
    <w:p w14:paraId="763BA8E1" w14:textId="294B4C1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36" w:history="1">
        <w:r w:rsidR="00F758D4" w:rsidRPr="00C24B66">
          <w:rPr>
            <w:rStyle w:val="Hyperlink"/>
            <w:noProof/>
          </w:rPr>
          <w:t>1.8.2.</w:t>
        </w:r>
        <w:r w:rsidR="00F758D4">
          <w:rPr>
            <w:rFonts w:asciiTheme="minorHAnsi" w:eastAsiaTheme="minorEastAsia" w:hAnsiTheme="minorHAnsi" w:cstheme="minorBidi"/>
            <w:noProof/>
            <w:color w:val="auto"/>
            <w:sz w:val="22"/>
            <w:szCs w:val="22"/>
          </w:rPr>
          <w:tab/>
        </w:r>
        <w:r w:rsidR="00F758D4" w:rsidRPr="00C24B66">
          <w:rPr>
            <w:rStyle w:val="Hyperlink"/>
            <w:noProof/>
          </w:rPr>
          <w:t>Exceptions to Wage Garnishment Limits</w:t>
        </w:r>
        <w:r w:rsidR="00F758D4">
          <w:rPr>
            <w:noProof/>
            <w:webHidden/>
          </w:rPr>
          <w:tab/>
        </w:r>
        <w:r w:rsidR="00F758D4">
          <w:rPr>
            <w:noProof/>
            <w:webHidden/>
          </w:rPr>
          <w:fldChar w:fldCharType="begin"/>
        </w:r>
        <w:r w:rsidR="00F758D4">
          <w:rPr>
            <w:noProof/>
            <w:webHidden/>
          </w:rPr>
          <w:instrText xml:space="preserve"> PAGEREF _Toc90983536 \h </w:instrText>
        </w:r>
        <w:r w:rsidR="00F758D4">
          <w:rPr>
            <w:noProof/>
            <w:webHidden/>
          </w:rPr>
        </w:r>
        <w:r w:rsidR="00F758D4">
          <w:rPr>
            <w:noProof/>
            <w:webHidden/>
          </w:rPr>
          <w:fldChar w:fldCharType="separate"/>
        </w:r>
        <w:r w:rsidR="00F758D4">
          <w:rPr>
            <w:noProof/>
            <w:webHidden/>
          </w:rPr>
          <w:t>13</w:t>
        </w:r>
        <w:r w:rsidR="00F758D4">
          <w:rPr>
            <w:noProof/>
            <w:webHidden/>
          </w:rPr>
          <w:fldChar w:fldCharType="end"/>
        </w:r>
      </w:hyperlink>
    </w:p>
    <w:p w14:paraId="69CAC064" w14:textId="028FED71"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37" w:history="1">
        <w:r w:rsidR="00F758D4" w:rsidRPr="00C24B66">
          <w:rPr>
            <w:rStyle w:val="Hyperlink"/>
            <w:noProof/>
          </w:rPr>
          <w:t>1.8.3.</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Calculating Wage Garnishment Limits</w:t>
        </w:r>
        <w:r w:rsidR="00F758D4">
          <w:rPr>
            <w:noProof/>
            <w:webHidden/>
          </w:rPr>
          <w:tab/>
        </w:r>
        <w:r w:rsidR="00F758D4">
          <w:rPr>
            <w:noProof/>
            <w:webHidden/>
          </w:rPr>
          <w:fldChar w:fldCharType="begin"/>
        </w:r>
        <w:r w:rsidR="00F758D4">
          <w:rPr>
            <w:noProof/>
            <w:webHidden/>
          </w:rPr>
          <w:instrText xml:space="preserve"> PAGEREF _Toc90983537 \h </w:instrText>
        </w:r>
        <w:r w:rsidR="00F758D4">
          <w:rPr>
            <w:noProof/>
            <w:webHidden/>
          </w:rPr>
        </w:r>
        <w:r w:rsidR="00F758D4">
          <w:rPr>
            <w:noProof/>
            <w:webHidden/>
          </w:rPr>
          <w:fldChar w:fldCharType="separate"/>
        </w:r>
        <w:r w:rsidR="00F758D4">
          <w:rPr>
            <w:noProof/>
            <w:webHidden/>
          </w:rPr>
          <w:t>14</w:t>
        </w:r>
        <w:r w:rsidR="00F758D4">
          <w:rPr>
            <w:noProof/>
            <w:webHidden/>
          </w:rPr>
          <w:fldChar w:fldCharType="end"/>
        </w:r>
      </w:hyperlink>
    </w:p>
    <w:p w14:paraId="2243A874" w14:textId="1CFEFA6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38" w:history="1">
        <w:r w:rsidR="00F758D4" w:rsidRPr="00C24B66">
          <w:rPr>
            <w:rStyle w:val="Hyperlink"/>
            <w:noProof/>
          </w:rPr>
          <w:t>1.9.</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State Law Execution Exemptions</w:t>
        </w:r>
        <w:r w:rsidR="00F758D4">
          <w:rPr>
            <w:noProof/>
            <w:webHidden/>
          </w:rPr>
          <w:tab/>
        </w:r>
        <w:r w:rsidR="00F758D4">
          <w:rPr>
            <w:noProof/>
            <w:webHidden/>
          </w:rPr>
          <w:fldChar w:fldCharType="begin"/>
        </w:r>
        <w:r w:rsidR="00F758D4">
          <w:rPr>
            <w:noProof/>
            <w:webHidden/>
          </w:rPr>
          <w:instrText xml:space="preserve"> PAGEREF _Toc90983538 \h </w:instrText>
        </w:r>
        <w:r w:rsidR="00F758D4">
          <w:rPr>
            <w:noProof/>
            <w:webHidden/>
          </w:rPr>
        </w:r>
        <w:r w:rsidR="00F758D4">
          <w:rPr>
            <w:noProof/>
            <w:webHidden/>
          </w:rPr>
          <w:fldChar w:fldCharType="separate"/>
        </w:r>
        <w:r w:rsidR="00F758D4">
          <w:rPr>
            <w:noProof/>
            <w:webHidden/>
          </w:rPr>
          <w:t>14</w:t>
        </w:r>
        <w:r w:rsidR="00F758D4">
          <w:rPr>
            <w:noProof/>
            <w:webHidden/>
          </w:rPr>
          <w:fldChar w:fldCharType="end"/>
        </w:r>
      </w:hyperlink>
    </w:p>
    <w:p w14:paraId="18A221BD" w14:textId="3C11092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39" w:history="1">
        <w:r w:rsidR="00F758D4" w:rsidRPr="00C24B66">
          <w:rPr>
            <w:rStyle w:val="Hyperlink"/>
            <w:noProof/>
          </w:rPr>
          <w:t>1.9.1.</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Enforcement of Judgments and Exemptions</w:t>
        </w:r>
        <w:r w:rsidR="00F758D4">
          <w:rPr>
            <w:noProof/>
            <w:webHidden/>
          </w:rPr>
          <w:tab/>
        </w:r>
        <w:r w:rsidR="00F758D4">
          <w:rPr>
            <w:noProof/>
            <w:webHidden/>
          </w:rPr>
          <w:fldChar w:fldCharType="begin"/>
        </w:r>
        <w:r w:rsidR="00F758D4">
          <w:rPr>
            <w:noProof/>
            <w:webHidden/>
          </w:rPr>
          <w:instrText xml:space="preserve"> PAGEREF _Toc90983539 \h </w:instrText>
        </w:r>
        <w:r w:rsidR="00F758D4">
          <w:rPr>
            <w:noProof/>
            <w:webHidden/>
          </w:rPr>
        </w:r>
        <w:r w:rsidR="00F758D4">
          <w:rPr>
            <w:noProof/>
            <w:webHidden/>
          </w:rPr>
          <w:fldChar w:fldCharType="separate"/>
        </w:r>
        <w:r w:rsidR="00F758D4">
          <w:rPr>
            <w:noProof/>
            <w:webHidden/>
          </w:rPr>
          <w:t>14</w:t>
        </w:r>
        <w:r w:rsidR="00F758D4">
          <w:rPr>
            <w:noProof/>
            <w:webHidden/>
          </w:rPr>
          <w:fldChar w:fldCharType="end"/>
        </w:r>
      </w:hyperlink>
    </w:p>
    <w:p w14:paraId="1EF520F6" w14:textId="17892ED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0" w:history="1">
        <w:r w:rsidR="00F758D4" w:rsidRPr="00C24B66">
          <w:rPr>
            <w:rStyle w:val="Hyperlink"/>
            <w:noProof/>
          </w:rPr>
          <w:t>1.10.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Other Federal and State Exemptions</w:t>
        </w:r>
        <w:r w:rsidR="00F758D4">
          <w:rPr>
            <w:noProof/>
            <w:webHidden/>
          </w:rPr>
          <w:tab/>
        </w:r>
        <w:r w:rsidR="00F758D4">
          <w:rPr>
            <w:noProof/>
            <w:webHidden/>
          </w:rPr>
          <w:fldChar w:fldCharType="begin"/>
        </w:r>
        <w:r w:rsidR="00F758D4">
          <w:rPr>
            <w:noProof/>
            <w:webHidden/>
          </w:rPr>
          <w:instrText xml:space="preserve"> PAGEREF _Toc90983540 \h </w:instrText>
        </w:r>
        <w:r w:rsidR="00F758D4">
          <w:rPr>
            <w:noProof/>
            <w:webHidden/>
          </w:rPr>
        </w:r>
        <w:r w:rsidR="00F758D4">
          <w:rPr>
            <w:noProof/>
            <w:webHidden/>
          </w:rPr>
          <w:fldChar w:fldCharType="separate"/>
        </w:r>
        <w:r w:rsidR="00F758D4">
          <w:rPr>
            <w:noProof/>
            <w:webHidden/>
          </w:rPr>
          <w:t>15</w:t>
        </w:r>
        <w:r w:rsidR="00F758D4">
          <w:rPr>
            <w:noProof/>
            <w:webHidden/>
          </w:rPr>
          <w:fldChar w:fldCharType="end"/>
        </w:r>
      </w:hyperlink>
    </w:p>
    <w:p w14:paraId="3CFE33EA" w14:textId="231BAC9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1" w:history="1">
        <w:r w:rsidR="00F758D4" w:rsidRPr="00C24B66">
          <w:rPr>
            <w:rStyle w:val="Hyperlink"/>
            <w:noProof/>
          </w:rPr>
          <w:t>1.11.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Federal Tax Collection</w:t>
        </w:r>
        <w:r w:rsidR="00F758D4">
          <w:rPr>
            <w:noProof/>
            <w:webHidden/>
          </w:rPr>
          <w:tab/>
        </w:r>
        <w:r w:rsidR="00F758D4">
          <w:rPr>
            <w:noProof/>
            <w:webHidden/>
          </w:rPr>
          <w:fldChar w:fldCharType="begin"/>
        </w:r>
        <w:r w:rsidR="00F758D4">
          <w:rPr>
            <w:noProof/>
            <w:webHidden/>
          </w:rPr>
          <w:instrText xml:space="preserve"> PAGEREF _Toc90983541 \h </w:instrText>
        </w:r>
        <w:r w:rsidR="00F758D4">
          <w:rPr>
            <w:noProof/>
            <w:webHidden/>
          </w:rPr>
        </w:r>
        <w:r w:rsidR="00F758D4">
          <w:rPr>
            <w:noProof/>
            <w:webHidden/>
          </w:rPr>
          <w:fldChar w:fldCharType="separate"/>
        </w:r>
        <w:r w:rsidR="00F758D4">
          <w:rPr>
            <w:noProof/>
            <w:webHidden/>
          </w:rPr>
          <w:t>15</w:t>
        </w:r>
        <w:r w:rsidR="00F758D4">
          <w:rPr>
            <w:noProof/>
            <w:webHidden/>
          </w:rPr>
          <w:fldChar w:fldCharType="end"/>
        </w:r>
      </w:hyperlink>
    </w:p>
    <w:p w14:paraId="7F1A7AD6" w14:textId="1168A47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2" w:history="1">
        <w:r w:rsidR="00F758D4" w:rsidRPr="00C24B66">
          <w:rPr>
            <w:rStyle w:val="Hyperlink"/>
            <w:noProof/>
          </w:rPr>
          <w:t>1.12.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State Law Avoiding Powers – Fraudulent Transfers Law</w:t>
        </w:r>
        <w:r w:rsidR="00F758D4">
          <w:rPr>
            <w:noProof/>
            <w:webHidden/>
          </w:rPr>
          <w:tab/>
        </w:r>
        <w:r w:rsidR="00F758D4">
          <w:rPr>
            <w:noProof/>
            <w:webHidden/>
          </w:rPr>
          <w:fldChar w:fldCharType="begin"/>
        </w:r>
        <w:r w:rsidR="00F758D4">
          <w:rPr>
            <w:noProof/>
            <w:webHidden/>
          </w:rPr>
          <w:instrText xml:space="preserve"> PAGEREF _Toc90983542 \h </w:instrText>
        </w:r>
        <w:r w:rsidR="00F758D4">
          <w:rPr>
            <w:noProof/>
            <w:webHidden/>
          </w:rPr>
        </w:r>
        <w:r w:rsidR="00F758D4">
          <w:rPr>
            <w:noProof/>
            <w:webHidden/>
          </w:rPr>
          <w:fldChar w:fldCharType="separate"/>
        </w:r>
        <w:r w:rsidR="00F758D4">
          <w:rPr>
            <w:noProof/>
            <w:webHidden/>
          </w:rPr>
          <w:t>16</w:t>
        </w:r>
        <w:r w:rsidR="00F758D4">
          <w:rPr>
            <w:noProof/>
            <w:webHidden/>
          </w:rPr>
          <w:fldChar w:fldCharType="end"/>
        </w:r>
      </w:hyperlink>
    </w:p>
    <w:p w14:paraId="35E753FC" w14:textId="28387BAB"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43" w:history="1">
        <w:r w:rsidR="00F758D4" w:rsidRPr="00C24B66">
          <w:rPr>
            <w:rStyle w:val="Hyperlink"/>
            <w:noProof/>
          </w:rPr>
          <w:t>1.12.1.</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Fraudulent Transfers</w:t>
        </w:r>
        <w:r w:rsidR="00F758D4">
          <w:rPr>
            <w:noProof/>
            <w:webHidden/>
          </w:rPr>
          <w:tab/>
        </w:r>
        <w:r w:rsidR="00F758D4">
          <w:rPr>
            <w:noProof/>
            <w:webHidden/>
          </w:rPr>
          <w:fldChar w:fldCharType="begin"/>
        </w:r>
        <w:r w:rsidR="00F758D4">
          <w:rPr>
            <w:noProof/>
            <w:webHidden/>
          </w:rPr>
          <w:instrText xml:space="preserve"> PAGEREF _Toc90983543 \h </w:instrText>
        </w:r>
        <w:r w:rsidR="00F758D4">
          <w:rPr>
            <w:noProof/>
            <w:webHidden/>
          </w:rPr>
        </w:r>
        <w:r w:rsidR="00F758D4">
          <w:rPr>
            <w:noProof/>
            <w:webHidden/>
          </w:rPr>
          <w:fldChar w:fldCharType="separate"/>
        </w:r>
        <w:r w:rsidR="00F758D4">
          <w:rPr>
            <w:noProof/>
            <w:webHidden/>
          </w:rPr>
          <w:t>17</w:t>
        </w:r>
        <w:r w:rsidR="00F758D4">
          <w:rPr>
            <w:noProof/>
            <w:webHidden/>
          </w:rPr>
          <w:fldChar w:fldCharType="end"/>
        </w:r>
      </w:hyperlink>
    </w:p>
    <w:p w14:paraId="068DC849" w14:textId="692B6B4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4" w:history="1">
        <w:r w:rsidR="00F758D4" w:rsidRPr="00C24B66">
          <w:rPr>
            <w:rStyle w:val="Hyperlink"/>
            <w:noProof/>
          </w:rPr>
          <w:t>1.13.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Race to the Courthouse and the Concept of Bankruptcy</w:t>
        </w:r>
        <w:r w:rsidR="00F758D4">
          <w:rPr>
            <w:noProof/>
            <w:webHidden/>
          </w:rPr>
          <w:tab/>
        </w:r>
        <w:r w:rsidR="00F758D4">
          <w:rPr>
            <w:noProof/>
            <w:webHidden/>
          </w:rPr>
          <w:fldChar w:fldCharType="begin"/>
        </w:r>
        <w:r w:rsidR="00F758D4">
          <w:rPr>
            <w:noProof/>
            <w:webHidden/>
          </w:rPr>
          <w:instrText xml:space="preserve"> PAGEREF _Toc90983544 \h </w:instrText>
        </w:r>
        <w:r w:rsidR="00F758D4">
          <w:rPr>
            <w:noProof/>
            <w:webHidden/>
          </w:rPr>
        </w:r>
        <w:r w:rsidR="00F758D4">
          <w:rPr>
            <w:noProof/>
            <w:webHidden/>
          </w:rPr>
          <w:fldChar w:fldCharType="separate"/>
        </w:r>
        <w:r w:rsidR="00F758D4">
          <w:rPr>
            <w:noProof/>
            <w:webHidden/>
          </w:rPr>
          <w:t>18</w:t>
        </w:r>
        <w:r w:rsidR="00F758D4">
          <w:rPr>
            <w:noProof/>
            <w:webHidden/>
          </w:rPr>
          <w:fldChar w:fldCharType="end"/>
        </w:r>
      </w:hyperlink>
    </w:p>
    <w:p w14:paraId="084954EA" w14:textId="479B37A5"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545" w:history="1">
        <w:r w:rsidR="00F758D4" w:rsidRPr="00C24B66">
          <w:rPr>
            <w:rStyle w:val="Hyperlink"/>
            <w:noProof/>
          </w:rPr>
          <w:t>Chapter 2.</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Secured Claims</w:t>
        </w:r>
        <w:r w:rsidR="00F758D4">
          <w:rPr>
            <w:noProof/>
            <w:webHidden/>
          </w:rPr>
          <w:tab/>
        </w:r>
        <w:r w:rsidR="00F758D4">
          <w:rPr>
            <w:noProof/>
            <w:webHidden/>
          </w:rPr>
          <w:fldChar w:fldCharType="begin"/>
        </w:r>
        <w:r w:rsidR="00F758D4">
          <w:rPr>
            <w:noProof/>
            <w:webHidden/>
          </w:rPr>
          <w:instrText xml:space="preserve"> PAGEREF _Toc90983545 \h </w:instrText>
        </w:r>
        <w:r w:rsidR="00F758D4">
          <w:rPr>
            <w:noProof/>
            <w:webHidden/>
          </w:rPr>
        </w:r>
        <w:r w:rsidR="00F758D4">
          <w:rPr>
            <w:noProof/>
            <w:webHidden/>
          </w:rPr>
          <w:fldChar w:fldCharType="separate"/>
        </w:r>
        <w:r w:rsidR="00F758D4">
          <w:rPr>
            <w:noProof/>
            <w:webHidden/>
          </w:rPr>
          <w:t>20</w:t>
        </w:r>
        <w:r w:rsidR="00F758D4">
          <w:rPr>
            <w:noProof/>
            <w:webHidden/>
          </w:rPr>
          <w:fldChar w:fldCharType="end"/>
        </w:r>
      </w:hyperlink>
    </w:p>
    <w:p w14:paraId="004B57EC" w14:textId="2D5EEAC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6" w:history="1">
        <w:r w:rsidR="00F758D4" w:rsidRPr="00C24B66">
          <w:rPr>
            <w:rStyle w:val="Hyperlink"/>
            <w:noProof/>
          </w:rPr>
          <w:t>2.1.</w:t>
        </w:r>
        <w:r w:rsidR="00F758D4">
          <w:rPr>
            <w:rFonts w:asciiTheme="minorHAnsi" w:eastAsiaTheme="minorEastAsia" w:hAnsiTheme="minorHAnsi" w:cstheme="minorBidi"/>
            <w:iCs w:val="0"/>
            <w:noProof/>
            <w:color w:val="auto"/>
            <w:sz w:val="22"/>
            <w:szCs w:val="22"/>
          </w:rPr>
          <w:tab/>
        </w:r>
        <w:r w:rsidR="00F758D4" w:rsidRPr="00C24B66">
          <w:rPr>
            <w:rStyle w:val="Hyperlink"/>
            <w:noProof/>
          </w:rPr>
          <w:t>Liens and Priority</w:t>
        </w:r>
        <w:r w:rsidR="00F758D4">
          <w:rPr>
            <w:noProof/>
            <w:webHidden/>
          </w:rPr>
          <w:tab/>
        </w:r>
        <w:r w:rsidR="00F758D4">
          <w:rPr>
            <w:noProof/>
            <w:webHidden/>
          </w:rPr>
          <w:fldChar w:fldCharType="begin"/>
        </w:r>
        <w:r w:rsidR="00F758D4">
          <w:rPr>
            <w:noProof/>
            <w:webHidden/>
          </w:rPr>
          <w:instrText xml:space="preserve"> PAGEREF _Toc90983546 \h </w:instrText>
        </w:r>
        <w:r w:rsidR="00F758D4">
          <w:rPr>
            <w:noProof/>
            <w:webHidden/>
          </w:rPr>
        </w:r>
        <w:r w:rsidR="00F758D4">
          <w:rPr>
            <w:noProof/>
            <w:webHidden/>
          </w:rPr>
          <w:fldChar w:fldCharType="separate"/>
        </w:r>
        <w:r w:rsidR="00F758D4">
          <w:rPr>
            <w:noProof/>
            <w:webHidden/>
          </w:rPr>
          <w:t>20</w:t>
        </w:r>
        <w:r w:rsidR="00F758D4">
          <w:rPr>
            <w:noProof/>
            <w:webHidden/>
          </w:rPr>
          <w:fldChar w:fldCharType="end"/>
        </w:r>
      </w:hyperlink>
    </w:p>
    <w:p w14:paraId="6578B413" w14:textId="48D74F4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7" w:history="1">
        <w:r w:rsidR="00F758D4" w:rsidRPr="00C24B66">
          <w:rPr>
            <w:rStyle w:val="Hyperlink"/>
            <w:noProof/>
          </w:rPr>
          <w:t>2.2.</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Attachment of Consensual Liens</w:t>
        </w:r>
        <w:r w:rsidR="00F758D4">
          <w:rPr>
            <w:noProof/>
            <w:webHidden/>
          </w:rPr>
          <w:tab/>
        </w:r>
        <w:r w:rsidR="00F758D4">
          <w:rPr>
            <w:noProof/>
            <w:webHidden/>
          </w:rPr>
          <w:fldChar w:fldCharType="begin"/>
        </w:r>
        <w:r w:rsidR="00F758D4">
          <w:rPr>
            <w:noProof/>
            <w:webHidden/>
          </w:rPr>
          <w:instrText xml:space="preserve"> PAGEREF _Toc90983547 \h </w:instrText>
        </w:r>
        <w:r w:rsidR="00F758D4">
          <w:rPr>
            <w:noProof/>
            <w:webHidden/>
          </w:rPr>
        </w:r>
        <w:r w:rsidR="00F758D4">
          <w:rPr>
            <w:noProof/>
            <w:webHidden/>
          </w:rPr>
          <w:fldChar w:fldCharType="separate"/>
        </w:r>
        <w:r w:rsidR="00F758D4">
          <w:rPr>
            <w:noProof/>
            <w:webHidden/>
          </w:rPr>
          <w:t>20</w:t>
        </w:r>
        <w:r w:rsidR="00F758D4">
          <w:rPr>
            <w:noProof/>
            <w:webHidden/>
          </w:rPr>
          <w:fldChar w:fldCharType="end"/>
        </w:r>
      </w:hyperlink>
    </w:p>
    <w:p w14:paraId="62A137B6" w14:textId="61F0A93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8" w:history="1">
        <w:r w:rsidR="00F758D4" w:rsidRPr="00C24B66">
          <w:rPr>
            <w:rStyle w:val="Hyperlink"/>
            <w:noProof/>
          </w:rPr>
          <w:t>2.3.</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Attachment of Consensual Liens on Real Property</w:t>
        </w:r>
        <w:r w:rsidR="00F758D4">
          <w:rPr>
            <w:noProof/>
            <w:webHidden/>
          </w:rPr>
          <w:tab/>
        </w:r>
        <w:r w:rsidR="00F758D4">
          <w:rPr>
            <w:noProof/>
            <w:webHidden/>
          </w:rPr>
          <w:fldChar w:fldCharType="begin"/>
        </w:r>
        <w:r w:rsidR="00F758D4">
          <w:rPr>
            <w:noProof/>
            <w:webHidden/>
          </w:rPr>
          <w:instrText xml:space="preserve"> PAGEREF _Toc90983548 \h </w:instrText>
        </w:r>
        <w:r w:rsidR="00F758D4">
          <w:rPr>
            <w:noProof/>
            <w:webHidden/>
          </w:rPr>
        </w:r>
        <w:r w:rsidR="00F758D4">
          <w:rPr>
            <w:noProof/>
            <w:webHidden/>
          </w:rPr>
          <w:fldChar w:fldCharType="separate"/>
        </w:r>
        <w:r w:rsidR="00F758D4">
          <w:rPr>
            <w:noProof/>
            <w:webHidden/>
          </w:rPr>
          <w:t>21</w:t>
        </w:r>
        <w:r w:rsidR="00F758D4">
          <w:rPr>
            <w:noProof/>
            <w:webHidden/>
          </w:rPr>
          <w:fldChar w:fldCharType="end"/>
        </w:r>
      </w:hyperlink>
    </w:p>
    <w:p w14:paraId="5DE31E2D" w14:textId="00AC6AB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49" w:history="1">
        <w:r w:rsidR="00F758D4" w:rsidRPr="00C24B66">
          <w:rPr>
            <w:rStyle w:val="Hyperlink"/>
            <w:noProof/>
          </w:rPr>
          <w:t>2.4.</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Attachment of Consensual Liens on Personal Property</w:t>
        </w:r>
        <w:r w:rsidR="00F758D4">
          <w:rPr>
            <w:noProof/>
            <w:webHidden/>
          </w:rPr>
          <w:tab/>
        </w:r>
        <w:r w:rsidR="00F758D4">
          <w:rPr>
            <w:noProof/>
            <w:webHidden/>
          </w:rPr>
          <w:fldChar w:fldCharType="begin"/>
        </w:r>
        <w:r w:rsidR="00F758D4">
          <w:rPr>
            <w:noProof/>
            <w:webHidden/>
          </w:rPr>
          <w:instrText xml:space="preserve"> PAGEREF _Toc90983549 \h </w:instrText>
        </w:r>
        <w:r w:rsidR="00F758D4">
          <w:rPr>
            <w:noProof/>
            <w:webHidden/>
          </w:rPr>
        </w:r>
        <w:r w:rsidR="00F758D4">
          <w:rPr>
            <w:noProof/>
            <w:webHidden/>
          </w:rPr>
          <w:fldChar w:fldCharType="separate"/>
        </w:r>
        <w:r w:rsidR="00F758D4">
          <w:rPr>
            <w:noProof/>
            <w:webHidden/>
          </w:rPr>
          <w:t>21</w:t>
        </w:r>
        <w:r w:rsidR="00F758D4">
          <w:rPr>
            <w:noProof/>
            <w:webHidden/>
          </w:rPr>
          <w:fldChar w:fldCharType="end"/>
        </w:r>
      </w:hyperlink>
    </w:p>
    <w:p w14:paraId="6D09951D" w14:textId="2C04844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0" w:history="1">
        <w:r w:rsidR="00F758D4" w:rsidRPr="00C24B66">
          <w:rPr>
            <w:rStyle w:val="Hyperlink"/>
            <w:noProof/>
          </w:rPr>
          <w:t>2.5.</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Attachment of Judicial Liens</w:t>
        </w:r>
        <w:r w:rsidR="00F758D4">
          <w:rPr>
            <w:noProof/>
            <w:webHidden/>
          </w:rPr>
          <w:tab/>
        </w:r>
        <w:r w:rsidR="00F758D4">
          <w:rPr>
            <w:noProof/>
            <w:webHidden/>
          </w:rPr>
          <w:fldChar w:fldCharType="begin"/>
        </w:r>
        <w:r w:rsidR="00F758D4">
          <w:rPr>
            <w:noProof/>
            <w:webHidden/>
          </w:rPr>
          <w:instrText xml:space="preserve"> PAGEREF _Toc90983550 \h </w:instrText>
        </w:r>
        <w:r w:rsidR="00F758D4">
          <w:rPr>
            <w:noProof/>
            <w:webHidden/>
          </w:rPr>
        </w:r>
        <w:r w:rsidR="00F758D4">
          <w:rPr>
            <w:noProof/>
            <w:webHidden/>
          </w:rPr>
          <w:fldChar w:fldCharType="separate"/>
        </w:r>
        <w:r w:rsidR="00F758D4">
          <w:rPr>
            <w:noProof/>
            <w:webHidden/>
          </w:rPr>
          <w:t>22</w:t>
        </w:r>
        <w:r w:rsidR="00F758D4">
          <w:rPr>
            <w:noProof/>
            <w:webHidden/>
          </w:rPr>
          <w:fldChar w:fldCharType="end"/>
        </w:r>
      </w:hyperlink>
    </w:p>
    <w:p w14:paraId="23AA618A" w14:textId="6A46CDF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1" w:history="1">
        <w:r w:rsidR="00F758D4" w:rsidRPr="00C24B66">
          <w:rPr>
            <w:rStyle w:val="Hyperlink"/>
            <w:noProof/>
          </w:rPr>
          <w:t>2.6.</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Attachment of Statutory Liens</w:t>
        </w:r>
        <w:r w:rsidR="00F758D4">
          <w:rPr>
            <w:noProof/>
            <w:webHidden/>
          </w:rPr>
          <w:tab/>
        </w:r>
        <w:r w:rsidR="00F758D4">
          <w:rPr>
            <w:noProof/>
            <w:webHidden/>
          </w:rPr>
          <w:fldChar w:fldCharType="begin"/>
        </w:r>
        <w:r w:rsidR="00F758D4">
          <w:rPr>
            <w:noProof/>
            <w:webHidden/>
          </w:rPr>
          <w:instrText xml:space="preserve"> PAGEREF _Toc90983551 \h </w:instrText>
        </w:r>
        <w:r w:rsidR="00F758D4">
          <w:rPr>
            <w:noProof/>
            <w:webHidden/>
          </w:rPr>
        </w:r>
        <w:r w:rsidR="00F758D4">
          <w:rPr>
            <w:noProof/>
            <w:webHidden/>
          </w:rPr>
          <w:fldChar w:fldCharType="separate"/>
        </w:r>
        <w:r w:rsidR="00F758D4">
          <w:rPr>
            <w:noProof/>
            <w:webHidden/>
          </w:rPr>
          <w:t>23</w:t>
        </w:r>
        <w:r w:rsidR="00F758D4">
          <w:rPr>
            <w:noProof/>
            <w:webHidden/>
          </w:rPr>
          <w:fldChar w:fldCharType="end"/>
        </w:r>
      </w:hyperlink>
    </w:p>
    <w:p w14:paraId="5A6CA31A" w14:textId="798E150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2" w:history="1">
        <w:r w:rsidR="00F758D4" w:rsidRPr="00C24B66">
          <w:rPr>
            <w:rStyle w:val="Hyperlink"/>
            <w:noProof/>
          </w:rPr>
          <w:t>2.7.</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Concept of Perfecting Liens</w:t>
        </w:r>
        <w:r w:rsidR="00F758D4">
          <w:rPr>
            <w:noProof/>
            <w:webHidden/>
          </w:rPr>
          <w:tab/>
        </w:r>
        <w:r w:rsidR="00F758D4">
          <w:rPr>
            <w:noProof/>
            <w:webHidden/>
          </w:rPr>
          <w:fldChar w:fldCharType="begin"/>
        </w:r>
        <w:r w:rsidR="00F758D4">
          <w:rPr>
            <w:noProof/>
            <w:webHidden/>
          </w:rPr>
          <w:instrText xml:space="preserve"> PAGEREF _Toc90983552 \h </w:instrText>
        </w:r>
        <w:r w:rsidR="00F758D4">
          <w:rPr>
            <w:noProof/>
            <w:webHidden/>
          </w:rPr>
        </w:r>
        <w:r w:rsidR="00F758D4">
          <w:rPr>
            <w:noProof/>
            <w:webHidden/>
          </w:rPr>
          <w:fldChar w:fldCharType="separate"/>
        </w:r>
        <w:r w:rsidR="00F758D4">
          <w:rPr>
            <w:noProof/>
            <w:webHidden/>
          </w:rPr>
          <w:t>24</w:t>
        </w:r>
        <w:r w:rsidR="00F758D4">
          <w:rPr>
            <w:noProof/>
            <w:webHidden/>
          </w:rPr>
          <w:fldChar w:fldCharType="end"/>
        </w:r>
      </w:hyperlink>
    </w:p>
    <w:p w14:paraId="14BA1096" w14:textId="7D603EC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53" w:history="1">
        <w:r w:rsidR="00F758D4" w:rsidRPr="00C24B66">
          <w:rPr>
            <w:rStyle w:val="Hyperlink"/>
            <w:noProof/>
          </w:rPr>
          <w:t>2.7.1.</w:t>
        </w:r>
        <w:r w:rsidR="00F758D4">
          <w:rPr>
            <w:rFonts w:asciiTheme="minorHAnsi" w:eastAsiaTheme="minorEastAsia" w:hAnsiTheme="minorHAnsi" w:cstheme="minorBidi"/>
            <w:noProof/>
            <w:color w:val="auto"/>
            <w:sz w:val="22"/>
            <w:szCs w:val="22"/>
          </w:rPr>
          <w:tab/>
        </w:r>
        <w:r w:rsidR="00F758D4" w:rsidRPr="00C24B66">
          <w:rPr>
            <w:rStyle w:val="Hyperlink"/>
            <w:noProof/>
          </w:rPr>
          <w:t>Perfection of Consensual Personal Property Liens</w:t>
        </w:r>
        <w:r w:rsidR="00F758D4">
          <w:rPr>
            <w:noProof/>
            <w:webHidden/>
          </w:rPr>
          <w:tab/>
        </w:r>
        <w:r w:rsidR="00F758D4">
          <w:rPr>
            <w:noProof/>
            <w:webHidden/>
          </w:rPr>
          <w:fldChar w:fldCharType="begin"/>
        </w:r>
        <w:r w:rsidR="00F758D4">
          <w:rPr>
            <w:noProof/>
            <w:webHidden/>
          </w:rPr>
          <w:instrText xml:space="preserve"> PAGEREF _Toc90983553 \h </w:instrText>
        </w:r>
        <w:r w:rsidR="00F758D4">
          <w:rPr>
            <w:noProof/>
            <w:webHidden/>
          </w:rPr>
        </w:r>
        <w:r w:rsidR="00F758D4">
          <w:rPr>
            <w:noProof/>
            <w:webHidden/>
          </w:rPr>
          <w:fldChar w:fldCharType="separate"/>
        </w:r>
        <w:r w:rsidR="00F758D4">
          <w:rPr>
            <w:noProof/>
            <w:webHidden/>
          </w:rPr>
          <w:t>24</w:t>
        </w:r>
        <w:r w:rsidR="00F758D4">
          <w:rPr>
            <w:noProof/>
            <w:webHidden/>
          </w:rPr>
          <w:fldChar w:fldCharType="end"/>
        </w:r>
      </w:hyperlink>
    </w:p>
    <w:p w14:paraId="411B12CC" w14:textId="3ABA414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54" w:history="1">
        <w:r w:rsidR="00F758D4" w:rsidRPr="00C24B66">
          <w:rPr>
            <w:rStyle w:val="Hyperlink"/>
            <w:noProof/>
          </w:rPr>
          <w:t>2.7.2.</w:t>
        </w:r>
        <w:r w:rsidR="00F758D4">
          <w:rPr>
            <w:rFonts w:asciiTheme="minorHAnsi" w:eastAsiaTheme="minorEastAsia" w:hAnsiTheme="minorHAnsi" w:cstheme="minorBidi"/>
            <w:noProof/>
            <w:color w:val="auto"/>
            <w:sz w:val="22"/>
            <w:szCs w:val="22"/>
          </w:rPr>
          <w:tab/>
        </w:r>
        <w:r w:rsidR="00F758D4" w:rsidRPr="00C24B66">
          <w:rPr>
            <w:rStyle w:val="Hyperlink"/>
            <w:noProof/>
          </w:rPr>
          <w:t>Priority of Consensual Liens on Personal Property</w:t>
        </w:r>
        <w:r w:rsidR="00F758D4">
          <w:rPr>
            <w:noProof/>
            <w:webHidden/>
          </w:rPr>
          <w:tab/>
        </w:r>
        <w:r w:rsidR="00F758D4">
          <w:rPr>
            <w:noProof/>
            <w:webHidden/>
          </w:rPr>
          <w:fldChar w:fldCharType="begin"/>
        </w:r>
        <w:r w:rsidR="00F758D4">
          <w:rPr>
            <w:noProof/>
            <w:webHidden/>
          </w:rPr>
          <w:instrText xml:space="preserve"> PAGEREF _Toc90983554 \h </w:instrText>
        </w:r>
        <w:r w:rsidR="00F758D4">
          <w:rPr>
            <w:noProof/>
            <w:webHidden/>
          </w:rPr>
        </w:r>
        <w:r w:rsidR="00F758D4">
          <w:rPr>
            <w:noProof/>
            <w:webHidden/>
          </w:rPr>
          <w:fldChar w:fldCharType="separate"/>
        </w:r>
        <w:r w:rsidR="00F758D4">
          <w:rPr>
            <w:noProof/>
            <w:webHidden/>
          </w:rPr>
          <w:t>26</w:t>
        </w:r>
        <w:r w:rsidR="00F758D4">
          <w:rPr>
            <w:noProof/>
            <w:webHidden/>
          </w:rPr>
          <w:fldChar w:fldCharType="end"/>
        </w:r>
      </w:hyperlink>
    </w:p>
    <w:p w14:paraId="46AD00D0" w14:textId="5DA6E80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5" w:history="1">
        <w:r w:rsidR="00F758D4" w:rsidRPr="00C24B66">
          <w:rPr>
            <w:rStyle w:val="Hyperlink"/>
            <w:noProof/>
          </w:rPr>
          <w:t>2.8.</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UCC Article 9</w:t>
        </w:r>
        <w:r w:rsidR="00F758D4">
          <w:rPr>
            <w:noProof/>
            <w:webHidden/>
          </w:rPr>
          <w:tab/>
        </w:r>
        <w:r w:rsidR="00F758D4">
          <w:rPr>
            <w:noProof/>
            <w:webHidden/>
          </w:rPr>
          <w:fldChar w:fldCharType="begin"/>
        </w:r>
        <w:r w:rsidR="00F758D4">
          <w:rPr>
            <w:noProof/>
            <w:webHidden/>
          </w:rPr>
          <w:instrText xml:space="preserve"> PAGEREF _Toc90983555 \h </w:instrText>
        </w:r>
        <w:r w:rsidR="00F758D4">
          <w:rPr>
            <w:noProof/>
            <w:webHidden/>
          </w:rPr>
        </w:r>
        <w:r w:rsidR="00F758D4">
          <w:rPr>
            <w:noProof/>
            <w:webHidden/>
          </w:rPr>
          <w:fldChar w:fldCharType="separate"/>
        </w:r>
        <w:r w:rsidR="00F758D4">
          <w:rPr>
            <w:noProof/>
            <w:webHidden/>
          </w:rPr>
          <w:t>27</w:t>
        </w:r>
        <w:r w:rsidR="00F758D4">
          <w:rPr>
            <w:noProof/>
            <w:webHidden/>
          </w:rPr>
          <w:fldChar w:fldCharType="end"/>
        </w:r>
      </w:hyperlink>
    </w:p>
    <w:p w14:paraId="76050A32" w14:textId="513CE3B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6" w:history="1">
        <w:r w:rsidR="00F758D4" w:rsidRPr="00C24B66">
          <w:rPr>
            <w:rStyle w:val="Hyperlink"/>
            <w:noProof/>
          </w:rPr>
          <w:t>2.9.</w:t>
        </w:r>
        <w:r w:rsidR="00F758D4">
          <w:rPr>
            <w:rFonts w:asciiTheme="minorHAnsi" w:eastAsiaTheme="minorEastAsia" w:hAnsiTheme="minorHAnsi" w:cstheme="minorBidi"/>
            <w:iCs w:val="0"/>
            <w:noProof/>
            <w:color w:val="auto"/>
            <w:sz w:val="22"/>
            <w:szCs w:val="22"/>
          </w:rPr>
          <w:tab/>
        </w:r>
        <w:r w:rsidR="00F758D4" w:rsidRPr="00C24B66">
          <w:rPr>
            <w:rStyle w:val="Hyperlink"/>
            <w:noProof/>
          </w:rPr>
          <w:t>Purchase Money Security Interests</w:t>
        </w:r>
        <w:r w:rsidR="00F758D4">
          <w:rPr>
            <w:noProof/>
            <w:webHidden/>
          </w:rPr>
          <w:tab/>
        </w:r>
        <w:r w:rsidR="00F758D4">
          <w:rPr>
            <w:noProof/>
            <w:webHidden/>
          </w:rPr>
          <w:fldChar w:fldCharType="begin"/>
        </w:r>
        <w:r w:rsidR="00F758D4">
          <w:rPr>
            <w:noProof/>
            <w:webHidden/>
          </w:rPr>
          <w:instrText xml:space="preserve"> PAGEREF _Toc90983556 \h </w:instrText>
        </w:r>
        <w:r w:rsidR="00F758D4">
          <w:rPr>
            <w:noProof/>
            <w:webHidden/>
          </w:rPr>
        </w:r>
        <w:r w:rsidR="00F758D4">
          <w:rPr>
            <w:noProof/>
            <w:webHidden/>
          </w:rPr>
          <w:fldChar w:fldCharType="separate"/>
        </w:r>
        <w:r w:rsidR="00F758D4">
          <w:rPr>
            <w:noProof/>
            <w:webHidden/>
          </w:rPr>
          <w:t>28</w:t>
        </w:r>
        <w:r w:rsidR="00F758D4">
          <w:rPr>
            <w:noProof/>
            <w:webHidden/>
          </w:rPr>
          <w:fldChar w:fldCharType="end"/>
        </w:r>
      </w:hyperlink>
    </w:p>
    <w:p w14:paraId="3A6509D0" w14:textId="32C685D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7" w:history="1">
        <w:r w:rsidR="00F758D4" w:rsidRPr="00C24B66">
          <w:rPr>
            <w:rStyle w:val="Hyperlink"/>
            <w:noProof/>
          </w:rPr>
          <w:t>2.10.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Purchase Money Security Interests</w:t>
        </w:r>
        <w:r w:rsidR="00F758D4">
          <w:rPr>
            <w:noProof/>
            <w:webHidden/>
          </w:rPr>
          <w:tab/>
        </w:r>
        <w:r w:rsidR="00F758D4">
          <w:rPr>
            <w:noProof/>
            <w:webHidden/>
          </w:rPr>
          <w:fldChar w:fldCharType="begin"/>
        </w:r>
        <w:r w:rsidR="00F758D4">
          <w:rPr>
            <w:noProof/>
            <w:webHidden/>
          </w:rPr>
          <w:instrText xml:space="preserve"> PAGEREF _Toc90983557 \h </w:instrText>
        </w:r>
        <w:r w:rsidR="00F758D4">
          <w:rPr>
            <w:noProof/>
            <w:webHidden/>
          </w:rPr>
        </w:r>
        <w:r w:rsidR="00F758D4">
          <w:rPr>
            <w:noProof/>
            <w:webHidden/>
          </w:rPr>
          <w:fldChar w:fldCharType="separate"/>
        </w:r>
        <w:r w:rsidR="00F758D4">
          <w:rPr>
            <w:noProof/>
            <w:webHidden/>
          </w:rPr>
          <w:t>28</w:t>
        </w:r>
        <w:r w:rsidR="00F758D4">
          <w:rPr>
            <w:noProof/>
            <w:webHidden/>
          </w:rPr>
          <w:fldChar w:fldCharType="end"/>
        </w:r>
      </w:hyperlink>
    </w:p>
    <w:p w14:paraId="51364EE6" w14:textId="24E37F1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8" w:history="1">
        <w:r w:rsidR="00F758D4" w:rsidRPr="00C24B66">
          <w:rPr>
            <w:rStyle w:val="Hyperlink"/>
            <w:noProof/>
          </w:rPr>
          <w:t>2.11.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Perfection and Priority of Real Property Liens</w:t>
        </w:r>
        <w:r w:rsidR="00F758D4">
          <w:rPr>
            <w:noProof/>
            <w:webHidden/>
          </w:rPr>
          <w:tab/>
        </w:r>
        <w:r w:rsidR="00F758D4">
          <w:rPr>
            <w:noProof/>
            <w:webHidden/>
          </w:rPr>
          <w:fldChar w:fldCharType="begin"/>
        </w:r>
        <w:r w:rsidR="00F758D4">
          <w:rPr>
            <w:noProof/>
            <w:webHidden/>
          </w:rPr>
          <w:instrText xml:space="preserve"> PAGEREF _Toc90983558 \h </w:instrText>
        </w:r>
        <w:r w:rsidR="00F758D4">
          <w:rPr>
            <w:noProof/>
            <w:webHidden/>
          </w:rPr>
        </w:r>
        <w:r w:rsidR="00F758D4">
          <w:rPr>
            <w:noProof/>
            <w:webHidden/>
          </w:rPr>
          <w:fldChar w:fldCharType="separate"/>
        </w:r>
        <w:r w:rsidR="00F758D4">
          <w:rPr>
            <w:noProof/>
            <w:webHidden/>
          </w:rPr>
          <w:t>29</w:t>
        </w:r>
        <w:r w:rsidR="00F758D4">
          <w:rPr>
            <w:noProof/>
            <w:webHidden/>
          </w:rPr>
          <w:fldChar w:fldCharType="end"/>
        </w:r>
      </w:hyperlink>
    </w:p>
    <w:p w14:paraId="2B7D9B55" w14:textId="4682431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59" w:history="1">
        <w:r w:rsidR="00F758D4" w:rsidRPr="00C24B66">
          <w:rPr>
            <w:rStyle w:val="Hyperlink"/>
            <w:noProof/>
          </w:rPr>
          <w:t>2.12.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Real Estate Priority</w:t>
        </w:r>
        <w:r w:rsidR="00F758D4">
          <w:rPr>
            <w:noProof/>
            <w:webHidden/>
          </w:rPr>
          <w:tab/>
        </w:r>
        <w:r w:rsidR="00F758D4">
          <w:rPr>
            <w:noProof/>
            <w:webHidden/>
          </w:rPr>
          <w:fldChar w:fldCharType="begin"/>
        </w:r>
        <w:r w:rsidR="00F758D4">
          <w:rPr>
            <w:noProof/>
            <w:webHidden/>
          </w:rPr>
          <w:instrText xml:space="preserve"> PAGEREF _Toc90983559 \h </w:instrText>
        </w:r>
        <w:r w:rsidR="00F758D4">
          <w:rPr>
            <w:noProof/>
            <w:webHidden/>
          </w:rPr>
        </w:r>
        <w:r w:rsidR="00F758D4">
          <w:rPr>
            <w:noProof/>
            <w:webHidden/>
          </w:rPr>
          <w:fldChar w:fldCharType="separate"/>
        </w:r>
        <w:r w:rsidR="00F758D4">
          <w:rPr>
            <w:noProof/>
            <w:webHidden/>
          </w:rPr>
          <w:t>30</w:t>
        </w:r>
        <w:r w:rsidR="00F758D4">
          <w:rPr>
            <w:noProof/>
            <w:webHidden/>
          </w:rPr>
          <w:fldChar w:fldCharType="end"/>
        </w:r>
      </w:hyperlink>
    </w:p>
    <w:p w14:paraId="0CBCD430" w14:textId="6D0EBE5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60" w:history="1">
        <w:r w:rsidR="00F758D4" w:rsidRPr="00C24B66">
          <w:rPr>
            <w:rStyle w:val="Hyperlink"/>
            <w:noProof/>
          </w:rPr>
          <w:t>2.13.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Foreclosing the Right of Redemption</w:t>
        </w:r>
        <w:r w:rsidR="00F758D4">
          <w:rPr>
            <w:noProof/>
            <w:webHidden/>
          </w:rPr>
          <w:tab/>
        </w:r>
        <w:r w:rsidR="00F758D4">
          <w:rPr>
            <w:noProof/>
            <w:webHidden/>
          </w:rPr>
          <w:fldChar w:fldCharType="begin"/>
        </w:r>
        <w:r w:rsidR="00F758D4">
          <w:rPr>
            <w:noProof/>
            <w:webHidden/>
          </w:rPr>
          <w:instrText xml:space="preserve"> PAGEREF _Toc90983560 \h </w:instrText>
        </w:r>
        <w:r w:rsidR="00F758D4">
          <w:rPr>
            <w:noProof/>
            <w:webHidden/>
          </w:rPr>
        </w:r>
        <w:r w:rsidR="00F758D4">
          <w:rPr>
            <w:noProof/>
            <w:webHidden/>
          </w:rPr>
          <w:fldChar w:fldCharType="separate"/>
        </w:r>
        <w:r w:rsidR="00F758D4">
          <w:rPr>
            <w:noProof/>
            <w:webHidden/>
          </w:rPr>
          <w:t>30</w:t>
        </w:r>
        <w:r w:rsidR="00F758D4">
          <w:rPr>
            <w:noProof/>
            <w:webHidden/>
          </w:rPr>
          <w:fldChar w:fldCharType="end"/>
        </w:r>
      </w:hyperlink>
    </w:p>
    <w:p w14:paraId="4324F3C7" w14:textId="5377474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61" w:history="1">
        <w:r w:rsidR="00F758D4" w:rsidRPr="00C24B66">
          <w:rPr>
            <w:rStyle w:val="Hyperlink"/>
            <w:noProof/>
          </w:rPr>
          <w:t>2.14.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Enforcement of Liens</w:t>
        </w:r>
        <w:r w:rsidR="00F758D4">
          <w:rPr>
            <w:noProof/>
            <w:webHidden/>
          </w:rPr>
          <w:tab/>
        </w:r>
        <w:r w:rsidR="00F758D4">
          <w:rPr>
            <w:noProof/>
            <w:webHidden/>
          </w:rPr>
          <w:fldChar w:fldCharType="begin"/>
        </w:r>
        <w:r w:rsidR="00F758D4">
          <w:rPr>
            <w:noProof/>
            <w:webHidden/>
          </w:rPr>
          <w:instrText xml:space="preserve"> PAGEREF _Toc90983561 \h </w:instrText>
        </w:r>
        <w:r w:rsidR="00F758D4">
          <w:rPr>
            <w:noProof/>
            <w:webHidden/>
          </w:rPr>
        </w:r>
        <w:r w:rsidR="00F758D4">
          <w:rPr>
            <w:noProof/>
            <w:webHidden/>
          </w:rPr>
          <w:fldChar w:fldCharType="separate"/>
        </w:r>
        <w:r w:rsidR="00F758D4">
          <w:rPr>
            <w:noProof/>
            <w:webHidden/>
          </w:rPr>
          <w:t>32</w:t>
        </w:r>
        <w:r w:rsidR="00F758D4">
          <w:rPr>
            <w:noProof/>
            <w:webHidden/>
          </w:rPr>
          <w:fldChar w:fldCharType="end"/>
        </w:r>
      </w:hyperlink>
    </w:p>
    <w:p w14:paraId="7BA8F7ED" w14:textId="253D243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2" w:history="1">
        <w:r w:rsidR="00F758D4" w:rsidRPr="00C24B66">
          <w:rPr>
            <w:rStyle w:val="Hyperlink"/>
            <w:noProof/>
          </w:rPr>
          <w:t>2.14.1.</w:t>
        </w:r>
        <w:r w:rsidR="00F758D4">
          <w:rPr>
            <w:rFonts w:asciiTheme="minorHAnsi" w:eastAsiaTheme="minorEastAsia" w:hAnsiTheme="minorHAnsi" w:cstheme="minorBidi"/>
            <w:noProof/>
            <w:color w:val="auto"/>
            <w:sz w:val="22"/>
            <w:szCs w:val="22"/>
          </w:rPr>
          <w:tab/>
        </w:r>
        <w:r w:rsidR="00F758D4" w:rsidRPr="00C24B66">
          <w:rPr>
            <w:rStyle w:val="Hyperlink"/>
            <w:noProof/>
          </w:rPr>
          <w:t>CHAPA v. TRACIERS &amp; ASSOCIATES, 267 S.W.3d 386 (Ct. App. Tex. 2008)</w:t>
        </w:r>
        <w:r w:rsidR="00F758D4">
          <w:rPr>
            <w:noProof/>
            <w:webHidden/>
          </w:rPr>
          <w:tab/>
        </w:r>
        <w:r w:rsidR="00F758D4">
          <w:rPr>
            <w:noProof/>
            <w:webHidden/>
          </w:rPr>
          <w:fldChar w:fldCharType="begin"/>
        </w:r>
        <w:r w:rsidR="00F758D4">
          <w:rPr>
            <w:noProof/>
            <w:webHidden/>
          </w:rPr>
          <w:instrText xml:space="preserve"> PAGEREF _Toc90983562 \h </w:instrText>
        </w:r>
        <w:r w:rsidR="00F758D4">
          <w:rPr>
            <w:noProof/>
            <w:webHidden/>
          </w:rPr>
        </w:r>
        <w:r w:rsidR="00F758D4">
          <w:rPr>
            <w:noProof/>
            <w:webHidden/>
          </w:rPr>
          <w:fldChar w:fldCharType="separate"/>
        </w:r>
        <w:r w:rsidR="00F758D4">
          <w:rPr>
            <w:noProof/>
            <w:webHidden/>
          </w:rPr>
          <w:t>32</w:t>
        </w:r>
        <w:r w:rsidR="00F758D4">
          <w:rPr>
            <w:noProof/>
            <w:webHidden/>
          </w:rPr>
          <w:fldChar w:fldCharType="end"/>
        </w:r>
      </w:hyperlink>
    </w:p>
    <w:p w14:paraId="1C3C28C0" w14:textId="5040D5D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3" w:history="1">
        <w:r w:rsidR="00F758D4" w:rsidRPr="00C24B66">
          <w:rPr>
            <w:rStyle w:val="Hyperlink"/>
            <w:noProof/>
          </w:rPr>
          <w:t>2.14.2.</w:t>
        </w:r>
        <w:r w:rsidR="00F758D4">
          <w:rPr>
            <w:rFonts w:asciiTheme="minorHAnsi" w:eastAsiaTheme="minorEastAsia" w:hAnsiTheme="minorHAnsi" w:cstheme="minorBidi"/>
            <w:noProof/>
            <w:color w:val="auto"/>
            <w:sz w:val="22"/>
            <w:szCs w:val="22"/>
          </w:rPr>
          <w:tab/>
        </w:r>
        <w:r w:rsidR="00F758D4" w:rsidRPr="00C24B66">
          <w:rPr>
            <w:rStyle w:val="Hyperlink"/>
            <w:noProof/>
          </w:rPr>
          <w:t>JORDAN v. CITIZENS &amp; SOUTHERN NAT’L BANK OF SOUTH CAROLINA, 278 S.C. 449 (1982)</w:t>
        </w:r>
        <w:r w:rsidR="00F758D4">
          <w:rPr>
            <w:noProof/>
            <w:webHidden/>
          </w:rPr>
          <w:tab/>
        </w:r>
        <w:r w:rsidR="00F758D4">
          <w:rPr>
            <w:noProof/>
            <w:webHidden/>
          </w:rPr>
          <w:fldChar w:fldCharType="begin"/>
        </w:r>
        <w:r w:rsidR="00F758D4">
          <w:rPr>
            <w:noProof/>
            <w:webHidden/>
          </w:rPr>
          <w:instrText xml:space="preserve"> PAGEREF _Toc90983563 \h </w:instrText>
        </w:r>
        <w:r w:rsidR="00F758D4">
          <w:rPr>
            <w:noProof/>
            <w:webHidden/>
          </w:rPr>
        </w:r>
        <w:r w:rsidR="00F758D4">
          <w:rPr>
            <w:noProof/>
            <w:webHidden/>
          </w:rPr>
          <w:fldChar w:fldCharType="separate"/>
        </w:r>
        <w:r w:rsidR="00F758D4">
          <w:rPr>
            <w:noProof/>
            <w:webHidden/>
          </w:rPr>
          <w:t>34</w:t>
        </w:r>
        <w:r w:rsidR="00F758D4">
          <w:rPr>
            <w:noProof/>
            <w:webHidden/>
          </w:rPr>
          <w:fldChar w:fldCharType="end"/>
        </w:r>
      </w:hyperlink>
    </w:p>
    <w:p w14:paraId="4AF405B9" w14:textId="2667DFA1"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4" w:history="1">
        <w:r w:rsidR="00F758D4" w:rsidRPr="00C24B66">
          <w:rPr>
            <w:rStyle w:val="Hyperlink"/>
            <w:noProof/>
          </w:rPr>
          <w:t>2.14.3.</w:t>
        </w:r>
        <w:r w:rsidR="00F758D4">
          <w:rPr>
            <w:rFonts w:asciiTheme="minorHAnsi" w:eastAsiaTheme="minorEastAsia" w:hAnsiTheme="minorHAnsi" w:cstheme="minorBidi"/>
            <w:noProof/>
            <w:color w:val="auto"/>
            <w:sz w:val="22"/>
            <w:szCs w:val="22"/>
          </w:rPr>
          <w:tab/>
        </w:r>
        <w:r w:rsidR="00F758D4" w:rsidRPr="00C24B66">
          <w:rPr>
            <w:rStyle w:val="Hyperlink"/>
            <w:noProof/>
          </w:rPr>
          <w:t>CHERNO v. BANK OF BABYLON, 54 Misc.2d 277 (NY 1967)</w:t>
        </w:r>
        <w:r w:rsidR="00F758D4">
          <w:rPr>
            <w:noProof/>
            <w:webHidden/>
          </w:rPr>
          <w:tab/>
        </w:r>
        <w:r w:rsidR="00F758D4">
          <w:rPr>
            <w:noProof/>
            <w:webHidden/>
          </w:rPr>
          <w:fldChar w:fldCharType="begin"/>
        </w:r>
        <w:r w:rsidR="00F758D4">
          <w:rPr>
            <w:noProof/>
            <w:webHidden/>
          </w:rPr>
          <w:instrText xml:space="preserve"> PAGEREF _Toc90983564 \h </w:instrText>
        </w:r>
        <w:r w:rsidR="00F758D4">
          <w:rPr>
            <w:noProof/>
            <w:webHidden/>
          </w:rPr>
        </w:r>
        <w:r w:rsidR="00F758D4">
          <w:rPr>
            <w:noProof/>
            <w:webHidden/>
          </w:rPr>
          <w:fldChar w:fldCharType="separate"/>
        </w:r>
        <w:r w:rsidR="00F758D4">
          <w:rPr>
            <w:noProof/>
            <w:webHidden/>
          </w:rPr>
          <w:t>35</w:t>
        </w:r>
        <w:r w:rsidR="00F758D4">
          <w:rPr>
            <w:noProof/>
            <w:webHidden/>
          </w:rPr>
          <w:fldChar w:fldCharType="end"/>
        </w:r>
      </w:hyperlink>
    </w:p>
    <w:p w14:paraId="0E8C57FC" w14:textId="1D68CBD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5" w:history="1">
        <w:r w:rsidR="00F758D4" w:rsidRPr="00C24B66">
          <w:rPr>
            <w:rStyle w:val="Hyperlink"/>
            <w:noProof/>
          </w:rPr>
          <w:t>2.14.4.</w:t>
        </w:r>
        <w:r w:rsidR="00F758D4">
          <w:rPr>
            <w:rFonts w:asciiTheme="minorHAnsi" w:eastAsiaTheme="minorEastAsia" w:hAnsiTheme="minorHAnsi" w:cstheme="minorBidi"/>
            <w:noProof/>
            <w:color w:val="auto"/>
            <w:sz w:val="22"/>
            <w:szCs w:val="22"/>
          </w:rPr>
          <w:tab/>
        </w:r>
        <w:r w:rsidR="00F758D4" w:rsidRPr="00C24B66">
          <w:rPr>
            <w:rStyle w:val="Hyperlink"/>
            <w:noProof/>
          </w:rPr>
          <w:t>BIG THREE MOTORS, INC., v. RUTHERFORD, 432 So.2d 483 (Ala. 1983)</w:t>
        </w:r>
        <w:r w:rsidR="00F758D4">
          <w:rPr>
            <w:noProof/>
            <w:webHidden/>
          </w:rPr>
          <w:tab/>
        </w:r>
        <w:r w:rsidR="00F758D4">
          <w:rPr>
            <w:noProof/>
            <w:webHidden/>
          </w:rPr>
          <w:fldChar w:fldCharType="begin"/>
        </w:r>
        <w:r w:rsidR="00F758D4">
          <w:rPr>
            <w:noProof/>
            <w:webHidden/>
          </w:rPr>
          <w:instrText xml:space="preserve"> PAGEREF _Toc90983565 \h </w:instrText>
        </w:r>
        <w:r w:rsidR="00F758D4">
          <w:rPr>
            <w:noProof/>
            <w:webHidden/>
          </w:rPr>
        </w:r>
        <w:r w:rsidR="00F758D4">
          <w:rPr>
            <w:noProof/>
            <w:webHidden/>
          </w:rPr>
          <w:fldChar w:fldCharType="separate"/>
        </w:r>
        <w:r w:rsidR="00F758D4">
          <w:rPr>
            <w:noProof/>
            <w:webHidden/>
          </w:rPr>
          <w:t>36</w:t>
        </w:r>
        <w:r w:rsidR="00F758D4">
          <w:rPr>
            <w:noProof/>
            <w:webHidden/>
          </w:rPr>
          <w:fldChar w:fldCharType="end"/>
        </w:r>
      </w:hyperlink>
    </w:p>
    <w:p w14:paraId="391826DA" w14:textId="160AC083"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6" w:history="1">
        <w:r w:rsidR="00F758D4" w:rsidRPr="00C24B66">
          <w:rPr>
            <w:rStyle w:val="Hyperlink"/>
            <w:noProof/>
          </w:rPr>
          <w:t>2.14.5.</w:t>
        </w:r>
        <w:r w:rsidR="00F758D4">
          <w:rPr>
            <w:rFonts w:asciiTheme="minorHAnsi" w:eastAsiaTheme="minorEastAsia" w:hAnsiTheme="minorHAnsi" w:cstheme="minorBidi"/>
            <w:noProof/>
            <w:color w:val="auto"/>
            <w:sz w:val="22"/>
            <w:szCs w:val="22"/>
          </w:rPr>
          <w:tab/>
        </w:r>
        <w:r w:rsidR="00F758D4" w:rsidRPr="00C24B66">
          <w:rPr>
            <w:rStyle w:val="Hyperlink"/>
            <w:noProof/>
          </w:rPr>
          <w:t>WALTER KOUBA v. EAST JOLIET BANK, 135 Ill. App. 3d 264 (1985)</w:t>
        </w:r>
        <w:r w:rsidR="00F758D4">
          <w:rPr>
            <w:noProof/>
            <w:webHidden/>
          </w:rPr>
          <w:tab/>
        </w:r>
        <w:r w:rsidR="00F758D4">
          <w:rPr>
            <w:noProof/>
            <w:webHidden/>
          </w:rPr>
          <w:fldChar w:fldCharType="begin"/>
        </w:r>
        <w:r w:rsidR="00F758D4">
          <w:rPr>
            <w:noProof/>
            <w:webHidden/>
          </w:rPr>
          <w:instrText xml:space="preserve"> PAGEREF _Toc90983566 \h </w:instrText>
        </w:r>
        <w:r w:rsidR="00F758D4">
          <w:rPr>
            <w:noProof/>
            <w:webHidden/>
          </w:rPr>
        </w:r>
        <w:r w:rsidR="00F758D4">
          <w:rPr>
            <w:noProof/>
            <w:webHidden/>
          </w:rPr>
          <w:fldChar w:fldCharType="separate"/>
        </w:r>
        <w:r w:rsidR="00F758D4">
          <w:rPr>
            <w:noProof/>
            <w:webHidden/>
          </w:rPr>
          <w:t>38</w:t>
        </w:r>
        <w:r w:rsidR="00F758D4">
          <w:rPr>
            <w:noProof/>
            <w:webHidden/>
          </w:rPr>
          <w:fldChar w:fldCharType="end"/>
        </w:r>
      </w:hyperlink>
    </w:p>
    <w:p w14:paraId="6E975DE5" w14:textId="6FADDBA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67" w:history="1">
        <w:r w:rsidR="00F758D4" w:rsidRPr="00C24B66">
          <w:rPr>
            <w:rStyle w:val="Hyperlink"/>
            <w:noProof/>
          </w:rPr>
          <w:t>2.15.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Enforcement of Liens and Claims</w:t>
        </w:r>
        <w:r w:rsidR="00F758D4">
          <w:rPr>
            <w:noProof/>
            <w:webHidden/>
          </w:rPr>
          <w:tab/>
        </w:r>
        <w:r w:rsidR="00F758D4">
          <w:rPr>
            <w:noProof/>
            <w:webHidden/>
          </w:rPr>
          <w:fldChar w:fldCharType="begin"/>
        </w:r>
        <w:r w:rsidR="00F758D4">
          <w:rPr>
            <w:noProof/>
            <w:webHidden/>
          </w:rPr>
          <w:instrText xml:space="preserve"> PAGEREF _Toc90983567 \h </w:instrText>
        </w:r>
        <w:r w:rsidR="00F758D4">
          <w:rPr>
            <w:noProof/>
            <w:webHidden/>
          </w:rPr>
        </w:r>
        <w:r w:rsidR="00F758D4">
          <w:rPr>
            <w:noProof/>
            <w:webHidden/>
          </w:rPr>
          <w:fldChar w:fldCharType="separate"/>
        </w:r>
        <w:r w:rsidR="00F758D4">
          <w:rPr>
            <w:noProof/>
            <w:webHidden/>
          </w:rPr>
          <w:t>41</w:t>
        </w:r>
        <w:r w:rsidR="00F758D4">
          <w:rPr>
            <w:noProof/>
            <w:webHidden/>
          </w:rPr>
          <w:fldChar w:fldCharType="end"/>
        </w:r>
      </w:hyperlink>
    </w:p>
    <w:p w14:paraId="3FFA1F31" w14:textId="6B14FA2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68" w:history="1">
        <w:r w:rsidR="00F758D4" w:rsidRPr="00C24B66">
          <w:rPr>
            <w:rStyle w:val="Hyperlink"/>
            <w:noProof/>
          </w:rPr>
          <w:t>2.16.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Consignments</w:t>
        </w:r>
        <w:r w:rsidR="00F758D4">
          <w:rPr>
            <w:noProof/>
            <w:webHidden/>
          </w:rPr>
          <w:tab/>
        </w:r>
        <w:r w:rsidR="00F758D4">
          <w:rPr>
            <w:noProof/>
            <w:webHidden/>
          </w:rPr>
          <w:fldChar w:fldCharType="begin"/>
        </w:r>
        <w:r w:rsidR="00F758D4">
          <w:rPr>
            <w:noProof/>
            <w:webHidden/>
          </w:rPr>
          <w:instrText xml:space="preserve"> PAGEREF _Toc90983568 \h </w:instrText>
        </w:r>
        <w:r w:rsidR="00F758D4">
          <w:rPr>
            <w:noProof/>
            <w:webHidden/>
          </w:rPr>
        </w:r>
        <w:r w:rsidR="00F758D4">
          <w:rPr>
            <w:noProof/>
            <w:webHidden/>
          </w:rPr>
          <w:fldChar w:fldCharType="separate"/>
        </w:r>
        <w:r w:rsidR="00F758D4">
          <w:rPr>
            <w:noProof/>
            <w:webHidden/>
          </w:rPr>
          <w:t>42</w:t>
        </w:r>
        <w:r w:rsidR="00F758D4">
          <w:rPr>
            <w:noProof/>
            <w:webHidden/>
          </w:rPr>
          <w:fldChar w:fldCharType="end"/>
        </w:r>
      </w:hyperlink>
    </w:p>
    <w:p w14:paraId="798B5E28" w14:textId="5559CA8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69" w:history="1">
        <w:r w:rsidR="00F758D4" w:rsidRPr="00C24B66">
          <w:rPr>
            <w:rStyle w:val="Hyperlink"/>
            <w:noProof/>
          </w:rPr>
          <w:t>2.16.1.</w:t>
        </w:r>
        <w:r w:rsidR="00F758D4">
          <w:rPr>
            <w:rFonts w:asciiTheme="minorHAnsi" w:eastAsiaTheme="minorEastAsia" w:hAnsiTheme="minorHAnsi" w:cstheme="minorBidi"/>
            <w:noProof/>
            <w:color w:val="auto"/>
            <w:sz w:val="22"/>
            <w:szCs w:val="22"/>
          </w:rPr>
          <w:tab/>
        </w:r>
        <w:r w:rsidR="00F758D4" w:rsidRPr="00C24B66">
          <w:rPr>
            <w:rStyle w:val="Hyperlink"/>
            <w:noProof/>
          </w:rPr>
          <w:t>IN RE FABER’S, INC., 360 F. Supp. 946, 12 U.C.C. Rep. Serv. 126 (D. Conn 1972)</w:t>
        </w:r>
        <w:r w:rsidR="00F758D4">
          <w:rPr>
            <w:noProof/>
            <w:webHidden/>
          </w:rPr>
          <w:tab/>
        </w:r>
        <w:r w:rsidR="00F758D4">
          <w:rPr>
            <w:noProof/>
            <w:webHidden/>
          </w:rPr>
          <w:fldChar w:fldCharType="begin"/>
        </w:r>
        <w:r w:rsidR="00F758D4">
          <w:rPr>
            <w:noProof/>
            <w:webHidden/>
          </w:rPr>
          <w:instrText xml:space="preserve"> PAGEREF _Toc90983569 \h </w:instrText>
        </w:r>
        <w:r w:rsidR="00F758D4">
          <w:rPr>
            <w:noProof/>
            <w:webHidden/>
          </w:rPr>
        </w:r>
        <w:r w:rsidR="00F758D4">
          <w:rPr>
            <w:noProof/>
            <w:webHidden/>
          </w:rPr>
          <w:fldChar w:fldCharType="separate"/>
        </w:r>
        <w:r w:rsidR="00F758D4">
          <w:rPr>
            <w:noProof/>
            <w:webHidden/>
          </w:rPr>
          <w:t>43</w:t>
        </w:r>
        <w:r w:rsidR="00F758D4">
          <w:rPr>
            <w:noProof/>
            <w:webHidden/>
          </w:rPr>
          <w:fldChar w:fldCharType="end"/>
        </w:r>
      </w:hyperlink>
    </w:p>
    <w:p w14:paraId="72A8300C" w14:textId="228CF6E5"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570" w:history="1">
        <w:r w:rsidR="00F758D4" w:rsidRPr="00C24B66">
          <w:rPr>
            <w:rStyle w:val="Hyperlink"/>
            <w:noProof/>
          </w:rPr>
          <w:t>Chapter 3.</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The Bankruptcy System</w:t>
        </w:r>
        <w:r w:rsidR="00F758D4">
          <w:rPr>
            <w:noProof/>
            <w:webHidden/>
          </w:rPr>
          <w:tab/>
        </w:r>
        <w:r w:rsidR="00F758D4">
          <w:rPr>
            <w:noProof/>
            <w:webHidden/>
          </w:rPr>
          <w:fldChar w:fldCharType="begin"/>
        </w:r>
        <w:r w:rsidR="00F758D4">
          <w:rPr>
            <w:noProof/>
            <w:webHidden/>
          </w:rPr>
          <w:instrText xml:space="preserve"> PAGEREF _Toc90983570 \h </w:instrText>
        </w:r>
        <w:r w:rsidR="00F758D4">
          <w:rPr>
            <w:noProof/>
            <w:webHidden/>
          </w:rPr>
        </w:r>
        <w:r w:rsidR="00F758D4">
          <w:rPr>
            <w:noProof/>
            <w:webHidden/>
          </w:rPr>
          <w:fldChar w:fldCharType="separate"/>
        </w:r>
        <w:r w:rsidR="00F758D4">
          <w:rPr>
            <w:noProof/>
            <w:webHidden/>
          </w:rPr>
          <w:t>45</w:t>
        </w:r>
        <w:r w:rsidR="00F758D4">
          <w:rPr>
            <w:noProof/>
            <w:webHidden/>
          </w:rPr>
          <w:fldChar w:fldCharType="end"/>
        </w:r>
      </w:hyperlink>
    </w:p>
    <w:p w14:paraId="39481E97" w14:textId="2B78E66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1" w:history="1">
        <w:r w:rsidR="00F758D4" w:rsidRPr="00C24B66">
          <w:rPr>
            <w:rStyle w:val="Hyperlink"/>
            <w:noProof/>
          </w:rPr>
          <w:t>3.1.</w:t>
        </w:r>
        <w:r w:rsidR="00F758D4">
          <w:rPr>
            <w:rFonts w:asciiTheme="minorHAnsi" w:eastAsiaTheme="minorEastAsia" w:hAnsiTheme="minorHAnsi" w:cstheme="minorBidi"/>
            <w:iCs w:val="0"/>
            <w:noProof/>
            <w:color w:val="auto"/>
            <w:sz w:val="22"/>
            <w:szCs w:val="22"/>
          </w:rPr>
          <w:tab/>
        </w:r>
        <w:r w:rsidR="00F758D4" w:rsidRPr="00C24B66">
          <w:rPr>
            <w:rStyle w:val="Hyperlink"/>
            <w:noProof/>
          </w:rPr>
          <w:t xml:space="preserve">Purposes of </w:t>
        </w:r>
        <w:r w:rsidR="00F758D4" w:rsidRPr="00C24B66">
          <w:rPr>
            <w:rStyle w:val="Hyperlink"/>
            <w:noProof/>
            <w:shd w:val="clear" w:color="auto" w:fill="FFFFFF"/>
          </w:rPr>
          <w:t>Bankruptcy</w:t>
        </w:r>
        <w:r w:rsidR="00F758D4">
          <w:rPr>
            <w:noProof/>
            <w:webHidden/>
          </w:rPr>
          <w:tab/>
        </w:r>
        <w:r w:rsidR="00F758D4">
          <w:rPr>
            <w:noProof/>
            <w:webHidden/>
          </w:rPr>
          <w:fldChar w:fldCharType="begin"/>
        </w:r>
        <w:r w:rsidR="00F758D4">
          <w:rPr>
            <w:noProof/>
            <w:webHidden/>
          </w:rPr>
          <w:instrText xml:space="preserve"> PAGEREF _Toc90983571 \h </w:instrText>
        </w:r>
        <w:r w:rsidR="00F758D4">
          <w:rPr>
            <w:noProof/>
            <w:webHidden/>
          </w:rPr>
        </w:r>
        <w:r w:rsidR="00F758D4">
          <w:rPr>
            <w:noProof/>
            <w:webHidden/>
          </w:rPr>
          <w:fldChar w:fldCharType="separate"/>
        </w:r>
        <w:r w:rsidR="00F758D4">
          <w:rPr>
            <w:noProof/>
            <w:webHidden/>
          </w:rPr>
          <w:t>45</w:t>
        </w:r>
        <w:r w:rsidR="00F758D4">
          <w:rPr>
            <w:noProof/>
            <w:webHidden/>
          </w:rPr>
          <w:fldChar w:fldCharType="end"/>
        </w:r>
      </w:hyperlink>
    </w:p>
    <w:p w14:paraId="1ECA65CB" w14:textId="628CC02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2" w:history="1">
        <w:r w:rsidR="00F758D4" w:rsidRPr="00C24B66">
          <w:rPr>
            <w:rStyle w:val="Hyperlink"/>
            <w:noProof/>
          </w:rPr>
          <w:t>3.2.</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Structure of the Bankruptcy Code</w:t>
        </w:r>
        <w:r w:rsidR="00F758D4">
          <w:rPr>
            <w:noProof/>
            <w:webHidden/>
          </w:rPr>
          <w:tab/>
        </w:r>
        <w:r w:rsidR="00F758D4">
          <w:rPr>
            <w:noProof/>
            <w:webHidden/>
          </w:rPr>
          <w:fldChar w:fldCharType="begin"/>
        </w:r>
        <w:r w:rsidR="00F758D4">
          <w:rPr>
            <w:noProof/>
            <w:webHidden/>
          </w:rPr>
          <w:instrText xml:space="preserve"> PAGEREF _Toc90983572 \h </w:instrText>
        </w:r>
        <w:r w:rsidR="00F758D4">
          <w:rPr>
            <w:noProof/>
            <w:webHidden/>
          </w:rPr>
        </w:r>
        <w:r w:rsidR="00F758D4">
          <w:rPr>
            <w:noProof/>
            <w:webHidden/>
          </w:rPr>
          <w:fldChar w:fldCharType="separate"/>
        </w:r>
        <w:r w:rsidR="00F758D4">
          <w:rPr>
            <w:noProof/>
            <w:webHidden/>
          </w:rPr>
          <w:t>46</w:t>
        </w:r>
        <w:r w:rsidR="00F758D4">
          <w:rPr>
            <w:noProof/>
            <w:webHidden/>
          </w:rPr>
          <w:fldChar w:fldCharType="end"/>
        </w:r>
      </w:hyperlink>
    </w:p>
    <w:p w14:paraId="55AFD58A" w14:textId="0E0360D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3" w:history="1">
        <w:r w:rsidR="00F758D4" w:rsidRPr="00C24B66">
          <w:rPr>
            <w:rStyle w:val="Hyperlink"/>
            <w:noProof/>
          </w:rPr>
          <w:t>3.3.</w:t>
        </w:r>
        <w:r w:rsidR="00F758D4">
          <w:rPr>
            <w:rFonts w:asciiTheme="minorHAnsi" w:eastAsiaTheme="minorEastAsia" w:hAnsiTheme="minorHAnsi" w:cstheme="minorBidi"/>
            <w:iCs w:val="0"/>
            <w:noProof/>
            <w:color w:val="auto"/>
            <w:sz w:val="22"/>
            <w:szCs w:val="22"/>
          </w:rPr>
          <w:tab/>
        </w:r>
        <w:r w:rsidR="00F758D4" w:rsidRPr="00C24B66">
          <w:rPr>
            <w:rStyle w:val="Hyperlink"/>
            <w:noProof/>
          </w:rPr>
          <w:t>Jurisdiction and Venue of Bankruptcy Cases</w:t>
        </w:r>
        <w:r w:rsidR="00F758D4">
          <w:rPr>
            <w:noProof/>
            <w:webHidden/>
          </w:rPr>
          <w:tab/>
        </w:r>
        <w:r w:rsidR="00F758D4">
          <w:rPr>
            <w:noProof/>
            <w:webHidden/>
          </w:rPr>
          <w:fldChar w:fldCharType="begin"/>
        </w:r>
        <w:r w:rsidR="00F758D4">
          <w:rPr>
            <w:noProof/>
            <w:webHidden/>
          </w:rPr>
          <w:instrText xml:space="preserve"> PAGEREF _Toc90983573 \h </w:instrText>
        </w:r>
        <w:r w:rsidR="00F758D4">
          <w:rPr>
            <w:noProof/>
            <w:webHidden/>
          </w:rPr>
        </w:r>
        <w:r w:rsidR="00F758D4">
          <w:rPr>
            <w:noProof/>
            <w:webHidden/>
          </w:rPr>
          <w:fldChar w:fldCharType="separate"/>
        </w:r>
        <w:r w:rsidR="00F758D4">
          <w:rPr>
            <w:noProof/>
            <w:webHidden/>
          </w:rPr>
          <w:t>48</w:t>
        </w:r>
        <w:r w:rsidR="00F758D4">
          <w:rPr>
            <w:noProof/>
            <w:webHidden/>
          </w:rPr>
          <w:fldChar w:fldCharType="end"/>
        </w:r>
      </w:hyperlink>
    </w:p>
    <w:p w14:paraId="55A00332" w14:textId="3954EDD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4" w:history="1">
        <w:r w:rsidR="00F758D4" w:rsidRPr="00C24B66">
          <w:rPr>
            <w:rStyle w:val="Hyperlink"/>
            <w:noProof/>
          </w:rPr>
          <w:t>3.4.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the Constitutional Limits of Bankruptcy Jurisdiction</w:t>
        </w:r>
        <w:r w:rsidR="00F758D4">
          <w:rPr>
            <w:noProof/>
            <w:webHidden/>
          </w:rPr>
          <w:tab/>
        </w:r>
        <w:r w:rsidR="00F758D4">
          <w:rPr>
            <w:noProof/>
            <w:webHidden/>
          </w:rPr>
          <w:fldChar w:fldCharType="begin"/>
        </w:r>
        <w:r w:rsidR="00F758D4">
          <w:rPr>
            <w:noProof/>
            <w:webHidden/>
          </w:rPr>
          <w:instrText xml:space="preserve"> PAGEREF _Toc90983574 \h </w:instrText>
        </w:r>
        <w:r w:rsidR="00F758D4">
          <w:rPr>
            <w:noProof/>
            <w:webHidden/>
          </w:rPr>
        </w:r>
        <w:r w:rsidR="00F758D4">
          <w:rPr>
            <w:noProof/>
            <w:webHidden/>
          </w:rPr>
          <w:fldChar w:fldCharType="separate"/>
        </w:r>
        <w:r w:rsidR="00F758D4">
          <w:rPr>
            <w:noProof/>
            <w:webHidden/>
          </w:rPr>
          <w:t>48</w:t>
        </w:r>
        <w:r w:rsidR="00F758D4">
          <w:rPr>
            <w:noProof/>
            <w:webHidden/>
          </w:rPr>
          <w:fldChar w:fldCharType="end"/>
        </w:r>
      </w:hyperlink>
    </w:p>
    <w:p w14:paraId="76A77CDD" w14:textId="2E900301"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75" w:history="1">
        <w:r w:rsidR="00F758D4" w:rsidRPr="00C24B66">
          <w:rPr>
            <w:rStyle w:val="Hyperlink"/>
            <w:noProof/>
          </w:rPr>
          <w:t>3.4.1.</w:t>
        </w:r>
        <w:r w:rsidR="00F758D4">
          <w:rPr>
            <w:rFonts w:asciiTheme="minorHAnsi" w:eastAsiaTheme="minorEastAsia" w:hAnsiTheme="minorHAnsi" w:cstheme="minorBidi"/>
            <w:noProof/>
            <w:color w:val="auto"/>
            <w:sz w:val="22"/>
            <w:szCs w:val="22"/>
          </w:rPr>
          <w:tab/>
        </w:r>
        <w:r w:rsidR="00F758D4" w:rsidRPr="00C24B66">
          <w:rPr>
            <w:rStyle w:val="Hyperlink"/>
            <w:noProof/>
          </w:rPr>
          <w:t>NORTHERN PIPELINE CO. v. MARATHON PIPE LINE CO., 458 U.S. 50 (1982)</w:t>
        </w:r>
        <w:r w:rsidR="00F758D4">
          <w:rPr>
            <w:noProof/>
            <w:webHidden/>
          </w:rPr>
          <w:tab/>
        </w:r>
        <w:r w:rsidR="00F758D4">
          <w:rPr>
            <w:noProof/>
            <w:webHidden/>
          </w:rPr>
          <w:fldChar w:fldCharType="begin"/>
        </w:r>
        <w:r w:rsidR="00F758D4">
          <w:rPr>
            <w:noProof/>
            <w:webHidden/>
          </w:rPr>
          <w:instrText xml:space="preserve"> PAGEREF _Toc90983575 \h </w:instrText>
        </w:r>
        <w:r w:rsidR="00F758D4">
          <w:rPr>
            <w:noProof/>
            <w:webHidden/>
          </w:rPr>
        </w:r>
        <w:r w:rsidR="00F758D4">
          <w:rPr>
            <w:noProof/>
            <w:webHidden/>
          </w:rPr>
          <w:fldChar w:fldCharType="separate"/>
        </w:r>
        <w:r w:rsidR="00F758D4">
          <w:rPr>
            <w:noProof/>
            <w:webHidden/>
          </w:rPr>
          <w:t>48</w:t>
        </w:r>
        <w:r w:rsidR="00F758D4">
          <w:rPr>
            <w:noProof/>
            <w:webHidden/>
          </w:rPr>
          <w:fldChar w:fldCharType="end"/>
        </w:r>
      </w:hyperlink>
    </w:p>
    <w:p w14:paraId="126E131D" w14:textId="2D0422F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6" w:history="1">
        <w:r w:rsidR="00F758D4" w:rsidRPr="00C24B66">
          <w:rPr>
            <w:rStyle w:val="Hyperlink"/>
            <w:noProof/>
          </w:rPr>
          <w:t>3.5.</w:t>
        </w:r>
        <w:r w:rsidR="00F758D4">
          <w:rPr>
            <w:rFonts w:asciiTheme="minorHAnsi" w:eastAsiaTheme="minorEastAsia" w:hAnsiTheme="minorHAnsi" w:cstheme="minorBidi"/>
            <w:iCs w:val="0"/>
            <w:noProof/>
            <w:color w:val="auto"/>
            <w:sz w:val="22"/>
            <w:szCs w:val="22"/>
          </w:rPr>
          <w:tab/>
        </w:r>
        <w:r w:rsidR="00F758D4" w:rsidRPr="00C24B66">
          <w:rPr>
            <w:rStyle w:val="Hyperlink"/>
            <w:noProof/>
          </w:rPr>
          <w:t xml:space="preserve">The Aftermath of </w:t>
        </w:r>
        <w:r w:rsidR="00F758D4" w:rsidRPr="00C24B66">
          <w:rPr>
            <w:rStyle w:val="Hyperlink"/>
            <w:i/>
            <w:noProof/>
          </w:rPr>
          <w:t>Northern Pipeline</w:t>
        </w:r>
        <w:r w:rsidR="00F758D4">
          <w:rPr>
            <w:noProof/>
            <w:webHidden/>
          </w:rPr>
          <w:tab/>
        </w:r>
        <w:r w:rsidR="00F758D4">
          <w:rPr>
            <w:noProof/>
            <w:webHidden/>
          </w:rPr>
          <w:fldChar w:fldCharType="begin"/>
        </w:r>
        <w:r w:rsidR="00F758D4">
          <w:rPr>
            <w:noProof/>
            <w:webHidden/>
          </w:rPr>
          <w:instrText xml:space="preserve"> PAGEREF _Toc90983576 \h </w:instrText>
        </w:r>
        <w:r w:rsidR="00F758D4">
          <w:rPr>
            <w:noProof/>
            <w:webHidden/>
          </w:rPr>
        </w:r>
        <w:r w:rsidR="00F758D4">
          <w:rPr>
            <w:noProof/>
            <w:webHidden/>
          </w:rPr>
          <w:fldChar w:fldCharType="separate"/>
        </w:r>
        <w:r w:rsidR="00F758D4">
          <w:rPr>
            <w:noProof/>
            <w:webHidden/>
          </w:rPr>
          <w:t>52</w:t>
        </w:r>
        <w:r w:rsidR="00F758D4">
          <w:rPr>
            <w:noProof/>
            <w:webHidden/>
          </w:rPr>
          <w:fldChar w:fldCharType="end"/>
        </w:r>
      </w:hyperlink>
    </w:p>
    <w:p w14:paraId="23DFF782" w14:textId="1FE854E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77" w:history="1">
        <w:r w:rsidR="00F758D4" w:rsidRPr="00C24B66">
          <w:rPr>
            <w:rStyle w:val="Hyperlink"/>
            <w:noProof/>
          </w:rPr>
          <w:t>3.6.</w:t>
        </w:r>
        <w:r w:rsidR="00F758D4">
          <w:rPr>
            <w:rFonts w:asciiTheme="minorHAnsi" w:eastAsiaTheme="minorEastAsia" w:hAnsiTheme="minorHAnsi" w:cstheme="minorBidi"/>
            <w:iCs w:val="0"/>
            <w:noProof/>
            <w:color w:val="auto"/>
            <w:sz w:val="22"/>
            <w:szCs w:val="22"/>
          </w:rPr>
          <w:tab/>
        </w:r>
        <w:r w:rsidR="00F758D4" w:rsidRPr="00C24B66">
          <w:rPr>
            <w:rStyle w:val="Hyperlink"/>
            <w:noProof/>
          </w:rPr>
          <w:t xml:space="preserve">Cases on the Constitutional Limits of Bankruptcy Jurisdiction after </w:t>
        </w:r>
        <w:r w:rsidR="00F758D4" w:rsidRPr="00C24B66">
          <w:rPr>
            <w:rStyle w:val="Hyperlink"/>
            <w:i/>
            <w:noProof/>
          </w:rPr>
          <w:t>Marathon</w:t>
        </w:r>
        <w:r w:rsidR="00F758D4">
          <w:rPr>
            <w:noProof/>
            <w:webHidden/>
          </w:rPr>
          <w:tab/>
        </w:r>
        <w:r w:rsidR="00F758D4">
          <w:rPr>
            <w:noProof/>
            <w:webHidden/>
          </w:rPr>
          <w:fldChar w:fldCharType="begin"/>
        </w:r>
        <w:r w:rsidR="00F758D4">
          <w:rPr>
            <w:noProof/>
            <w:webHidden/>
          </w:rPr>
          <w:instrText xml:space="preserve"> PAGEREF _Toc90983577 \h </w:instrText>
        </w:r>
        <w:r w:rsidR="00F758D4">
          <w:rPr>
            <w:noProof/>
            <w:webHidden/>
          </w:rPr>
        </w:r>
        <w:r w:rsidR="00F758D4">
          <w:rPr>
            <w:noProof/>
            <w:webHidden/>
          </w:rPr>
          <w:fldChar w:fldCharType="separate"/>
        </w:r>
        <w:r w:rsidR="00F758D4">
          <w:rPr>
            <w:noProof/>
            <w:webHidden/>
          </w:rPr>
          <w:t>53</w:t>
        </w:r>
        <w:r w:rsidR="00F758D4">
          <w:rPr>
            <w:noProof/>
            <w:webHidden/>
          </w:rPr>
          <w:fldChar w:fldCharType="end"/>
        </w:r>
      </w:hyperlink>
    </w:p>
    <w:p w14:paraId="62270400" w14:textId="36A38B0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78" w:history="1">
        <w:r w:rsidR="00F758D4" w:rsidRPr="00C24B66">
          <w:rPr>
            <w:rStyle w:val="Hyperlink"/>
            <w:noProof/>
          </w:rPr>
          <w:t>3.6.1.</w:t>
        </w:r>
        <w:r w:rsidR="00F758D4">
          <w:rPr>
            <w:rFonts w:asciiTheme="minorHAnsi" w:eastAsiaTheme="minorEastAsia" w:hAnsiTheme="minorHAnsi" w:cstheme="minorBidi"/>
            <w:noProof/>
            <w:color w:val="auto"/>
            <w:sz w:val="22"/>
            <w:szCs w:val="22"/>
          </w:rPr>
          <w:tab/>
        </w:r>
        <w:r w:rsidR="00F758D4" w:rsidRPr="00C24B66">
          <w:rPr>
            <w:rStyle w:val="Hyperlink"/>
            <w:noProof/>
          </w:rPr>
          <w:t>STERN v. MARSHALL, 564 U.S. 462, 131 S.Ct. 2594 (2011)</w:t>
        </w:r>
        <w:r w:rsidR="00F758D4">
          <w:rPr>
            <w:noProof/>
            <w:webHidden/>
          </w:rPr>
          <w:tab/>
        </w:r>
        <w:r w:rsidR="00F758D4">
          <w:rPr>
            <w:noProof/>
            <w:webHidden/>
          </w:rPr>
          <w:fldChar w:fldCharType="begin"/>
        </w:r>
        <w:r w:rsidR="00F758D4">
          <w:rPr>
            <w:noProof/>
            <w:webHidden/>
          </w:rPr>
          <w:instrText xml:space="preserve"> PAGEREF _Toc90983578 \h </w:instrText>
        </w:r>
        <w:r w:rsidR="00F758D4">
          <w:rPr>
            <w:noProof/>
            <w:webHidden/>
          </w:rPr>
        </w:r>
        <w:r w:rsidR="00F758D4">
          <w:rPr>
            <w:noProof/>
            <w:webHidden/>
          </w:rPr>
          <w:fldChar w:fldCharType="separate"/>
        </w:r>
        <w:r w:rsidR="00F758D4">
          <w:rPr>
            <w:noProof/>
            <w:webHidden/>
          </w:rPr>
          <w:t>53</w:t>
        </w:r>
        <w:r w:rsidR="00F758D4">
          <w:rPr>
            <w:noProof/>
            <w:webHidden/>
          </w:rPr>
          <w:fldChar w:fldCharType="end"/>
        </w:r>
      </w:hyperlink>
    </w:p>
    <w:p w14:paraId="0DD162AC" w14:textId="0D26B8A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79" w:history="1">
        <w:r w:rsidR="00F758D4" w:rsidRPr="00C24B66">
          <w:rPr>
            <w:rStyle w:val="Hyperlink"/>
            <w:noProof/>
          </w:rPr>
          <w:t>3.6.2.</w:t>
        </w:r>
        <w:r w:rsidR="00F758D4">
          <w:rPr>
            <w:rFonts w:asciiTheme="minorHAnsi" w:eastAsiaTheme="minorEastAsia" w:hAnsiTheme="minorHAnsi" w:cstheme="minorBidi"/>
            <w:noProof/>
            <w:color w:val="auto"/>
            <w:sz w:val="22"/>
            <w:szCs w:val="22"/>
          </w:rPr>
          <w:tab/>
        </w:r>
        <w:r w:rsidR="00F758D4" w:rsidRPr="00C24B66">
          <w:rPr>
            <w:rStyle w:val="Hyperlink"/>
            <w:noProof/>
          </w:rPr>
          <w:t>WELLNESS INTERNATIONAL NETWORK, LTD., v. SHARF, 135 S.Ct. 1932 (2015)</w:t>
        </w:r>
        <w:r w:rsidR="00F758D4">
          <w:rPr>
            <w:noProof/>
            <w:webHidden/>
          </w:rPr>
          <w:tab/>
        </w:r>
        <w:r w:rsidR="00F758D4">
          <w:rPr>
            <w:noProof/>
            <w:webHidden/>
          </w:rPr>
          <w:fldChar w:fldCharType="begin"/>
        </w:r>
        <w:r w:rsidR="00F758D4">
          <w:rPr>
            <w:noProof/>
            <w:webHidden/>
          </w:rPr>
          <w:instrText xml:space="preserve"> PAGEREF _Toc90983579 \h </w:instrText>
        </w:r>
        <w:r w:rsidR="00F758D4">
          <w:rPr>
            <w:noProof/>
            <w:webHidden/>
          </w:rPr>
        </w:r>
        <w:r w:rsidR="00F758D4">
          <w:rPr>
            <w:noProof/>
            <w:webHidden/>
          </w:rPr>
          <w:fldChar w:fldCharType="separate"/>
        </w:r>
        <w:r w:rsidR="00F758D4">
          <w:rPr>
            <w:noProof/>
            <w:webHidden/>
          </w:rPr>
          <w:t>60</w:t>
        </w:r>
        <w:r w:rsidR="00F758D4">
          <w:rPr>
            <w:noProof/>
            <w:webHidden/>
          </w:rPr>
          <w:fldChar w:fldCharType="end"/>
        </w:r>
      </w:hyperlink>
    </w:p>
    <w:p w14:paraId="34C31ED3" w14:textId="1022AEC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0" w:history="1">
        <w:r w:rsidR="00F758D4" w:rsidRPr="00C24B66">
          <w:rPr>
            <w:rStyle w:val="Hyperlink"/>
            <w:noProof/>
          </w:rPr>
          <w:t>3.7.</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Bankruptcy Court Jurisdiction</w:t>
        </w:r>
        <w:r w:rsidR="00F758D4">
          <w:rPr>
            <w:noProof/>
            <w:webHidden/>
          </w:rPr>
          <w:tab/>
        </w:r>
        <w:r w:rsidR="00F758D4">
          <w:rPr>
            <w:noProof/>
            <w:webHidden/>
          </w:rPr>
          <w:fldChar w:fldCharType="begin"/>
        </w:r>
        <w:r w:rsidR="00F758D4">
          <w:rPr>
            <w:noProof/>
            <w:webHidden/>
          </w:rPr>
          <w:instrText xml:space="preserve"> PAGEREF _Toc90983580 \h </w:instrText>
        </w:r>
        <w:r w:rsidR="00F758D4">
          <w:rPr>
            <w:noProof/>
            <w:webHidden/>
          </w:rPr>
        </w:r>
        <w:r w:rsidR="00F758D4">
          <w:rPr>
            <w:noProof/>
            <w:webHidden/>
          </w:rPr>
          <w:fldChar w:fldCharType="separate"/>
        </w:r>
        <w:r w:rsidR="00F758D4">
          <w:rPr>
            <w:noProof/>
            <w:webHidden/>
          </w:rPr>
          <w:t>63</w:t>
        </w:r>
        <w:r w:rsidR="00F758D4">
          <w:rPr>
            <w:noProof/>
            <w:webHidden/>
          </w:rPr>
          <w:fldChar w:fldCharType="end"/>
        </w:r>
      </w:hyperlink>
    </w:p>
    <w:p w14:paraId="3C82634A" w14:textId="19DC013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1" w:history="1">
        <w:r w:rsidR="00F758D4" w:rsidRPr="00C24B66">
          <w:rPr>
            <w:rStyle w:val="Hyperlink"/>
            <w:noProof/>
          </w:rPr>
          <w:t>3.8.</w:t>
        </w:r>
        <w:r w:rsidR="00F758D4">
          <w:rPr>
            <w:rFonts w:asciiTheme="minorHAnsi" w:eastAsiaTheme="minorEastAsia" w:hAnsiTheme="minorHAnsi" w:cstheme="minorBidi"/>
            <w:iCs w:val="0"/>
            <w:noProof/>
            <w:color w:val="auto"/>
            <w:sz w:val="22"/>
            <w:szCs w:val="22"/>
          </w:rPr>
          <w:tab/>
        </w:r>
        <w:r w:rsidR="00F758D4" w:rsidRPr="00C24B66">
          <w:rPr>
            <w:rStyle w:val="Hyperlink"/>
            <w:noProof/>
          </w:rPr>
          <w:t>Venue of Bankruptcy Cases</w:t>
        </w:r>
        <w:r w:rsidR="00F758D4">
          <w:rPr>
            <w:noProof/>
            <w:webHidden/>
          </w:rPr>
          <w:tab/>
        </w:r>
        <w:r w:rsidR="00F758D4">
          <w:rPr>
            <w:noProof/>
            <w:webHidden/>
          </w:rPr>
          <w:fldChar w:fldCharType="begin"/>
        </w:r>
        <w:r w:rsidR="00F758D4">
          <w:rPr>
            <w:noProof/>
            <w:webHidden/>
          </w:rPr>
          <w:instrText xml:space="preserve"> PAGEREF _Toc90983581 \h </w:instrText>
        </w:r>
        <w:r w:rsidR="00F758D4">
          <w:rPr>
            <w:noProof/>
            <w:webHidden/>
          </w:rPr>
        </w:r>
        <w:r w:rsidR="00F758D4">
          <w:rPr>
            <w:noProof/>
            <w:webHidden/>
          </w:rPr>
          <w:fldChar w:fldCharType="separate"/>
        </w:r>
        <w:r w:rsidR="00F758D4">
          <w:rPr>
            <w:noProof/>
            <w:webHidden/>
          </w:rPr>
          <w:t>64</w:t>
        </w:r>
        <w:r w:rsidR="00F758D4">
          <w:rPr>
            <w:noProof/>
            <w:webHidden/>
          </w:rPr>
          <w:fldChar w:fldCharType="end"/>
        </w:r>
      </w:hyperlink>
    </w:p>
    <w:p w14:paraId="7127D12A" w14:textId="3AA0EBF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2" w:history="1">
        <w:r w:rsidR="00F758D4" w:rsidRPr="00C24B66">
          <w:rPr>
            <w:rStyle w:val="Hyperlink"/>
            <w:noProof/>
          </w:rPr>
          <w:t>3.9.</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Bankruptcy Venue</w:t>
        </w:r>
        <w:r w:rsidR="00F758D4">
          <w:rPr>
            <w:noProof/>
            <w:webHidden/>
          </w:rPr>
          <w:tab/>
        </w:r>
        <w:r w:rsidR="00F758D4">
          <w:rPr>
            <w:noProof/>
            <w:webHidden/>
          </w:rPr>
          <w:fldChar w:fldCharType="begin"/>
        </w:r>
        <w:r w:rsidR="00F758D4">
          <w:rPr>
            <w:noProof/>
            <w:webHidden/>
          </w:rPr>
          <w:instrText xml:space="preserve"> PAGEREF _Toc90983582 \h </w:instrText>
        </w:r>
        <w:r w:rsidR="00F758D4">
          <w:rPr>
            <w:noProof/>
            <w:webHidden/>
          </w:rPr>
        </w:r>
        <w:r w:rsidR="00F758D4">
          <w:rPr>
            <w:noProof/>
            <w:webHidden/>
          </w:rPr>
          <w:fldChar w:fldCharType="separate"/>
        </w:r>
        <w:r w:rsidR="00F758D4">
          <w:rPr>
            <w:noProof/>
            <w:webHidden/>
          </w:rPr>
          <w:t>65</w:t>
        </w:r>
        <w:r w:rsidR="00F758D4">
          <w:rPr>
            <w:noProof/>
            <w:webHidden/>
          </w:rPr>
          <w:fldChar w:fldCharType="end"/>
        </w:r>
      </w:hyperlink>
    </w:p>
    <w:p w14:paraId="1F903CCF" w14:textId="25A4E25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83" w:history="1">
        <w:r w:rsidR="00F758D4" w:rsidRPr="00C24B66">
          <w:rPr>
            <w:rStyle w:val="Hyperlink"/>
            <w:noProof/>
          </w:rPr>
          <w:t>3.9.1.</w:t>
        </w:r>
        <w:r w:rsidR="00F758D4">
          <w:rPr>
            <w:rFonts w:asciiTheme="minorHAnsi" w:eastAsiaTheme="minorEastAsia" w:hAnsiTheme="minorHAnsi" w:cstheme="minorBidi"/>
            <w:noProof/>
            <w:color w:val="auto"/>
            <w:sz w:val="22"/>
            <w:szCs w:val="22"/>
          </w:rPr>
          <w:tab/>
        </w:r>
        <w:r w:rsidR="00F758D4" w:rsidRPr="00C24B66">
          <w:rPr>
            <w:rStyle w:val="Hyperlink"/>
            <w:noProof/>
          </w:rPr>
          <w:t xml:space="preserve">IN RE ENRON CORP., </w:t>
        </w:r>
        <w:r w:rsidR="00F758D4" w:rsidRPr="00C24B66">
          <w:rPr>
            <w:rStyle w:val="Hyperlink"/>
            <w:noProof/>
            <w:shd w:val="clear" w:color="auto" w:fill="FFFFFF"/>
          </w:rPr>
          <w:t>274 B.R. 327 (2002)</w:t>
        </w:r>
        <w:r w:rsidR="00F758D4">
          <w:rPr>
            <w:noProof/>
            <w:webHidden/>
          </w:rPr>
          <w:tab/>
        </w:r>
        <w:r w:rsidR="00F758D4">
          <w:rPr>
            <w:noProof/>
            <w:webHidden/>
          </w:rPr>
          <w:fldChar w:fldCharType="begin"/>
        </w:r>
        <w:r w:rsidR="00F758D4">
          <w:rPr>
            <w:noProof/>
            <w:webHidden/>
          </w:rPr>
          <w:instrText xml:space="preserve"> PAGEREF _Toc90983583 \h </w:instrText>
        </w:r>
        <w:r w:rsidR="00F758D4">
          <w:rPr>
            <w:noProof/>
            <w:webHidden/>
          </w:rPr>
        </w:r>
        <w:r w:rsidR="00F758D4">
          <w:rPr>
            <w:noProof/>
            <w:webHidden/>
          </w:rPr>
          <w:fldChar w:fldCharType="separate"/>
        </w:r>
        <w:r w:rsidR="00F758D4">
          <w:rPr>
            <w:noProof/>
            <w:webHidden/>
          </w:rPr>
          <w:t>65</w:t>
        </w:r>
        <w:r w:rsidR="00F758D4">
          <w:rPr>
            <w:noProof/>
            <w:webHidden/>
          </w:rPr>
          <w:fldChar w:fldCharType="end"/>
        </w:r>
      </w:hyperlink>
    </w:p>
    <w:p w14:paraId="7B79911C" w14:textId="6C764F3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4" w:history="1">
        <w:r w:rsidR="00F758D4" w:rsidRPr="00C24B66">
          <w:rPr>
            <w:rStyle w:val="Hyperlink"/>
            <w:noProof/>
          </w:rPr>
          <w:t>3.10.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Filing Voluntary Petitions</w:t>
        </w:r>
        <w:r w:rsidR="00F758D4">
          <w:rPr>
            <w:noProof/>
            <w:webHidden/>
          </w:rPr>
          <w:tab/>
        </w:r>
        <w:r w:rsidR="00F758D4">
          <w:rPr>
            <w:noProof/>
            <w:webHidden/>
          </w:rPr>
          <w:fldChar w:fldCharType="begin"/>
        </w:r>
        <w:r w:rsidR="00F758D4">
          <w:rPr>
            <w:noProof/>
            <w:webHidden/>
          </w:rPr>
          <w:instrText xml:space="preserve"> PAGEREF _Toc90983584 \h </w:instrText>
        </w:r>
        <w:r w:rsidR="00F758D4">
          <w:rPr>
            <w:noProof/>
            <w:webHidden/>
          </w:rPr>
        </w:r>
        <w:r w:rsidR="00F758D4">
          <w:rPr>
            <w:noProof/>
            <w:webHidden/>
          </w:rPr>
          <w:fldChar w:fldCharType="separate"/>
        </w:r>
        <w:r w:rsidR="00F758D4">
          <w:rPr>
            <w:noProof/>
            <w:webHidden/>
          </w:rPr>
          <w:t>69</w:t>
        </w:r>
        <w:r w:rsidR="00F758D4">
          <w:rPr>
            <w:noProof/>
            <w:webHidden/>
          </w:rPr>
          <w:fldChar w:fldCharType="end"/>
        </w:r>
      </w:hyperlink>
    </w:p>
    <w:p w14:paraId="01C0DD0E" w14:textId="4E9FC5E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5" w:history="1">
        <w:r w:rsidR="00F758D4" w:rsidRPr="00C24B66">
          <w:rPr>
            <w:rStyle w:val="Hyperlink"/>
            <w:noProof/>
          </w:rPr>
          <w:t>3.11.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Voluntary Bankruptcy Petitions</w:t>
        </w:r>
        <w:r w:rsidR="00F758D4">
          <w:rPr>
            <w:noProof/>
            <w:webHidden/>
          </w:rPr>
          <w:tab/>
        </w:r>
        <w:r w:rsidR="00F758D4">
          <w:rPr>
            <w:noProof/>
            <w:webHidden/>
          </w:rPr>
          <w:fldChar w:fldCharType="begin"/>
        </w:r>
        <w:r w:rsidR="00F758D4">
          <w:rPr>
            <w:noProof/>
            <w:webHidden/>
          </w:rPr>
          <w:instrText xml:space="preserve"> PAGEREF _Toc90983585 \h </w:instrText>
        </w:r>
        <w:r w:rsidR="00F758D4">
          <w:rPr>
            <w:noProof/>
            <w:webHidden/>
          </w:rPr>
        </w:r>
        <w:r w:rsidR="00F758D4">
          <w:rPr>
            <w:noProof/>
            <w:webHidden/>
          </w:rPr>
          <w:fldChar w:fldCharType="separate"/>
        </w:r>
        <w:r w:rsidR="00F758D4">
          <w:rPr>
            <w:noProof/>
            <w:webHidden/>
          </w:rPr>
          <w:t>69</w:t>
        </w:r>
        <w:r w:rsidR="00F758D4">
          <w:rPr>
            <w:noProof/>
            <w:webHidden/>
          </w:rPr>
          <w:fldChar w:fldCharType="end"/>
        </w:r>
      </w:hyperlink>
    </w:p>
    <w:p w14:paraId="5EED1B8E" w14:textId="57E6895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6" w:history="1">
        <w:r w:rsidR="00F758D4" w:rsidRPr="00C24B66">
          <w:rPr>
            <w:rStyle w:val="Hyperlink"/>
            <w:noProof/>
          </w:rPr>
          <w:t>3.12.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Involuntary Bankruptcy Petitions</w:t>
        </w:r>
        <w:r w:rsidR="00F758D4">
          <w:rPr>
            <w:noProof/>
            <w:webHidden/>
          </w:rPr>
          <w:tab/>
        </w:r>
        <w:r w:rsidR="00F758D4">
          <w:rPr>
            <w:noProof/>
            <w:webHidden/>
          </w:rPr>
          <w:fldChar w:fldCharType="begin"/>
        </w:r>
        <w:r w:rsidR="00F758D4">
          <w:rPr>
            <w:noProof/>
            <w:webHidden/>
          </w:rPr>
          <w:instrText xml:space="preserve"> PAGEREF _Toc90983586 \h </w:instrText>
        </w:r>
        <w:r w:rsidR="00F758D4">
          <w:rPr>
            <w:noProof/>
            <w:webHidden/>
          </w:rPr>
        </w:r>
        <w:r w:rsidR="00F758D4">
          <w:rPr>
            <w:noProof/>
            <w:webHidden/>
          </w:rPr>
          <w:fldChar w:fldCharType="separate"/>
        </w:r>
        <w:r w:rsidR="00F758D4">
          <w:rPr>
            <w:noProof/>
            <w:webHidden/>
          </w:rPr>
          <w:t>71</w:t>
        </w:r>
        <w:r w:rsidR="00F758D4">
          <w:rPr>
            <w:noProof/>
            <w:webHidden/>
          </w:rPr>
          <w:fldChar w:fldCharType="end"/>
        </w:r>
      </w:hyperlink>
    </w:p>
    <w:p w14:paraId="4946FCA4" w14:textId="349C9E3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7" w:history="1">
        <w:r w:rsidR="00F758D4" w:rsidRPr="00C24B66">
          <w:rPr>
            <w:rStyle w:val="Hyperlink"/>
            <w:noProof/>
          </w:rPr>
          <w:t>3.13.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Involuntary Petitions</w:t>
        </w:r>
        <w:r w:rsidR="00F758D4">
          <w:rPr>
            <w:noProof/>
            <w:webHidden/>
          </w:rPr>
          <w:tab/>
        </w:r>
        <w:r w:rsidR="00F758D4">
          <w:rPr>
            <w:noProof/>
            <w:webHidden/>
          </w:rPr>
          <w:fldChar w:fldCharType="begin"/>
        </w:r>
        <w:r w:rsidR="00F758D4">
          <w:rPr>
            <w:noProof/>
            <w:webHidden/>
          </w:rPr>
          <w:instrText xml:space="preserve"> PAGEREF _Toc90983587 \h </w:instrText>
        </w:r>
        <w:r w:rsidR="00F758D4">
          <w:rPr>
            <w:noProof/>
            <w:webHidden/>
          </w:rPr>
        </w:r>
        <w:r w:rsidR="00F758D4">
          <w:rPr>
            <w:noProof/>
            <w:webHidden/>
          </w:rPr>
          <w:fldChar w:fldCharType="separate"/>
        </w:r>
        <w:r w:rsidR="00F758D4">
          <w:rPr>
            <w:noProof/>
            <w:webHidden/>
          </w:rPr>
          <w:t>71</w:t>
        </w:r>
        <w:r w:rsidR="00F758D4">
          <w:rPr>
            <w:noProof/>
            <w:webHidden/>
          </w:rPr>
          <w:fldChar w:fldCharType="end"/>
        </w:r>
      </w:hyperlink>
    </w:p>
    <w:p w14:paraId="4356F931" w14:textId="6A1A41C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8" w:history="1">
        <w:r w:rsidR="00F758D4" w:rsidRPr="00C24B66">
          <w:rPr>
            <w:rStyle w:val="Hyperlink"/>
            <w:noProof/>
          </w:rPr>
          <w:t>3.14.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Dismissal of Properly Filed Bankruptcy Petitions for “Cause”</w:t>
        </w:r>
        <w:r w:rsidR="00F758D4">
          <w:rPr>
            <w:noProof/>
            <w:webHidden/>
          </w:rPr>
          <w:tab/>
        </w:r>
        <w:r w:rsidR="00F758D4">
          <w:rPr>
            <w:noProof/>
            <w:webHidden/>
          </w:rPr>
          <w:fldChar w:fldCharType="begin"/>
        </w:r>
        <w:r w:rsidR="00F758D4">
          <w:rPr>
            <w:noProof/>
            <w:webHidden/>
          </w:rPr>
          <w:instrText xml:space="preserve"> PAGEREF _Toc90983588 \h </w:instrText>
        </w:r>
        <w:r w:rsidR="00F758D4">
          <w:rPr>
            <w:noProof/>
            <w:webHidden/>
          </w:rPr>
        </w:r>
        <w:r w:rsidR="00F758D4">
          <w:rPr>
            <w:noProof/>
            <w:webHidden/>
          </w:rPr>
          <w:fldChar w:fldCharType="separate"/>
        </w:r>
        <w:r w:rsidR="00F758D4">
          <w:rPr>
            <w:noProof/>
            <w:webHidden/>
          </w:rPr>
          <w:t>72</w:t>
        </w:r>
        <w:r w:rsidR="00F758D4">
          <w:rPr>
            <w:noProof/>
            <w:webHidden/>
          </w:rPr>
          <w:fldChar w:fldCharType="end"/>
        </w:r>
      </w:hyperlink>
    </w:p>
    <w:p w14:paraId="7AA2AFED" w14:textId="3F0637E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89" w:history="1">
        <w:r w:rsidR="00F758D4" w:rsidRPr="00C24B66">
          <w:rPr>
            <w:rStyle w:val="Hyperlink"/>
            <w:noProof/>
          </w:rPr>
          <w:t>3.15.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Bad Faith Dismissals after the 2005 Amendments</w:t>
        </w:r>
        <w:r w:rsidR="00F758D4">
          <w:rPr>
            <w:noProof/>
            <w:webHidden/>
          </w:rPr>
          <w:tab/>
        </w:r>
        <w:r w:rsidR="00F758D4">
          <w:rPr>
            <w:noProof/>
            <w:webHidden/>
          </w:rPr>
          <w:fldChar w:fldCharType="begin"/>
        </w:r>
        <w:r w:rsidR="00F758D4">
          <w:rPr>
            <w:noProof/>
            <w:webHidden/>
          </w:rPr>
          <w:instrText xml:space="preserve"> PAGEREF _Toc90983589 \h </w:instrText>
        </w:r>
        <w:r w:rsidR="00F758D4">
          <w:rPr>
            <w:noProof/>
            <w:webHidden/>
          </w:rPr>
        </w:r>
        <w:r w:rsidR="00F758D4">
          <w:rPr>
            <w:noProof/>
            <w:webHidden/>
          </w:rPr>
          <w:fldChar w:fldCharType="separate"/>
        </w:r>
        <w:r w:rsidR="00F758D4">
          <w:rPr>
            <w:noProof/>
            <w:webHidden/>
          </w:rPr>
          <w:t>73</w:t>
        </w:r>
        <w:r w:rsidR="00F758D4">
          <w:rPr>
            <w:noProof/>
            <w:webHidden/>
          </w:rPr>
          <w:fldChar w:fldCharType="end"/>
        </w:r>
      </w:hyperlink>
    </w:p>
    <w:p w14:paraId="4E442337" w14:textId="32F4E8C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90" w:history="1">
        <w:r w:rsidR="00F758D4" w:rsidRPr="00C24B66">
          <w:rPr>
            <w:rStyle w:val="Hyperlink"/>
            <w:noProof/>
          </w:rPr>
          <w:t>3.16.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Dismissal of Cases Properly Filed under Other Chapters</w:t>
        </w:r>
        <w:r w:rsidR="00F758D4">
          <w:rPr>
            <w:noProof/>
            <w:webHidden/>
          </w:rPr>
          <w:tab/>
        </w:r>
        <w:r w:rsidR="00F758D4">
          <w:rPr>
            <w:noProof/>
            <w:webHidden/>
          </w:rPr>
          <w:fldChar w:fldCharType="begin"/>
        </w:r>
        <w:r w:rsidR="00F758D4">
          <w:rPr>
            <w:noProof/>
            <w:webHidden/>
          </w:rPr>
          <w:instrText xml:space="preserve"> PAGEREF _Toc90983590 \h </w:instrText>
        </w:r>
        <w:r w:rsidR="00F758D4">
          <w:rPr>
            <w:noProof/>
            <w:webHidden/>
          </w:rPr>
        </w:r>
        <w:r w:rsidR="00F758D4">
          <w:rPr>
            <w:noProof/>
            <w:webHidden/>
          </w:rPr>
          <w:fldChar w:fldCharType="separate"/>
        </w:r>
        <w:r w:rsidR="00F758D4">
          <w:rPr>
            <w:noProof/>
            <w:webHidden/>
          </w:rPr>
          <w:t>74</w:t>
        </w:r>
        <w:r w:rsidR="00F758D4">
          <w:rPr>
            <w:noProof/>
            <w:webHidden/>
          </w:rPr>
          <w:fldChar w:fldCharType="end"/>
        </w:r>
      </w:hyperlink>
    </w:p>
    <w:p w14:paraId="2707C23C" w14:textId="0783BC8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91" w:history="1">
        <w:r w:rsidR="00F758D4" w:rsidRPr="00C24B66">
          <w:rPr>
            <w:rStyle w:val="Hyperlink"/>
            <w:noProof/>
          </w:rPr>
          <w:t>3.17.</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Bad Faith Dismissals</w:t>
        </w:r>
        <w:r w:rsidR="00F758D4">
          <w:rPr>
            <w:noProof/>
            <w:webHidden/>
          </w:rPr>
          <w:tab/>
        </w:r>
        <w:r w:rsidR="00F758D4">
          <w:rPr>
            <w:noProof/>
            <w:webHidden/>
          </w:rPr>
          <w:fldChar w:fldCharType="begin"/>
        </w:r>
        <w:r w:rsidR="00F758D4">
          <w:rPr>
            <w:noProof/>
            <w:webHidden/>
          </w:rPr>
          <w:instrText xml:space="preserve"> PAGEREF _Toc90983591 \h </w:instrText>
        </w:r>
        <w:r w:rsidR="00F758D4">
          <w:rPr>
            <w:noProof/>
            <w:webHidden/>
          </w:rPr>
        </w:r>
        <w:r w:rsidR="00F758D4">
          <w:rPr>
            <w:noProof/>
            <w:webHidden/>
          </w:rPr>
          <w:fldChar w:fldCharType="separate"/>
        </w:r>
        <w:r w:rsidR="00F758D4">
          <w:rPr>
            <w:noProof/>
            <w:webHidden/>
          </w:rPr>
          <w:t>74</w:t>
        </w:r>
        <w:r w:rsidR="00F758D4">
          <w:rPr>
            <w:noProof/>
            <w:webHidden/>
          </w:rPr>
          <w:fldChar w:fldCharType="end"/>
        </w:r>
      </w:hyperlink>
    </w:p>
    <w:p w14:paraId="6FB335AF" w14:textId="3BFDEC7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92" w:history="1">
        <w:r w:rsidR="00F758D4" w:rsidRPr="00C24B66">
          <w:rPr>
            <w:rStyle w:val="Hyperlink"/>
            <w:noProof/>
          </w:rPr>
          <w:t>3.17.1.</w:t>
        </w:r>
        <w:r w:rsidR="00F758D4">
          <w:rPr>
            <w:rFonts w:asciiTheme="minorHAnsi" w:eastAsiaTheme="minorEastAsia" w:hAnsiTheme="minorHAnsi" w:cstheme="minorBidi"/>
            <w:noProof/>
            <w:color w:val="auto"/>
            <w:sz w:val="22"/>
            <w:szCs w:val="22"/>
          </w:rPr>
          <w:tab/>
        </w:r>
        <w:r w:rsidR="00F758D4" w:rsidRPr="00C24B66">
          <w:rPr>
            <w:rStyle w:val="Hyperlink"/>
            <w:noProof/>
          </w:rPr>
          <w:t>IN RE JOHNS-MANVILLE CORPORATION, 36 B.R. 727 (Bankr. S.D.N.Y. 1984)</w:t>
        </w:r>
        <w:r w:rsidR="00F758D4">
          <w:rPr>
            <w:noProof/>
            <w:webHidden/>
          </w:rPr>
          <w:tab/>
        </w:r>
        <w:r w:rsidR="00F758D4">
          <w:rPr>
            <w:noProof/>
            <w:webHidden/>
          </w:rPr>
          <w:fldChar w:fldCharType="begin"/>
        </w:r>
        <w:r w:rsidR="00F758D4">
          <w:rPr>
            <w:noProof/>
            <w:webHidden/>
          </w:rPr>
          <w:instrText xml:space="preserve"> PAGEREF _Toc90983592 \h </w:instrText>
        </w:r>
        <w:r w:rsidR="00F758D4">
          <w:rPr>
            <w:noProof/>
            <w:webHidden/>
          </w:rPr>
        </w:r>
        <w:r w:rsidR="00F758D4">
          <w:rPr>
            <w:noProof/>
            <w:webHidden/>
          </w:rPr>
          <w:fldChar w:fldCharType="separate"/>
        </w:r>
        <w:r w:rsidR="00F758D4">
          <w:rPr>
            <w:noProof/>
            <w:webHidden/>
          </w:rPr>
          <w:t>74</w:t>
        </w:r>
        <w:r w:rsidR="00F758D4">
          <w:rPr>
            <w:noProof/>
            <w:webHidden/>
          </w:rPr>
          <w:fldChar w:fldCharType="end"/>
        </w:r>
      </w:hyperlink>
    </w:p>
    <w:p w14:paraId="491F7C20" w14:textId="30CA6D8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93" w:history="1">
        <w:r w:rsidR="00F758D4" w:rsidRPr="00C24B66">
          <w:rPr>
            <w:rStyle w:val="Hyperlink"/>
            <w:noProof/>
          </w:rPr>
          <w:t>3.17.2.</w:t>
        </w:r>
        <w:r w:rsidR="00F758D4">
          <w:rPr>
            <w:rFonts w:asciiTheme="minorHAnsi" w:eastAsiaTheme="minorEastAsia" w:hAnsiTheme="minorHAnsi" w:cstheme="minorBidi"/>
            <w:noProof/>
            <w:color w:val="auto"/>
            <w:sz w:val="22"/>
            <w:szCs w:val="22"/>
          </w:rPr>
          <w:tab/>
        </w:r>
        <w:r w:rsidR="00F758D4" w:rsidRPr="00C24B66">
          <w:rPr>
            <w:rStyle w:val="Hyperlink"/>
            <w:noProof/>
          </w:rPr>
          <w:t>IN RE SGL CARBON, 200 F.3d 154 (3d Cir. 1999)</w:t>
        </w:r>
        <w:r w:rsidR="00F758D4">
          <w:rPr>
            <w:noProof/>
            <w:webHidden/>
          </w:rPr>
          <w:tab/>
        </w:r>
        <w:r w:rsidR="00F758D4">
          <w:rPr>
            <w:noProof/>
            <w:webHidden/>
          </w:rPr>
          <w:fldChar w:fldCharType="begin"/>
        </w:r>
        <w:r w:rsidR="00F758D4">
          <w:rPr>
            <w:noProof/>
            <w:webHidden/>
          </w:rPr>
          <w:instrText xml:space="preserve"> PAGEREF _Toc90983593 \h </w:instrText>
        </w:r>
        <w:r w:rsidR="00F758D4">
          <w:rPr>
            <w:noProof/>
            <w:webHidden/>
          </w:rPr>
        </w:r>
        <w:r w:rsidR="00F758D4">
          <w:rPr>
            <w:noProof/>
            <w:webHidden/>
          </w:rPr>
          <w:fldChar w:fldCharType="separate"/>
        </w:r>
        <w:r w:rsidR="00F758D4">
          <w:rPr>
            <w:noProof/>
            <w:webHidden/>
          </w:rPr>
          <w:t>78</w:t>
        </w:r>
        <w:r w:rsidR="00F758D4">
          <w:rPr>
            <w:noProof/>
            <w:webHidden/>
          </w:rPr>
          <w:fldChar w:fldCharType="end"/>
        </w:r>
      </w:hyperlink>
    </w:p>
    <w:p w14:paraId="57E9B3B6" w14:textId="7161BD2A"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94" w:history="1">
        <w:r w:rsidR="00F758D4" w:rsidRPr="00C24B66">
          <w:rPr>
            <w:rStyle w:val="Hyperlink"/>
            <w:noProof/>
          </w:rPr>
          <w:t>3.17.3.</w:t>
        </w:r>
        <w:r w:rsidR="00F758D4">
          <w:rPr>
            <w:rFonts w:asciiTheme="minorHAnsi" w:eastAsiaTheme="minorEastAsia" w:hAnsiTheme="minorHAnsi" w:cstheme="minorBidi"/>
            <w:noProof/>
            <w:color w:val="auto"/>
            <w:sz w:val="22"/>
            <w:szCs w:val="22"/>
          </w:rPr>
          <w:tab/>
        </w:r>
        <w:r w:rsidR="00F758D4" w:rsidRPr="00C24B66">
          <w:rPr>
            <w:rStyle w:val="Hyperlink"/>
            <w:noProof/>
          </w:rPr>
          <w:t>IN RE PADILLA, 222 F. 3d 1184 (9th Cir. 2000)</w:t>
        </w:r>
        <w:r w:rsidR="00F758D4">
          <w:rPr>
            <w:noProof/>
            <w:webHidden/>
          </w:rPr>
          <w:tab/>
        </w:r>
        <w:r w:rsidR="00F758D4">
          <w:rPr>
            <w:noProof/>
            <w:webHidden/>
          </w:rPr>
          <w:fldChar w:fldCharType="begin"/>
        </w:r>
        <w:r w:rsidR="00F758D4">
          <w:rPr>
            <w:noProof/>
            <w:webHidden/>
          </w:rPr>
          <w:instrText xml:space="preserve"> PAGEREF _Toc90983594 \h </w:instrText>
        </w:r>
        <w:r w:rsidR="00F758D4">
          <w:rPr>
            <w:noProof/>
            <w:webHidden/>
          </w:rPr>
        </w:r>
        <w:r w:rsidR="00F758D4">
          <w:rPr>
            <w:noProof/>
            <w:webHidden/>
          </w:rPr>
          <w:fldChar w:fldCharType="separate"/>
        </w:r>
        <w:r w:rsidR="00F758D4">
          <w:rPr>
            <w:noProof/>
            <w:webHidden/>
          </w:rPr>
          <w:t>81</w:t>
        </w:r>
        <w:r w:rsidR="00F758D4">
          <w:rPr>
            <w:noProof/>
            <w:webHidden/>
          </w:rPr>
          <w:fldChar w:fldCharType="end"/>
        </w:r>
      </w:hyperlink>
    </w:p>
    <w:p w14:paraId="3BA03006" w14:textId="088B9CD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95" w:history="1">
        <w:r w:rsidR="00F758D4" w:rsidRPr="00C24B66">
          <w:rPr>
            <w:rStyle w:val="Hyperlink"/>
            <w:noProof/>
          </w:rPr>
          <w:t>3.18.</w:t>
        </w:r>
        <w:r w:rsidR="00F758D4">
          <w:rPr>
            <w:rFonts w:asciiTheme="minorHAnsi" w:eastAsiaTheme="minorEastAsia" w:hAnsiTheme="minorHAnsi" w:cstheme="minorBidi"/>
            <w:iCs w:val="0"/>
            <w:noProof/>
            <w:color w:val="auto"/>
            <w:sz w:val="22"/>
            <w:szCs w:val="22"/>
          </w:rPr>
          <w:tab/>
        </w:r>
        <w:r w:rsidR="00F758D4" w:rsidRPr="00C24B66">
          <w:rPr>
            <w:rStyle w:val="Hyperlink"/>
            <w:noProof/>
          </w:rPr>
          <w:t>Voluntary and Involuntary Conversion and Dismissal</w:t>
        </w:r>
        <w:r w:rsidR="00F758D4">
          <w:rPr>
            <w:noProof/>
            <w:webHidden/>
          </w:rPr>
          <w:tab/>
        </w:r>
        <w:r w:rsidR="00F758D4">
          <w:rPr>
            <w:noProof/>
            <w:webHidden/>
          </w:rPr>
          <w:fldChar w:fldCharType="begin"/>
        </w:r>
        <w:r w:rsidR="00F758D4">
          <w:rPr>
            <w:noProof/>
            <w:webHidden/>
          </w:rPr>
          <w:instrText xml:space="preserve"> PAGEREF _Toc90983595 \h </w:instrText>
        </w:r>
        <w:r w:rsidR="00F758D4">
          <w:rPr>
            <w:noProof/>
            <w:webHidden/>
          </w:rPr>
        </w:r>
        <w:r w:rsidR="00F758D4">
          <w:rPr>
            <w:noProof/>
            <w:webHidden/>
          </w:rPr>
          <w:fldChar w:fldCharType="separate"/>
        </w:r>
        <w:r w:rsidR="00F758D4">
          <w:rPr>
            <w:noProof/>
            <w:webHidden/>
          </w:rPr>
          <w:t>85</w:t>
        </w:r>
        <w:r w:rsidR="00F758D4">
          <w:rPr>
            <w:noProof/>
            <w:webHidden/>
          </w:rPr>
          <w:fldChar w:fldCharType="end"/>
        </w:r>
      </w:hyperlink>
    </w:p>
    <w:p w14:paraId="0B5F2708" w14:textId="162C0C0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96" w:history="1">
        <w:r w:rsidR="00F758D4" w:rsidRPr="00C24B66">
          <w:rPr>
            <w:rStyle w:val="Hyperlink"/>
            <w:noProof/>
          </w:rPr>
          <w:t>3.19.</w:t>
        </w:r>
        <w:r w:rsidR="00F758D4">
          <w:rPr>
            <w:rFonts w:asciiTheme="minorHAnsi" w:eastAsiaTheme="minorEastAsia" w:hAnsiTheme="minorHAnsi" w:cstheme="minorBidi"/>
            <w:iCs w:val="0"/>
            <w:noProof/>
            <w:color w:val="auto"/>
            <w:sz w:val="22"/>
            <w:szCs w:val="22"/>
          </w:rPr>
          <w:tab/>
        </w:r>
        <w:r w:rsidR="00F758D4" w:rsidRPr="00C24B66">
          <w:rPr>
            <w:rStyle w:val="Hyperlink"/>
            <w:noProof/>
          </w:rPr>
          <w:t>Fees, Surcharges and Sanctions</w:t>
        </w:r>
        <w:r w:rsidR="00F758D4">
          <w:rPr>
            <w:noProof/>
            <w:webHidden/>
          </w:rPr>
          <w:tab/>
        </w:r>
        <w:r w:rsidR="00F758D4">
          <w:rPr>
            <w:noProof/>
            <w:webHidden/>
          </w:rPr>
          <w:fldChar w:fldCharType="begin"/>
        </w:r>
        <w:r w:rsidR="00F758D4">
          <w:rPr>
            <w:noProof/>
            <w:webHidden/>
          </w:rPr>
          <w:instrText xml:space="preserve"> PAGEREF _Toc90983596 \h </w:instrText>
        </w:r>
        <w:r w:rsidR="00F758D4">
          <w:rPr>
            <w:noProof/>
            <w:webHidden/>
          </w:rPr>
        </w:r>
        <w:r w:rsidR="00F758D4">
          <w:rPr>
            <w:noProof/>
            <w:webHidden/>
          </w:rPr>
          <w:fldChar w:fldCharType="separate"/>
        </w:r>
        <w:r w:rsidR="00F758D4">
          <w:rPr>
            <w:noProof/>
            <w:webHidden/>
          </w:rPr>
          <w:t>86</w:t>
        </w:r>
        <w:r w:rsidR="00F758D4">
          <w:rPr>
            <w:noProof/>
            <w:webHidden/>
          </w:rPr>
          <w:fldChar w:fldCharType="end"/>
        </w:r>
      </w:hyperlink>
    </w:p>
    <w:p w14:paraId="5C691102" w14:textId="0F34004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97" w:history="1">
        <w:r w:rsidR="00F758D4" w:rsidRPr="00C24B66">
          <w:rPr>
            <w:rStyle w:val="Hyperlink"/>
            <w:noProof/>
          </w:rPr>
          <w:t>3.19.1.</w:t>
        </w:r>
        <w:r w:rsidR="00F758D4">
          <w:rPr>
            <w:rFonts w:asciiTheme="minorHAnsi" w:eastAsiaTheme="minorEastAsia" w:hAnsiTheme="minorHAnsi" w:cstheme="minorBidi"/>
            <w:noProof/>
            <w:color w:val="auto"/>
            <w:sz w:val="22"/>
            <w:szCs w:val="22"/>
          </w:rPr>
          <w:tab/>
        </w:r>
        <w:r w:rsidR="00F758D4" w:rsidRPr="00C24B66">
          <w:rPr>
            <w:rStyle w:val="Hyperlink"/>
            <w:noProof/>
          </w:rPr>
          <w:t>UNITED STATES v. KRAS, 409 U.S. 434 (1973)</w:t>
        </w:r>
        <w:r w:rsidR="00F758D4">
          <w:rPr>
            <w:noProof/>
            <w:webHidden/>
          </w:rPr>
          <w:tab/>
        </w:r>
        <w:r w:rsidR="00F758D4">
          <w:rPr>
            <w:noProof/>
            <w:webHidden/>
          </w:rPr>
          <w:fldChar w:fldCharType="begin"/>
        </w:r>
        <w:r w:rsidR="00F758D4">
          <w:rPr>
            <w:noProof/>
            <w:webHidden/>
          </w:rPr>
          <w:instrText xml:space="preserve"> PAGEREF _Toc90983597 \h </w:instrText>
        </w:r>
        <w:r w:rsidR="00F758D4">
          <w:rPr>
            <w:noProof/>
            <w:webHidden/>
          </w:rPr>
        </w:r>
        <w:r w:rsidR="00F758D4">
          <w:rPr>
            <w:noProof/>
            <w:webHidden/>
          </w:rPr>
          <w:fldChar w:fldCharType="separate"/>
        </w:r>
        <w:r w:rsidR="00F758D4">
          <w:rPr>
            <w:noProof/>
            <w:webHidden/>
          </w:rPr>
          <w:t>86</w:t>
        </w:r>
        <w:r w:rsidR="00F758D4">
          <w:rPr>
            <w:noProof/>
            <w:webHidden/>
          </w:rPr>
          <w:fldChar w:fldCharType="end"/>
        </w:r>
      </w:hyperlink>
    </w:p>
    <w:p w14:paraId="45BE4EEC" w14:textId="6AD8415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598" w:history="1">
        <w:r w:rsidR="00F758D4" w:rsidRPr="00C24B66">
          <w:rPr>
            <w:rStyle w:val="Hyperlink"/>
            <w:noProof/>
          </w:rPr>
          <w:t>3.19.2.</w:t>
        </w:r>
        <w:r w:rsidR="00F758D4">
          <w:rPr>
            <w:rFonts w:asciiTheme="minorHAnsi" w:eastAsiaTheme="minorEastAsia" w:hAnsiTheme="minorHAnsi" w:cstheme="minorBidi"/>
            <w:noProof/>
            <w:color w:val="auto"/>
            <w:sz w:val="22"/>
            <w:szCs w:val="22"/>
          </w:rPr>
          <w:tab/>
        </w:r>
        <w:r w:rsidR="00F758D4" w:rsidRPr="00C24B66">
          <w:rPr>
            <w:rStyle w:val="Hyperlink"/>
            <w:noProof/>
          </w:rPr>
          <w:t>LAW v. SIEGEL, 134 S.Ct. 1188 (2014)</w:t>
        </w:r>
        <w:r w:rsidR="00F758D4">
          <w:rPr>
            <w:noProof/>
            <w:webHidden/>
          </w:rPr>
          <w:tab/>
        </w:r>
        <w:r w:rsidR="00F758D4">
          <w:rPr>
            <w:noProof/>
            <w:webHidden/>
          </w:rPr>
          <w:fldChar w:fldCharType="begin"/>
        </w:r>
        <w:r w:rsidR="00F758D4">
          <w:rPr>
            <w:noProof/>
            <w:webHidden/>
          </w:rPr>
          <w:instrText xml:space="preserve"> PAGEREF _Toc90983598 \h </w:instrText>
        </w:r>
        <w:r w:rsidR="00F758D4">
          <w:rPr>
            <w:noProof/>
            <w:webHidden/>
          </w:rPr>
        </w:r>
        <w:r w:rsidR="00F758D4">
          <w:rPr>
            <w:noProof/>
            <w:webHidden/>
          </w:rPr>
          <w:fldChar w:fldCharType="separate"/>
        </w:r>
        <w:r w:rsidR="00F758D4">
          <w:rPr>
            <w:noProof/>
            <w:webHidden/>
          </w:rPr>
          <w:t>90</w:t>
        </w:r>
        <w:r w:rsidR="00F758D4">
          <w:rPr>
            <w:noProof/>
            <w:webHidden/>
          </w:rPr>
          <w:fldChar w:fldCharType="end"/>
        </w:r>
      </w:hyperlink>
    </w:p>
    <w:p w14:paraId="30E67B5E" w14:textId="1191035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599" w:history="1">
        <w:r w:rsidR="00F758D4" w:rsidRPr="00C24B66">
          <w:rPr>
            <w:rStyle w:val="Hyperlink"/>
            <w:noProof/>
          </w:rPr>
          <w:t>3.20.</w:t>
        </w:r>
        <w:r w:rsidR="00F758D4">
          <w:rPr>
            <w:rFonts w:asciiTheme="minorHAnsi" w:eastAsiaTheme="minorEastAsia" w:hAnsiTheme="minorHAnsi" w:cstheme="minorBidi"/>
            <w:iCs w:val="0"/>
            <w:noProof/>
            <w:color w:val="auto"/>
            <w:sz w:val="22"/>
            <w:szCs w:val="22"/>
          </w:rPr>
          <w:tab/>
        </w:r>
        <w:r w:rsidR="00F758D4" w:rsidRPr="00C24B66">
          <w:rPr>
            <w:rStyle w:val="Hyperlink"/>
            <w:noProof/>
          </w:rPr>
          <w:t>Dismissal of Consumer Chapter 7 Cases for “Abuse” – The Means Test</w:t>
        </w:r>
        <w:r w:rsidR="00F758D4">
          <w:rPr>
            <w:noProof/>
            <w:webHidden/>
          </w:rPr>
          <w:tab/>
        </w:r>
        <w:r w:rsidR="00F758D4">
          <w:rPr>
            <w:noProof/>
            <w:webHidden/>
          </w:rPr>
          <w:fldChar w:fldCharType="begin"/>
        </w:r>
        <w:r w:rsidR="00F758D4">
          <w:rPr>
            <w:noProof/>
            <w:webHidden/>
          </w:rPr>
          <w:instrText xml:space="preserve"> PAGEREF _Toc90983599 \h </w:instrText>
        </w:r>
        <w:r w:rsidR="00F758D4">
          <w:rPr>
            <w:noProof/>
            <w:webHidden/>
          </w:rPr>
        </w:r>
        <w:r w:rsidR="00F758D4">
          <w:rPr>
            <w:noProof/>
            <w:webHidden/>
          </w:rPr>
          <w:fldChar w:fldCharType="separate"/>
        </w:r>
        <w:r w:rsidR="00F758D4">
          <w:rPr>
            <w:noProof/>
            <w:webHidden/>
          </w:rPr>
          <w:t>93</w:t>
        </w:r>
        <w:r w:rsidR="00F758D4">
          <w:rPr>
            <w:noProof/>
            <w:webHidden/>
          </w:rPr>
          <w:fldChar w:fldCharType="end"/>
        </w:r>
      </w:hyperlink>
    </w:p>
    <w:p w14:paraId="15179181" w14:textId="5C9A53C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0" w:history="1">
        <w:r w:rsidR="00F758D4" w:rsidRPr="00C24B66">
          <w:rPr>
            <w:rStyle w:val="Hyperlink"/>
            <w:noProof/>
          </w:rPr>
          <w:t>3.21.</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Dismissal for Abuse – The Means Test, Part One</w:t>
        </w:r>
        <w:r w:rsidR="00F758D4">
          <w:rPr>
            <w:noProof/>
            <w:webHidden/>
          </w:rPr>
          <w:tab/>
        </w:r>
        <w:r w:rsidR="00F758D4">
          <w:rPr>
            <w:noProof/>
            <w:webHidden/>
          </w:rPr>
          <w:fldChar w:fldCharType="begin"/>
        </w:r>
        <w:r w:rsidR="00F758D4">
          <w:rPr>
            <w:noProof/>
            <w:webHidden/>
          </w:rPr>
          <w:instrText xml:space="preserve"> PAGEREF _Toc90983600 \h </w:instrText>
        </w:r>
        <w:r w:rsidR="00F758D4">
          <w:rPr>
            <w:noProof/>
            <w:webHidden/>
          </w:rPr>
        </w:r>
        <w:r w:rsidR="00F758D4">
          <w:rPr>
            <w:noProof/>
            <w:webHidden/>
          </w:rPr>
          <w:fldChar w:fldCharType="separate"/>
        </w:r>
        <w:r w:rsidR="00F758D4">
          <w:rPr>
            <w:noProof/>
            <w:webHidden/>
          </w:rPr>
          <w:t>94</w:t>
        </w:r>
        <w:r w:rsidR="00F758D4">
          <w:rPr>
            <w:noProof/>
            <w:webHidden/>
          </w:rPr>
          <w:fldChar w:fldCharType="end"/>
        </w:r>
      </w:hyperlink>
    </w:p>
    <w:p w14:paraId="4435B8DC" w14:textId="782CD96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1" w:history="1">
        <w:r w:rsidR="00F758D4" w:rsidRPr="00C24B66">
          <w:rPr>
            <w:rStyle w:val="Hyperlink"/>
            <w:noProof/>
          </w:rPr>
          <w:t>3.22.</w:t>
        </w:r>
        <w:r w:rsidR="00F758D4">
          <w:rPr>
            <w:rFonts w:asciiTheme="minorHAnsi" w:eastAsiaTheme="minorEastAsia" w:hAnsiTheme="minorHAnsi" w:cstheme="minorBidi"/>
            <w:iCs w:val="0"/>
            <w:noProof/>
            <w:color w:val="auto"/>
            <w:sz w:val="22"/>
            <w:szCs w:val="22"/>
          </w:rPr>
          <w:tab/>
        </w:r>
        <w:r w:rsidR="00F758D4" w:rsidRPr="00C24B66">
          <w:rPr>
            <w:rStyle w:val="Hyperlink"/>
            <w:noProof/>
          </w:rPr>
          <w:t>Dismissal for “Abuse” – The Means Test, Part Two</w:t>
        </w:r>
        <w:r w:rsidR="00F758D4">
          <w:rPr>
            <w:noProof/>
            <w:webHidden/>
          </w:rPr>
          <w:tab/>
        </w:r>
        <w:r w:rsidR="00F758D4">
          <w:rPr>
            <w:noProof/>
            <w:webHidden/>
          </w:rPr>
          <w:fldChar w:fldCharType="begin"/>
        </w:r>
        <w:r w:rsidR="00F758D4">
          <w:rPr>
            <w:noProof/>
            <w:webHidden/>
          </w:rPr>
          <w:instrText xml:space="preserve"> PAGEREF _Toc90983601 \h </w:instrText>
        </w:r>
        <w:r w:rsidR="00F758D4">
          <w:rPr>
            <w:noProof/>
            <w:webHidden/>
          </w:rPr>
        </w:r>
        <w:r w:rsidR="00F758D4">
          <w:rPr>
            <w:noProof/>
            <w:webHidden/>
          </w:rPr>
          <w:fldChar w:fldCharType="separate"/>
        </w:r>
        <w:r w:rsidR="00F758D4">
          <w:rPr>
            <w:noProof/>
            <w:webHidden/>
          </w:rPr>
          <w:t>95</w:t>
        </w:r>
        <w:r w:rsidR="00F758D4">
          <w:rPr>
            <w:noProof/>
            <w:webHidden/>
          </w:rPr>
          <w:fldChar w:fldCharType="end"/>
        </w:r>
      </w:hyperlink>
    </w:p>
    <w:p w14:paraId="5C01B633" w14:textId="46F902C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2" w:history="1">
        <w:r w:rsidR="00F758D4" w:rsidRPr="00C24B66">
          <w:rPr>
            <w:rStyle w:val="Hyperlink"/>
            <w:noProof/>
          </w:rPr>
          <w:t>3.23.</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Rebutting the Presumption of Abuse under the Means Test</w:t>
        </w:r>
        <w:r w:rsidR="00F758D4">
          <w:rPr>
            <w:noProof/>
            <w:webHidden/>
          </w:rPr>
          <w:tab/>
        </w:r>
        <w:r w:rsidR="00F758D4">
          <w:rPr>
            <w:noProof/>
            <w:webHidden/>
          </w:rPr>
          <w:fldChar w:fldCharType="begin"/>
        </w:r>
        <w:r w:rsidR="00F758D4">
          <w:rPr>
            <w:noProof/>
            <w:webHidden/>
          </w:rPr>
          <w:instrText xml:space="preserve"> PAGEREF _Toc90983602 \h </w:instrText>
        </w:r>
        <w:r w:rsidR="00F758D4">
          <w:rPr>
            <w:noProof/>
            <w:webHidden/>
          </w:rPr>
        </w:r>
        <w:r w:rsidR="00F758D4">
          <w:rPr>
            <w:noProof/>
            <w:webHidden/>
          </w:rPr>
          <w:fldChar w:fldCharType="separate"/>
        </w:r>
        <w:r w:rsidR="00F758D4">
          <w:rPr>
            <w:noProof/>
            <w:webHidden/>
          </w:rPr>
          <w:t>96</w:t>
        </w:r>
        <w:r w:rsidR="00F758D4">
          <w:rPr>
            <w:noProof/>
            <w:webHidden/>
          </w:rPr>
          <w:fldChar w:fldCharType="end"/>
        </w:r>
      </w:hyperlink>
    </w:p>
    <w:p w14:paraId="48B79A0B" w14:textId="34C3607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3" w:history="1">
        <w:r w:rsidR="00F758D4" w:rsidRPr="00C24B66">
          <w:rPr>
            <w:rStyle w:val="Hyperlink"/>
            <w:noProof/>
          </w:rPr>
          <w:t>3.24.</w:t>
        </w:r>
        <w:r w:rsidR="00F758D4">
          <w:rPr>
            <w:rFonts w:asciiTheme="minorHAnsi" w:eastAsiaTheme="minorEastAsia" w:hAnsiTheme="minorHAnsi" w:cstheme="minorBidi"/>
            <w:iCs w:val="0"/>
            <w:noProof/>
            <w:color w:val="auto"/>
            <w:sz w:val="22"/>
            <w:szCs w:val="22"/>
          </w:rPr>
          <w:tab/>
        </w:r>
        <w:r w:rsidR="00F758D4" w:rsidRPr="00C24B66">
          <w:rPr>
            <w:rStyle w:val="Hyperlink"/>
            <w:noProof/>
          </w:rPr>
          <w:t>Attorney Sanctions for Means Test Violations</w:t>
        </w:r>
        <w:r w:rsidR="00F758D4">
          <w:rPr>
            <w:noProof/>
            <w:webHidden/>
          </w:rPr>
          <w:tab/>
        </w:r>
        <w:r w:rsidR="00F758D4">
          <w:rPr>
            <w:noProof/>
            <w:webHidden/>
          </w:rPr>
          <w:fldChar w:fldCharType="begin"/>
        </w:r>
        <w:r w:rsidR="00F758D4">
          <w:rPr>
            <w:noProof/>
            <w:webHidden/>
          </w:rPr>
          <w:instrText xml:space="preserve"> PAGEREF _Toc90983603 \h </w:instrText>
        </w:r>
        <w:r w:rsidR="00F758D4">
          <w:rPr>
            <w:noProof/>
            <w:webHidden/>
          </w:rPr>
        </w:r>
        <w:r w:rsidR="00F758D4">
          <w:rPr>
            <w:noProof/>
            <w:webHidden/>
          </w:rPr>
          <w:fldChar w:fldCharType="separate"/>
        </w:r>
        <w:r w:rsidR="00F758D4">
          <w:rPr>
            <w:noProof/>
            <w:webHidden/>
          </w:rPr>
          <w:t>96</w:t>
        </w:r>
        <w:r w:rsidR="00F758D4">
          <w:rPr>
            <w:noProof/>
            <w:webHidden/>
          </w:rPr>
          <w:fldChar w:fldCharType="end"/>
        </w:r>
      </w:hyperlink>
    </w:p>
    <w:p w14:paraId="469D77D4" w14:textId="0A3D418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04" w:history="1">
        <w:r w:rsidR="00F758D4" w:rsidRPr="00C24B66">
          <w:rPr>
            <w:rStyle w:val="Hyperlink"/>
            <w:noProof/>
          </w:rPr>
          <w:t>3.24.1.</w:t>
        </w:r>
        <w:r w:rsidR="00F758D4">
          <w:rPr>
            <w:rFonts w:asciiTheme="minorHAnsi" w:eastAsiaTheme="minorEastAsia" w:hAnsiTheme="minorHAnsi" w:cstheme="minorBidi"/>
            <w:noProof/>
            <w:color w:val="auto"/>
            <w:sz w:val="22"/>
            <w:szCs w:val="22"/>
          </w:rPr>
          <w:tab/>
        </w:r>
        <w:r w:rsidR="00F758D4" w:rsidRPr="00C24B66">
          <w:rPr>
            <w:rStyle w:val="Hyperlink"/>
            <w:noProof/>
          </w:rPr>
          <w:t>Eligibility after Prior Bankruptcy Cases</w:t>
        </w:r>
        <w:r w:rsidR="00F758D4">
          <w:rPr>
            <w:noProof/>
            <w:webHidden/>
          </w:rPr>
          <w:tab/>
        </w:r>
        <w:r w:rsidR="00F758D4">
          <w:rPr>
            <w:noProof/>
            <w:webHidden/>
          </w:rPr>
          <w:fldChar w:fldCharType="begin"/>
        </w:r>
        <w:r w:rsidR="00F758D4">
          <w:rPr>
            <w:noProof/>
            <w:webHidden/>
          </w:rPr>
          <w:instrText xml:space="preserve"> PAGEREF _Toc90983604 \h </w:instrText>
        </w:r>
        <w:r w:rsidR="00F758D4">
          <w:rPr>
            <w:noProof/>
            <w:webHidden/>
          </w:rPr>
        </w:r>
        <w:r w:rsidR="00F758D4">
          <w:rPr>
            <w:noProof/>
            <w:webHidden/>
          </w:rPr>
          <w:fldChar w:fldCharType="separate"/>
        </w:r>
        <w:r w:rsidR="00F758D4">
          <w:rPr>
            <w:noProof/>
            <w:webHidden/>
          </w:rPr>
          <w:t>96</w:t>
        </w:r>
        <w:r w:rsidR="00F758D4">
          <w:rPr>
            <w:noProof/>
            <w:webHidden/>
          </w:rPr>
          <w:fldChar w:fldCharType="end"/>
        </w:r>
      </w:hyperlink>
    </w:p>
    <w:p w14:paraId="220AE612" w14:textId="6ABBB983"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605" w:history="1">
        <w:r w:rsidR="00F758D4" w:rsidRPr="00C24B66">
          <w:rPr>
            <w:rStyle w:val="Hyperlink"/>
            <w:noProof/>
          </w:rPr>
          <w:t>Chapter 4.</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The Bankruptcy Estate</w:t>
        </w:r>
        <w:r w:rsidR="00F758D4">
          <w:rPr>
            <w:noProof/>
            <w:webHidden/>
          </w:rPr>
          <w:tab/>
        </w:r>
        <w:r w:rsidR="00F758D4">
          <w:rPr>
            <w:noProof/>
            <w:webHidden/>
          </w:rPr>
          <w:fldChar w:fldCharType="begin"/>
        </w:r>
        <w:r w:rsidR="00F758D4">
          <w:rPr>
            <w:noProof/>
            <w:webHidden/>
          </w:rPr>
          <w:instrText xml:space="preserve"> PAGEREF _Toc90983605 \h </w:instrText>
        </w:r>
        <w:r w:rsidR="00F758D4">
          <w:rPr>
            <w:noProof/>
            <w:webHidden/>
          </w:rPr>
        </w:r>
        <w:r w:rsidR="00F758D4">
          <w:rPr>
            <w:noProof/>
            <w:webHidden/>
          </w:rPr>
          <w:fldChar w:fldCharType="separate"/>
        </w:r>
        <w:r w:rsidR="00F758D4">
          <w:rPr>
            <w:noProof/>
            <w:webHidden/>
          </w:rPr>
          <w:t>98</w:t>
        </w:r>
        <w:r w:rsidR="00F758D4">
          <w:rPr>
            <w:noProof/>
            <w:webHidden/>
          </w:rPr>
          <w:fldChar w:fldCharType="end"/>
        </w:r>
      </w:hyperlink>
    </w:p>
    <w:p w14:paraId="17290327" w14:textId="5F23FDF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6" w:history="1">
        <w:r w:rsidR="00F758D4" w:rsidRPr="00C24B66">
          <w:rPr>
            <w:rStyle w:val="Hyperlink"/>
            <w:noProof/>
          </w:rPr>
          <w:t>4.1.</w:t>
        </w:r>
        <w:r w:rsidR="00F758D4">
          <w:rPr>
            <w:rFonts w:asciiTheme="minorHAnsi" w:eastAsiaTheme="minorEastAsia" w:hAnsiTheme="minorHAnsi" w:cstheme="minorBidi"/>
            <w:iCs w:val="0"/>
            <w:noProof/>
            <w:color w:val="auto"/>
            <w:sz w:val="22"/>
            <w:szCs w:val="22"/>
          </w:rPr>
          <w:tab/>
        </w:r>
        <w:r w:rsidR="00F758D4" w:rsidRPr="00C24B66">
          <w:rPr>
            <w:rStyle w:val="Hyperlink"/>
            <w:noProof/>
          </w:rPr>
          <w:t>What Property is in the Estate?</w:t>
        </w:r>
        <w:r w:rsidR="00F758D4">
          <w:rPr>
            <w:noProof/>
            <w:webHidden/>
          </w:rPr>
          <w:tab/>
        </w:r>
        <w:r w:rsidR="00F758D4">
          <w:rPr>
            <w:noProof/>
            <w:webHidden/>
          </w:rPr>
          <w:fldChar w:fldCharType="begin"/>
        </w:r>
        <w:r w:rsidR="00F758D4">
          <w:rPr>
            <w:noProof/>
            <w:webHidden/>
          </w:rPr>
          <w:instrText xml:space="preserve"> PAGEREF _Toc90983606 \h </w:instrText>
        </w:r>
        <w:r w:rsidR="00F758D4">
          <w:rPr>
            <w:noProof/>
            <w:webHidden/>
          </w:rPr>
        </w:r>
        <w:r w:rsidR="00F758D4">
          <w:rPr>
            <w:noProof/>
            <w:webHidden/>
          </w:rPr>
          <w:fldChar w:fldCharType="separate"/>
        </w:r>
        <w:r w:rsidR="00F758D4">
          <w:rPr>
            <w:noProof/>
            <w:webHidden/>
          </w:rPr>
          <w:t>98</w:t>
        </w:r>
        <w:r w:rsidR="00F758D4">
          <w:rPr>
            <w:noProof/>
            <w:webHidden/>
          </w:rPr>
          <w:fldChar w:fldCharType="end"/>
        </w:r>
      </w:hyperlink>
    </w:p>
    <w:p w14:paraId="1B6AB501" w14:textId="6663D72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07" w:history="1">
        <w:r w:rsidR="00F758D4" w:rsidRPr="00C24B66">
          <w:rPr>
            <w:rStyle w:val="Hyperlink"/>
            <w:noProof/>
          </w:rPr>
          <w:t>4.2.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Property of the Estate</w:t>
        </w:r>
        <w:r w:rsidR="00F758D4">
          <w:rPr>
            <w:noProof/>
            <w:webHidden/>
          </w:rPr>
          <w:tab/>
        </w:r>
        <w:r w:rsidR="00F758D4">
          <w:rPr>
            <w:noProof/>
            <w:webHidden/>
          </w:rPr>
          <w:fldChar w:fldCharType="begin"/>
        </w:r>
        <w:r w:rsidR="00F758D4">
          <w:rPr>
            <w:noProof/>
            <w:webHidden/>
          </w:rPr>
          <w:instrText xml:space="preserve"> PAGEREF _Toc90983607 \h </w:instrText>
        </w:r>
        <w:r w:rsidR="00F758D4">
          <w:rPr>
            <w:noProof/>
            <w:webHidden/>
          </w:rPr>
        </w:r>
        <w:r w:rsidR="00F758D4">
          <w:rPr>
            <w:noProof/>
            <w:webHidden/>
          </w:rPr>
          <w:fldChar w:fldCharType="separate"/>
        </w:r>
        <w:r w:rsidR="00F758D4">
          <w:rPr>
            <w:noProof/>
            <w:webHidden/>
          </w:rPr>
          <w:t>98</w:t>
        </w:r>
        <w:r w:rsidR="00F758D4">
          <w:rPr>
            <w:noProof/>
            <w:webHidden/>
          </w:rPr>
          <w:fldChar w:fldCharType="end"/>
        </w:r>
      </w:hyperlink>
    </w:p>
    <w:p w14:paraId="67AEA5ED" w14:textId="76D531C1"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08" w:history="1">
        <w:r w:rsidR="00F758D4" w:rsidRPr="00C24B66">
          <w:rPr>
            <w:rStyle w:val="Hyperlink"/>
            <w:noProof/>
          </w:rPr>
          <w:t>4.2.1.</w:t>
        </w:r>
        <w:r w:rsidR="00F758D4">
          <w:rPr>
            <w:rFonts w:asciiTheme="minorHAnsi" w:eastAsiaTheme="minorEastAsia" w:hAnsiTheme="minorHAnsi" w:cstheme="minorBidi"/>
            <w:noProof/>
            <w:color w:val="auto"/>
            <w:sz w:val="22"/>
            <w:szCs w:val="22"/>
          </w:rPr>
          <w:tab/>
        </w:r>
        <w:r w:rsidR="00F758D4" w:rsidRPr="00C24B66">
          <w:rPr>
            <w:rStyle w:val="Hyperlink"/>
            <w:noProof/>
          </w:rPr>
          <w:t>BOARD OF TRADE OF CHICAGO v. JOHNSON, 264 U.S. 1 (1924)</w:t>
        </w:r>
        <w:r w:rsidR="00F758D4">
          <w:rPr>
            <w:noProof/>
            <w:webHidden/>
          </w:rPr>
          <w:tab/>
        </w:r>
        <w:r w:rsidR="00F758D4">
          <w:rPr>
            <w:noProof/>
            <w:webHidden/>
          </w:rPr>
          <w:fldChar w:fldCharType="begin"/>
        </w:r>
        <w:r w:rsidR="00F758D4">
          <w:rPr>
            <w:noProof/>
            <w:webHidden/>
          </w:rPr>
          <w:instrText xml:space="preserve"> PAGEREF _Toc90983608 \h </w:instrText>
        </w:r>
        <w:r w:rsidR="00F758D4">
          <w:rPr>
            <w:noProof/>
            <w:webHidden/>
          </w:rPr>
        </w:r>
        <w:r w:rsidR="00F758D4">
          <w:rPr>
            <w:noProof/>
            <w:webHidden/>
          </w:rPr>
          <w:fldChar w:fldCharType="separate"/>
        </w:r>
        <w:r w:rsidR="00F758D4">
          <w:rPr>
            <w:noProof/>
            <w:webHidden/>
          </w:rPr>
          <w:t>98</w:t>
        </w:r>
        <w:r w:rsidR="00F758D4">
          <w:rPr>
            <w:noProof/>
            <w:webHidden/>
          </w:rPr>
          <w:fldChar w:fldCharType="end"/>
        </w:r>
      </w:hyperlink>
    </w:p>
    <w:p w14:paraId="322068A3" w14:textId="7735C1F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09" w:history="1">
        <w:r w:rsidR="00F758D4" w:rsidRPr="00C24B66">
          <w:rPr>
            <w:rStyle w:val="Hyperlink"/>
            <w:noProof/>
          </w:rPr>
          <w:t>4.2.2.</w:t>
        </w:r>
        <w:r w:rsidR="00F758D4">
          <w:rPr>
            <w:rFonts w:asciiTheme="minorHAnsi" w:eastAsiaTheme="minorEastAsia" w:hAnsiTheme="minorHAnsi" w:cstheme="minorBidi"/>
            <w:noProof/>
            <w:color w:val="auto"/>
            <w:sz w:val="22"/>
            <w:szCs w:val="22"/>
          </w:rPr>
          <w:tab/>
        </w:r>
        <w:r w:rsidR="00F758D4" w:rsidRPr="00C24B66">
          <w:rPr>
            <w:rStyle w:val="Hyperlink"/>
            <w:noProof/>
          </w:rPr>
          <w:t>BUTNER v. UNITED STATES, 440 U.S. 48 (1979)</w:t>
        </w:r>
        <w:r w:rsidR="00F758D4">
          <w:rPr>
            <w:noProof/>
            <w:webHidden/>
          </w:rPr>
          <w:tab/>
        </w:r>
        <w:r w:rsidR="00F758D4">
          <w:rPr>
            <w:noProof/>
            <w:webHidden/>
          </w:rPr>
          <w:fldChar w:fldCharType="begin"/>
        </w:r>
        <w:r w:rsidR="00F758D4">
          <w:rPr>
            <w:noProof/>
            <w:webHidden/>
          </w:rPr>
          <w:instrText xml:space="preserve"> PAGEREF _Toc90983609 \h </w:instrText>
        </w:r>
        <w:r w:rsidR="00F758D4">
          <w:rPr>
            <w:noProof/>
            <w:webHidden/>
          </w:rPr>
        </w:r>
        <w:r w:rsidR="00F758D4">
          <w:rPr>
            <w:noProof/>
            <w:webHidden/>
          </w:rPr>
          <w:fldChar w:fldCharType="separate"/>
        </w:r>
        <w:r w:rsidR="00F758D4">
          <w:rPr>
            <w:noProof/>
            <w:webHidden/>
          </w:rPr>
          <w:t>100</w:t>
        </w:r>
        <w:r w:rsidR="00F758D4">
          <w:rPr>
            <w:noProof/>
            <w:webHidden/>
          </w:rPr>
          <w:fldChar w:fldCharType="end"/>
        </w:r>
      </w:hyperlink>
    </w:p>
    <w:p w14:paraId="205B1281" w14:textId="5DAFB71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0" w:history="1">
        <w:r w:rsidR="00F758D4" w:rsidRPr="00C24B66">
          <w:rPr>
            <w:rStyle w:val="Hyperlink"/>
            <w:noProof/>
          </w:rPr>
          <w:t>4.3.</w:t>
        </w:r>
        <w:r w:rsidR="00F758D4">
          <w:rPr>
            <w:rFonts w:asciiTheme="minorHAnsi" w:eastAsiaTheme="minorEastAsia" w:hAnsiTheme="minorHAnsi" w:cstheme="minorBidi"/>
            <w:iCs w:val="0"/>
            <w:noProof/>
            <w:color w:val="auto"/>
            <w:sz w:val="22"/>
            <w:szCs w:val="22"/>
          </w:rPr>
          <w:tab/>
        </w:r>
        <w:r w:rsidR="00F758D4" w:rsidRPr="00C24B66">
          <w:rPr>
            <w:rStyle w:val="Hyperlink"/>
            <w:noProof/>
          </w:rPr>
          <w:t>Aftermath – Application to the Bankruptcy Code</w:t>
        </w:r>
        <w:r w:rsidR="00F758D4">
          <w:rPr>
            <w:noProof/>
            <w:webHidden/>
          </w:rPr>
          <w:tab/>
        </w:r>
        <w:r w:rsidR="00F758D4">
          <w:rPr>
            <w:noProof/>
            <w:webHidden/>
          </w:rPr>
          <w:fldChar w:fldCharType="begin"/>
        </w:r>
        <w:r w:rsidR="00F758D4">
          <w:rPr>
            <w:noProof/>
            <w:webHidden/>
          </w:rPr>
          <w:instrText xml:space="preserve"> PAGEREF _Toc90983610 \h </w:instrText>
        </w:r>
        <w:r w:rsidR="00F758D4">
          <w:rPr>
            <w:noProof/>
            <w:webHidden/>
          </w:rPr>
        </w:r>
        <w:r w:rsidR="00F758D4">
          <w:rPr>
            <w:noProof/>
            <w:webHidden/>
          </w:rPr>
          <w:fldChar w:fldCharType="separate"/>
        </w:r>
        <w:r w:rsidR="00F758D4">
          <w:rPr>
            <w:noProof/>
            <w:webHidden/>
          </w:rPr>
          <w:t>102</w:t>
        </w:r>
        <w:r w:rsidR="00F758D4">
          <w:rPr>
            <w:noProof/>
            <w:webHidden/>
          </w:rPr>
          <w:fldChar w:fldCharType="end"/>
        </w:r>
      </w:hyperlink>
    </w:p>
    <w:p w14:paraId="60E197CF" w14:textId="5B3D332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1" w:history="1">
        <w:r w:rsidR="00F758D4" w:rsidRPr="00C24B66">
          <w:rPr>
            <w:rStyle w:val="Hyperlink"/>
            <w:noProof/>
          </w:rPr>
          <w:t>4.4.</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Property of the Estate</w:t>
        </w:r>
        <w:r w:rsidR="00F758D4">
          <w:rPr>
            <w:noProof/>
            <w:webHidden/>
          </w:rPr>
          <w:tab/>
        </w:r>
        <w:r w:rsidR="00F758D4">
          <w:rPr>
            <w:noProof/>
            <w:webHidden/>
          </w:rPr>
          <w:fldChar w:fldCharType="begin"/>
        </w:r>
        <w:r w:rsidR="00F758D4">
          <w:rPr>
            <w:noProof/>
            <w:webHidden/>
          </w:rPr>
          <w:instrText xml:space="preserve"> PAGEREF _Toc90983611 \h </w:instrText>
        </w:r>
        <w:r w:rsidR="00F758D4">
          <w:rPr>
            <w:noProof/>
            <w:webHidden/>
          </w:rPr>
        </w:r>
        <w:r w:rsidR="00F758D4">
          <w:rPr>
            <w:noProof/>
            <w:webHidden/>
          </w:rPr>
          <w:fldChar w:fldCharType="separate"/>
        </w:r>
        <w:r w:rsidR="00F758D4">
          <w:rPr>
            <w:noProof/>
            <w:webHidden/>
          </w:rPr>
          <w:t>102</w:t>
        </w:r>
        <w:r w:rsidR="00F758D4">
          <w:rPr>
            <w:noProof/>
            <w:webHidden/>
          </w:rPr>
          <w:fldChar w:fldCharType="end"/>
        </w:r>
      </w:hyperlink>
    </w:p>
    <w:p w14:paraId="4989BBD6" w14:textId="4B52876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2" w:history="1">
        <w:r w:rsidR="00F758D4" w:rsidRPr="00C24B66">
          <w:rPr>
            <w:rStyle w:val="Hyperlink"/>
            <w:noProof/>
          </w:rPr>
          <w:t>4.5.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Mixed Prepetition and Post-Petition Earnings as Property of the Estate</w:t>
        </w:r>
        <w:r w:rsidR="00F758D4">
          <w:rPr>
            <w:noProof/>
            <w:webHidden/>
          </w:rPr>
          <w:tab/>
        </w:r>
        <w:r w:rsidR="00F758D4">
          <w:rPr>
            <w:noProof/>
            <w:webHidden/>
          </w:rPr>
          <w:fldChar w:fldCharType="begin"/>
        </w:r>
        <w:r w:rsidR="00F758D4">
          <w:rPr>
            <w:noProof/>
            <w:webHidden/>
          </w:rPr>
          <w:instrText xml:space="preserve"> PAGEREF _Toc90983612 \h </w:instrText>
        </w:r>
        <w:r w:rsidR="00F758D4">
          <w:rPr>
            <w:noProof/>
            <w:webHidden/>
          </w:rPr>
        </w:r>
        <w:r w:rsidR="00F758D4">
          <w:rPr>
            <w:noProof/>
            <w:webHidden/>
          </w:rPr>
          <w:fldChar w:fldCharType="separate"/>
        </w:r>
        <w:r w:rsidR="00F758D4">
          <w:rPr>
            <w:noProof/>
            <w:webHidden/>
          </w:rPr>
          <w:t>103</w:t>
        </w:r>
        <w:r w:rsidR="00F758D4">
          <w:rPr>
            <w:noProof/>
            <w:webHidden/>
          </w:rPr>
          <w:fldChar w:fldCharType="end"/>
        </w:r>
      </w:hyperlink>
    </w:p>
    <w:p w14:paraId="43F7E033" w14:textId="1791BDE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13" w:history="1">
        <w:r w:rsidR="00F758D4" w:rsidRPr="00C24B66">
          <w:rPr>
            <w:rStyle w:val="Hyperlink"/>
            <w:noProof/>
          </w:rPr>
          <w:t>4.5.1.</w:t>
        </w:r>
        <w:r w:rsidR="00F758D4">
          <w:rPr>
            <w:rFonts w:asciiTheme="minorHAnsi" w:eastAsiaTheme="minorEastAsia" w:hAnsiTheme="minorHAnsi" w:cstheme="minorBidi"/>
            <w:noProof/>
            <w:color w:val="auto"/>
            <w:sz w:val="22"/>
            <w:szCs w:val="22"/>
          </w:rPr>
          <w:tab/>
        </w:r>
        <w:r w:rsidR="00F758D4" w:rsidRPr="00C24B66">
          <w:rPr>
            <w:rStyle w:val="Hyperlink"/>
            <w:noProof/>
          </w:rPr>
          <w:t>IN RE BAGEN, 186 B.R. 824 (Bankr. S.D.N.Y. 1995)</w:t>
        </w:r>
        <w:r w:rsidR="00F758D4">
          <w:rPr>
            <w:noProof/>
            <w:webHidden/>
          </w:rPr>
          <w:tab/>
        </w:r>
        <w:r w:rsidR="00F758D4">
          <w:rPr>
            <w:noProof/>
            <w:webHidden/>
          </w:rPr>
          <w:fldChar w:fldCharType="begin"/>
        </w:r>
        <w:r w:rsidR="00F758D4">
          <w:rPr>
            <w:noProof/>
            <w:webHidden/>
          </w:rPr>
          <w:instrText xml:space="preserve"> PAGEREF _Toc90983613 \h </w:instrText>
        </w:r>
        <w:r w:rsidR="00F758D4">
          <w:rPr>
            <w:noProof/>
            <w:webHidden/>
          </w:rPr>
        </w:r>
        <w:r w:rsidR="00F758D4">
          <w:rPr>
            <w:noProof/>
            <w:webHidden/>
          </w:rPr>
          <w:fldChar w:fldCharType="separate"/>
        </w:r>
        <w:r w:rsidR="00F758D4">
          <w:rPr>
            <w:noProof/>
            <w:webHidden/>
          </w:rPr>
          <w:t>103</w:t>
        </w:r>
        <w:r w:rsidR="00F758D4">
          <w:rPr>
            <w:noProof/>
            <w:webHidden/>
          </w:rPr>
          <w:fldChar w:fldCharType="end"/>
        </w:r>
      </w:hyperlink>
    </w:p>
    <w:p w14:paraId="1760EE1B" w14:textId="614AC01D"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14" w:history="1">
        <w:r w:rsidR="00F758D4" w:rsidRPr="00C24B66">
          <w:rPr>
            <w:rStyle w:val="Hyperlink"/>
            <w:noProof/>
          </w:rPr>
          <w:t>4.5.2.</w:t>
        </w:r>
        <w:r w:rsidR="00F758D4">
          <w:rPr>
            <w:rFonts w:asciiTheme="minorHAnsi" w:eastAsiaTheme="minorEastAsia" w:hAnsiTheme="minorHAnsi" w:cstheme="minorBidi"/>
            <w:noProof/>
            <w:color w:val="auto"/>
            <w:sz w:val="22"/>
            <w:szCs w:val="22"/>
          </w:rPr>
          <w:tab/>
        </w:r>
        <w:r w:rsidR="00F758D4" w:rsidRPr="00C24B66">
          <w:rPr>
            <w:rStyle w:val="Hyperlink"/>
            <w:noProof/>
          </w:rPr>
          <w:t>TOWERS v. WU, 173 B.R. 411 (9th Cir. BAP 1994)</w:t>
        </w:r>
        <w:r w:rsidR="00F758D4">
          <w:rPr>
            <w:noProof/>
            <w:webHidden/>
          </w:rPr>
          <w:tab/>
        </w:r>
        <w:r w:rsidR="00F758D4">
          <w:rPr>
            <w:noProof/>
            <w:webHidden/>
          </w:rPr>
          <w:fldChar w:fldCharType="begin"/>
        </w:r>
        <w:r w:rsidR="00F758D4">
          <w:rPr>
            <w:noProof/>
            <w:webHidden/>
          </w:rPr>
          <w:instrText xml:space="preserve"> PAGEREF _Toc90983614 \h </w:instrText>
        </w:r>
        <w:r w:rsidR="00F758D4">
          <w:rPr>
            <w:noProof/>
            <w:webHidden/>
          </w:rPr>
        </w:r>
        <w:r w:rsidR="00F758D4">
          <w:rPr>
            <w:noProof/>
            <w:webHidden/>
          </w:rPr>
          <w:fldChar w:fldCharType="separate"/>
        </w:r>
        <w:r w:rsidR="00F758D4">
          <w:rPr>
            <w:noProof/>
            <w:webHidden/>
          </w:rPr>
          <w:t>105</w:t>
        </w:r>
        <w:r w:rsidR="00F758D4">
          <w:rPr>
            <w:noProof/>
            <w:webHidden/>
          </w:rPr>
          <w:fldChar w:fldCharType="end"/>
        </w:r>
      </w:hyperlink>
    </w:p>
    <w:p w14:paraId="7C9B32A9" w14:textId="5A1F38C3"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15" w:history="1">
        <w:r w:rsidR="00F758D4" w:rsidRPr="00C24B66">
          <w:rPr>
            <w:rStyle w:val="Hyperlink"/>
            <w:noProof/>
          </w:rPr>
          <w:t>4.5.3.</w:t>
        </w:r>
        <w:r w:rsidR="00F758D4">
          <w:rPr>
            <w:rFonts w:asciiTheme="minorHAnsi" w:eastAsiaTheme="minorEastAsia" w:hAnsiTheme="minorHAnsi" w:cstheme="minorBidi"/>
            <w:noProof/>
            <w:color w:val="auto"/>
            <w:sz w:val="22"/>
            <w:szCs w:val="22"/>
          </w:rPr>
          <w:tab/>
        </w:r>
        <w:r w:rsidR="00F758D4" w:rsidRPr="00C24B66">
          <w:rPr>
            <w:rStyle w:val="Hyperlink"/>
            <w:noProof/>
          </w:rPr>
          <w:t>SHARP v. DERY, 253 B.R. 204 (E.D. Mich. 2000)</w:t>
        </w:r>
        <w:r w:rsidR="00F758D4">
          <w:rPr>
            <w:noProof/>
            <w:webHidden/>
          </w:rPr>
          <w:tab/>
        </w:r>
        <w:r w:rsidR="00F758D4">
          <w:rPr>
            <w:noProof/>
            <w:webHidden/>
          </w:rPr>
          <w:fldChar w:fldCharType="begin"/>
        </w:r>
        <w:r w:rsidR="00F758D4">
          <w:rPr>
            <w:noProof/>
            <w:webHidden/>
          </w:rPr>
          <w:instrText xml:space="preserve"> PAGEREF _Toc90983615 \h </w:instrText>
        </w:r>
        <w:r w:rsidR="00F758D4">
          <w:rPr>
            <w:noProof/>
            <w:webHidden/>
          </w:rPr>
        </w:r>
        <w:r w:rsidR="00F758D4">
          <w:rPr>
            <w:noProof/>
            <w:webHidden/>
          </w:rPr>
          <w:fldChar w:fldCharType="separate"/>
        </w:r>
        <w:r w:rsidR="00F758D4">
          <w:rPr>
            <w:noProof/>
            <w:webHidden/>
          </w:rPr>
          <w:t>107</w:t>
        </w:r>
        <w:r w:rsidR="00F758D4">
          <w:rPr>
            <w:noProof/>
            <w:webHidden/>
          </w:rPr>
          <w:fldChar w:fldCharType="end"/>
        </w:r>
      </w:hyperlink>
    </w:p>
    <w:p w14:paraId="68F367B7" w14:textId="36AC81AD"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616" w:history="1">
        <w:r w:rsidR="00F758D4" w:rsidRPr="00C24B66">
          <w:rPr>
            <w:rStyle w:val="Hyperlink"/>
            <w:noProof/>
          </w:rPr>
          <w:t>Chapter 5.</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Exemptions</w:t>
        </w:r>
        <w:r w:rsidR="00F758D4">
          <w:rPr>
            <w:noProof/>
            <w:webHidden/>
          </w:rPr>
          <w:tab/>
        </w:r>
        <w:r w:rsidR="00F758D4">
          <w:rPr>
            <w:noProof/>
            <w:webHidden/>
          </w:rPr>
          <w:fldChar w:fldCharType="begin"/>
        </w:r>
        <w:r w:rsidR="00F758D4">
          <w:rPr>
            <w:noProof/>
            <w:webHidden/>
          </w:rPr>
          <w:instrText xml:space="preserve"> PAGEREF _Toc90983616 \h </w:instrText>
        </w:r>
        <w:r w:rsidR="00F758D4">
          <w:rPr>
            <w:noProof/>
            <w:webHidden/>
          </w:rPr>
        </w:r>
        <w:r w:rsidR="00F758D4">
          <w:rPr>
            <w:noProof/>
            <w:webHidden/>
          </w:rPr>
          <w:fldChar w:fldCharType="separate"/>
        </w:r>
        <w:r w:rsidR="00F758D4">
          <w:rPr>
            <w:noProof/>
            <w:webHidden/>
          </w:rPr>
          <w:t>110</w:t>
        </w:r>
        <w:r w:rsidR="00F758D4">
          <w:rPr>
            <w:noProof/>
            <w:webHidden/>
          </w:rPr>
          <w:fldChar w:fldCharType="end"/>
        </w:r>
      </w:hyperlink>
    </w:p>
    <w:p w14:paraId="5CDECE17" w14:textId="282CF53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7" w:history="1">
        <w:r w:rsidR="00F758D4" w:rsidRPr="00C24B66">
          <w:rPr>
            <w:rStyle w:val="Hyperlink"/>
            <w:noProof/>
          </w:rPr>
          <w:t>5.1.</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Which State’s Exemptions Apply?</w:t>
        </w:r>
        <w:r w:rsidR="00F758D4">
          <w:rPr>
            <w:noProof/>
            <w:webHidden/>
          </w:rPr>
          <w:tab/>
        </w:r>
        <w:r w:rsidR="00F758D4">
          <w:rPr>
            <w:noProof/>
            <w:webHidden/>
          </w:rPr>
          <w:fldChar w:fldCharType="begin"/>
        </w:r>
        <w:r w:rsidR="00F758D4">
          <w:rPr>
            <w:noProof/>
            <w:webHidden/>
          </w:rPr>
          <w:instrText xml:space="preserve"> PAGEREF _Toc90983617 \h </w:instrText>
        </w:r>
        <w:r w:rsidR="00F758D4">
          <w:rPr>
            <w:noProof/>
            <w:webHidden/>
          </w:rPr>
        </w:r>
        <w:r w:rsidR="00F758D4">
          <w:rPr>
            <w:noProof/>
            <w:webHidden/>
          </w:rPr>
          <w:fldChar w:fldCharType="separate"/>
        </w:r>
        <w:r w:rsidR="00F758D4">
          <w:rPr>
            <w:noProof/>
            <w:webHidden/>
          </w:rPr>
          <w:t>111</w:t>
        </w:r>
        <w:r w:rsidR="00F758D4">
          <w:rPr>
            <w:noProof/>
            <w:webHidden/>
          </w:rPr>
          <w:fldChar w:fldCharType="end"/>
        </w:r>
      </w:hyperlink>
    </w:p>
    <w:p w14:paraId="6A9536CC" w14:textId="5DB7782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8" w:history="1">
        <w:r w:rsidR="00F758D4" w:rsidRPr="00C24B66">
          <w:rPr>
            <w:rStyle w:val="Hyperlink"/>
            <w:noProof/>
          </w:rPr>
          <w:t>5.2.</w:t>
        </w:r>
        <w:r w:rsidR="00F758D4">
          <w:rPr>
            <w:rFonts w:asciiTheme="minorHAnsi" w:eastAsiaTheme="minorEastAsia" w:hAnsiTheme="minorHAnsi" w:cstheme="minorBidi"/>
            <w:iCs w:val="0"/>
            <w:noProof/>
            <w:color w:val="auto"/>
            <w:sz w:val="22"/>
            <w:szCs w:val="22"/>
          </w:rPr>
          <w:tab/>
        </w:r>
        <w:r w:rsidR="00F758D4" w:rsidRPr="00C24B66">
          <w:rPr>
            <w:rStyle w:val="Hyperlink"/>
            <w:noProof/>
          </w:rPr>
          <w:t>Electing the State or Federal Exemption Scheme</w:t>
        </w:r>
        <w:r w:rsidR="00F758D4">
          <w:rPr>
            <w:noProof/>
            <w:webHidden/>
          </w:rPr>
          <w:tab/>
        </w:r>
        <w:r w:rsidR="00F758D4">
          <w:rPr>
            <w:noProof/>
            <w:webHidden/>
          </w:rPr>
          <w:fldChar w:fldCharType="begin"/>
        </w:r>
        <w:r w:rsidR="00F758D4">
          <w:rPr>
            <w:noProof/>
            <w:webHidden/>
          </w:rPr>
          <w:instrText xml:space="preserve"> PAGEREF _Toc90983618 \h </w:instrText>
        </w:r>
        <w:r w:rsidR="00F758D4">
          <w:rPr>
            <w:noProof/>
            <w:webHidden/>
          </w:rPr>
        </w:r>
        <w:r w:rsidR="00F758D4">
          <w:rPr>
            <w:noProof/>
            <w:webHidden/>
          </w:rPr>
          <w:fldChar w:fldCharType="separate"/>
        </w:r>
        <w:r w:rsidR="00F758D4">
          <w:rPr>
            <w:noProof/>
            <w:webHidden/>
          </w:rPr>
          <w:t>111</w:t>
        </w:r>
        <w:r w:rsidR="00F758D4">
          <w:rPr>
            <w:noProof/>
            <w:webHidden/>
          </w:rPr>
          <w:fldChar w:fldCharType="end"/>
        </w:r>
      </w:hyperlink>
    </w:p>
    <w:p w14:paraId="79642645" w14:textId="1134654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19" w:history="1">
        <w:r w:rsidR="00F758D4" w:rsidRPr="00C24B66">
          <w:rPr>
            <w:rStyle w:val="Hyperlink"/>
            <w:noProof/>
          </w:rPr>
          <w:t>5.3.</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The Federal Exemptions</w:t>
        </w:r>
        <w:r w:rsidR="00F758D4">
          <w:rPr>
            <w:noProof/>
            <w:webHidden/>
          </w:rPr>
          <w:tab/>
        </w:r>
        <w:r w:rsidR="00F758D4">
          <w:rPr>
            <w:noProof/>
            <w:webHidden/>
          </w:rPr>
          <w:fldChar w:fldCharType="begin"/>
        </w:r>
        <w:r w:rsidR="00F758D4">
          <w:rPr>
            <w:noProof/>
            <w:webHidden/>
          </w:rPr>
          <w:instrText xml:space="preserve"> PAGEREF _Toc90983619 \h </w:instrText>
        </w:r>
        <w:r w:rsidR="00F758D4">
          <w:rPr>
            <w:noProof/>
            <w:webHidden/>
          </w:rPr>
        </w:r>
        <w:r w:rsidR="00F758D4">
          <w:rPr>
            <w:noProof/>
            <w:webHidden/>
          </w:rPr>
          <w:fldChar w:fldCharType="separate"/>
        </w:r>
        <w:r w:rsidR="00F758D4">
          <w:rPr>
            <w:noProof/>
            <w:webHidden/>
          </w:rPr>
          <w:t>113</w:t>
        </w:r>
        <w:r w:rsidR="00F758D4">
          <w:rPr>
            <w:noProof/>
            <w:webHidden/>
          </w:rPr>
          <w:fldChar w:fldCharType="end"/>
        </w:r>
      </w:hyperlink>
    </w:p>
    <w:p w14:paraId="121D1011" w14:textId="2934647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0" w:history="1">
        <w:r w:rsidR="00F758D4" w:rsidRPr="00C24B66">
          <w:rPr>
            <w:rStyle w:val="Hyperlink"/>
            <w:noProof/>
          </w:rPr>
          <w:t>5.4.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the Allowance of Exemptions</w:t>
        </w:r>
        <w:r w:rsidR="00F758D4">
          <w:rPr>
            <w:noProof/>
            <w:webHidden/>
          </w:rPr>
          <w:tab/>
        </w:r>
        <w:r w:rsidR="00F758D4">
          <w:rPr>
            <w:noProof/>
            <w:webHidden/>
          </w:rPr>
          <w:fldChar w:fldCharType="begin"/>
        </w:r>
        <w:r w:rsidR="00F758D4">
          <w:rPr>
            <w:noProof/>
            <w:webHidden/>
          </w:rPr>
          <w:instrText xml:space="preserve"> PAGEREF _Toc90983620 \h </w:instrText>
        </w:r>
        <w:r w:rsidR="00F758D4">
          <w:rPr>
            <w:noProof/>
            <w:webHidden/>
          </w:rPr>
        </w:r>
        <w:r w:rsidR="00F758D4">
          <w:rPr>
            <w:noProof/>
            <w:webHidden/>
          </w:rPr>
          <w:fldChar w:fldCharType="separate"/>
        </w:r>
        <w:r w:rsidR="00F758D4">
          <w:rPr>
            <w:noProof/>
            <w:webHidden/>
          </w:rPr>
          <w:t>114</w:t>
        </w:r>
        <w:r w:rsidR="00F758D4">
          <w:rPr>
            <w:noProof/>
            <w:webHidden/>
          </w:rPr>
          <w:fldChar w:fldCharType="end"/>
        </w:r>
      </w:hyperlink>
    </w:p>
    <w:p w14:paraId="7FFE1E55" w14:textId="3CB4E83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21" w:history="1">
        <w:r w:rsidR="00F758D4" w:rsidRPr="00C24B66">
          <w:rPr>
            <w:rStyle w:val="Hyperlink"/>
            <w:noProof/>
          </w:rPr>
          <w:t>5.4.1.</w:t>
        </w:r>
        <w:r w:rsidR="00F758D4">
          <w:rPr>
            <w:rFonts w:asciiTheme="minorHAnsi" w:eastAsiaTheme="minorEastAsia" w:hAnsiTheme="minorHAnsi" w:cstheme="minorBidi"/>
            <w:noProof/>
            <w:color w:val="auto"/>
            <w:sz w:val="22"/>
            <w:szCs w:val="22"/>
          </w:rPr>
          <w:tab/>
        </w:r>
        <w:r w:rsidR="00F758D4" w:rsidRPr="00C24B66">
          <w:rPr>
            <w:rStyle w:val="Hyperlink"/>
            <w:noProof/>
          </w:rPr>
          <w:t>TAYLOR v. FREELAND &amp; KOONZ, 503 U.S. 638 (1992)</w:t>
        </w:r>
        <w:r w:rsidR="00F758D4">
          <w:rPr>
            <w:noProof/>
            <w:webHidden/>
          </w:rPr>
          <w:tab/>
        </w:r>
        <w:r w:rsidR="00F758D4">
          <w:rPr>
            <w:noProof/>
            <w:webHidden/>
          </w:rPr>
          <w:fldChar w:fldCharType="begin"/>
        </w:r>
        <w:r w:rsidR="00F758D4">
          <w:rPr>
            <w:noProof/>
            <w:webHidden/>
          </w:rPr>
          <w:instrText xml:space="preserve"> PAGEREF _Toc90983621 \h </w:instrText>
        </w:r>
        <w:r w:rsidR="00F758D4">
          <w:rPr>
            <w:noProof/>
            <w:webHidden/>
          </w:rPr>
        </w:r>
        <w:r w:rsidR="00F758D4">
          <w:rPr>
            <w:noProof/>
            <w:webHidden/>
          </w:rPr>
          <w:fldChar w:fldCharType="separate"/>
        </w:r>
        <w:r w:rsidR="00F758D4">
          <w:rPr>
            <w:noProof/>
            <w:webHidden/>
          </w:rPr>
          <w:t>114</w:t>
        </w:r>
        <w:r w:rsidR="00F758D4">
          <w:rPr>
            <w:noProof/>
            <w:webHidden/>
          </w:rPr>
          <w:fldChar w:fldCharType="end"/>
        </w:r>
      </w:hyperlink>
    </w:p>
    <w:p w14:paraId="52DEB1FE" w14:textId="3BB848F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22" w:history="1">
        <w:r w:rsidR="00F758D4" w:rsidRPr="00C24B66">
          <w:rPr>
            <w:rStyle w:val="Hyperlink"/>
            <w:noProof/>
          </w:rPr>
          <w:t>5.4.2.</w:t>
        </w:r>
        <w:r w:rsidR="00F758D4">
          <w:rPr>
            <w:rFonts w:asciiTheme="minorHAnsi" w:eastAsiaTheme="minorEastAsia" w:hAnsiTheme="minorHAnsi" w:cstheme="minorBidi"/>
            <w:noProof/>
            <w:color w:val="auto"/>
            <w:sz w:val="22"/>
            <w:szCs w:val="22"/>
          </w:rPr>
          <w:tab/>
        </w:r>
        <w:r w:rsidR="00F758D4" w:rsidRPr="00C24B66">
          <w:rPr>
            <w:rStyle w:val="Hyperlink"/>
            <w:noProof/>
          </w:rPr>
          <w:t>SCHWAB v. REILLY, 560 U.S. 770, 130 S.Ct. 2652 (2010)</w:t>
        </w:r>
        <w:r w:rsidR="00F758D4">
          <w:rPr>
            <w:noProof/>
            <w:webHidden/>
          </w:rPr>
          <w:tab/>
        </w:r>
        <w:r w:rsidR="00F758D4">
          <w:rPr>
            <w:noProof/>
            <w:webHidden/>
          </w:rPr>
          <w:fldChar w:fldCharType="begin"/>
        </w:r>
        <w:r w:rsidR="00F758D4">
          <w:rPr>
            <w:noProof/>
            <w:webHidden/>
          </w:rPr>
          <w:instrText xml:space="preserve"> PAGEREF _Toc90983622 \h </w:instrText>
        </w:r>
        <w:r w:rsidR="00F758D4">
          <w:rPr>
            <w:noProof/>
            <w:webHidden/>
          </w:rPr>
        </w:r>
        <w:r w:rsidR="00F758D4">
          <w:rPr>
            <w:noProof/>
            <w:webHidden/>
          </w:rPr>
          <w:fldChar w:fldCharType="separate"/>
        </w:r>
        <w:r w:rsidR="00F758D4">
          <w:rPr>
            <w:noProof/>
            <w:webHidden/>
          </w:rPr>
          <w:t>116</w:t>
        </w:r>
        <w:r w:rsidR="00F758D4">
          <w:rPr>
            <w:noProof/>
            <w:webHidden/>
          </w:rPr>
          <w:fldChar w:fldCharType="end"/>
        </w:r>
      </w:hyperlink>
    </w:p>
    <w:p w14:paraId="445F34B7" w14:textId="02251CD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3" w:history="1">
        <w:r w:rsidR="00F758D4" w:rsidRPr="00C24B66">
          <w:rPr>
            <w:rStyle w:val="Hyperlink"/>
            <w:noProof/>
          </w:rPr>
          <w:t>5.5.</w:t>
        </w:r>
        <w:r w:rsidR="00F758D4">
          <w:rPr>
            <w:rFonts w:asciiTheme="minorHAnsi" w:eastAsiaTheme="minorEastAsia" w:hAnsiTheme="minorHAnsi" w:cstheme="minorBidi"/>
            <w:iCs w:val="0"/>
            <w:noProof/>
            <w:color w:val="auto"/>
            <w:sz w:val="22"/>
            <w:szCs w:val="22"/>
          </w:rPr>
          <w:tab/>
        </w:r>
        <w:r w:rsidR="00F758D4" w:rsidRPr="00C24B66">
          <w:rPr>
            <w:rStyle w:val="Hyperlink"/>
            <w:noProof/>
          </w:rPr>
          <w:t>Exemption Planning</w:t>
        </w:r>
        <w:r w:rsidR="00F758D4">
          <w:rPr>
            <w:noProof/>
            <w:webHidden/>
          </w:rPr>
          <w:tab/>
        </w:r>
        <w:r w:rsidR="00F758D4">
          <w:rPr>
            <w:noProof/>
            <w:webHidden/>
          </w:rPr>
          <w:fldChar w:fldCharType="begin"/>
        </w:r>
        <w:r w:rsidR="00F758D4">
          <w:rPr>
            <w:noProof/>
            <w:webHidden/>
          </w:rPr>
          <w:instrText xml:space="preserve"> PAGEREF _Toc90983623 \h </w:instrText>
        </w:r>
        <w:r w:rsidR="00F758D4">
          <w:rPr>
            <w:noProof/>
            <w:webHidden/>
          </w:rPr>
        </w:r>
        <w:r w:rsidR="00F758D4">
          <w:rPr>
            <w:noProof/>
            <w:webHidden/>
          </w:rPr>
          <w:fldChar w:fldCharType="separate"/>
        </w:r>
        <w:r w:rsidR="00F758D4">
          <w:rPr>
            <w:noProof/>
            <w:webHidden/>
          </w:rPr>
          <w:t>118</w:t>
        </w:r>
        <w:r w:rsidR="00F758D4">
          <w:rPr>
            <w:noProof/>
            <w:webHidden/>
          </w:rPr>
          <w:fldChar w:fldCharType="end"/>
        </w:r>
      </w:hyperlink>
    </w:p>
    <w:p w14:paraId="13762959" w14:textId="6D18C03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4" w:history="1">
        <w:r w:rsidR="00F758D4" w:rsidRPr="00C24B66">
          <w:rPr>
            <w:rStyle w:val="Hyperlink"/>
            <w:noProof/>
          </w:rPr>
          <w:t>5.6.</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Exemption Planning</w:t>
        </w:r>
        <w:r w:rsidR="00F758D4">
          <w:rPr>
            <w:noProof/>
            <w:webHidden/>
          </w:rPr>
          <w:tab/>
        </w:r>
        <w:r w:rsidR="00F758D4">
          <w:rPr>
            <w:noProof/>
            <w:webHidden/>
          </w:rPr>
          <w:fldChar w:fldCharType="begin"/>
        </w:r>
        <w:r w:rsidR="00F758D4">
          <w:rPr>
            <w:noProof/>
            <w:webHidden/>
          </w:rPr>
          <w:instrText xml:space="preserve"> PAGEREF _Toc90983624 \h </w:instrText>
        </w:r>
        <w:r w:rsidR="00F758D4">
          <w:rPr>
            <w:noProof/>
            <w:webHidden/>
          </w:rPr>
        </w:r>
        <w:r w:rsidR="00F758D4">
          <w:rPr>
            <w:noProof/>
            <w:webHidden/>
          </w:rPr>
          <w:fldChar w:fldCharType="separate"/>
        </w:r>
        <w:r w:rsidR="00F758D4">
          <w:rPr>
            <w:noProof/>
            <w:webHidden/>
          </w:rPr>
          <w:t>119</w:t>
        </w:r>
        <w:r w:rsidR="00F758D4">
          <w:rPr>
            <w:noProof/>
            <w:webHidden/>
          </w:rPr>
          <w:fldChar w:fldCharType="end"/>
        </w:r>
      </w:hyperlink>
    </w:p>
    <w:p w14:paraId="371CFF25" w14:textId="1DEA51E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25" w:history="1">
        <w:r w:rsidR="00F758D4" w:rsidRPr="00C24B66">
          <w:rPr>
            <w:rStyle w:val="Hyperlink"/>
            <w:noProof/>
          </w:rPr>
          <w:t>5.6.1.</w:t>
        </w:r>
        <w:r w:rsidR="00F758D4">
          <w:rPr>
            <w:rFonts w:asciiTheme="minorHAnsi" w:eastAsiaTheme="minorEastAsia" w:hAnsiTheme="minorHAnsi" w:cstheme="minorBidi"/>
            <w:noProof/>
            <w:color w:val="auto"/>
            <w:sz w:val="22"/>
            <w:szCs w:val="22"/>
          </w:rPr>
          <w:tab/>
        </w:r>
        <w:r w:rsidR="00F758D4" w:rsidRPr="00C24B66">
          <w:rPr>
            <w:rStyle w:val="Hyperlink"/>
            <w:noProof/>
          </w:rPr>
          <w:t>NORWEST BANK NEBRASKA v. OMAR A. TVETEN, 848 F.2d 871 (8th Cir. 1988)</w:t>
        </w:r>
        <w:r w:rsidR="00F758D4">
          <w:rPr>
            <w:noProof/>
            <w:webHidden/>
          </w:rPr>
          <w:tab/>
        </w:r>
        <w:r w:rsidR="00F758D4">
          <w:rPr>
            <w:noProof/>
            <w:webHidden/>
          </w:rPr>
          <w:fldChar w:fldCharType="begin"/>
        </w:r>
        <w:r w:rsidR="00F758D4">
          <w:rPr>
            <w:noProof/>
            <w:webHidden/>
          </w:rPr>
          <w:instrText xml:space="preserve"> PAGEREF _Toc90983625 \h </w:instrText>
        </w:r>
        <w:r w:rsidR="00F758D4">
          <w:rPr>
            <w:noProof/>
            <w:webHidden/>
          </w:rPr>
        </w:r>
        <w:r w:rsidR="00F758D4">
          <w:rPr>
            <w:noProof/>
            <w:webHidden/>
          </w:rPr>
          <w:fldChar w:fldCharType="separate"/>
        </w:r>
        <w:r w:rsidR="00F758D4">
          <w:rPr>
            <w:noProof/>
            <w:webHidden/>
          </w:rPr>
          <w:t>119</w:t>
        </w:r>
        <w:r w:rsidR="00F758D4">
          <w:rPr>
            <w:noProof/>
            <w:webHidden/>
          </w:rPr>
          <w:fldChar w:fldCharType="end"/>
        </w:r>
      </w:hyperlink>
    </w:p>
    <w:p w14:paraId="6E74F0AD" w14:textId="7237E70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26" w:history="1">
        <w:r w:rsidR="00F758D4" w:rsidRPr="00C24B66">
          <w:rPr>
            <w:rStyle w:val="Hyperlink"/>
            <w:noProof/>
          </w:rPr>
          <w:t>5.6.2.</w:t>
        </w:r>
        <w:r w:rsidR="00F758D4">
          <w:rPr>
            <w:rFonts w:asciiTheme="minorHAnsi" w:eastAsiaTheme="minorEastAsia" w:hAnsiTheme="minorHAnsi" w:cstheme="minorBidi"/>
            <w:noProof/>
            <w:color w:val="auto"/>
            <w:sz w:val="22"/>
            <w:szCs w:val="22"/>
          </w:rPr>
          <w:tab/>
        </w:r>
        <w:r w:rsidR="00F758D4" w:rsidRPr="00C24B66">
          <w:rPr>
            <w:rStyle w:val="Hyperlink"/>
            <w:noProof/>
          </w:rPr>
          <w:t xml:space="preserve">Notes on </w:t>
        </w:r>
        <w:r w:rsidR="00F758D4" w:rsidRPr="00C24B66">
          <w:rPr>
            <w:rStyle w:val="Hyperlink"/>
            <w:i/>
            <w:noProof/>
          </w:rPr>
          <w:t>Tveten</w:t>
        </w:r>
        <w:r w:rsidR="00F758D4">
          <w:rPr>
            <w:noProof/>
            <w:webHidden/>
          </w:rPr>
          <w:tab/>
        </w:r>
        <w:r w:rsidR="00F758D4">
          <w:rPr>
            <w:noProof/>
            <w:webHidden/>
          </w:rPr>
          <w:fldChar w:fldCharType="begin"/>
        </w:r>
        <w:r w:rsidR="00F758D4">
          <w:rPr>
            <w:noProof/>
            <w:webHidden/>
          </w:rPr>
          <w:instrText xml:space="preserve"> PAGEREF _Toc90983626 \h </w:instrText>
        </w:r>
        <w:r w:rsidR="00F758D4">
          <w:rPr>
            <w:noProof/>
            <w:webHidden/>
          </w:rPr>
        </w:r>
        <w:r w:rsidR="00F758D4">
          <w:rPr>
            <w:noProof/>
            <w:webHidden/>
          </w:rPr>
          <w:fldChar w:fldCharType="separate"/>
        </w:r>
        <w:r w:rsidR="00F758D4">
          <w:rPr>
            <w:noProof/>
            <w:webHidden/>
          </w:rPr>
          <w:t>124</w:t>
        </w:r>
        <w:r w:rsidR="00F758D4">
          <w:rPr>
            <w:noProof/>
            <w:webHidden/>
          </w:rPr>
          <w:fldChar w:fldCharType="end"/>
        </w:r>
      </w:hyperlink>
    </w:p>
    <w:p w14:paraId="17420C92" w14:textId="32AE373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7" w:history="1">
        <w:r w:rsidR="00F758D4" w:rsidRPr="00C24B66">
          <w:rPr>
            <w:rStyle w:val="Hyperlink"/>
            <w:noProof/>
          </w:rPr>
          <w:t>5.7.</w:t>
        </w:r>
        <w:r w:rsidR="00F758D4">
          <w:rPr>
            <w:rFonts w:asciiTheme="minorHAnsi" w:eastAsiaTheme="minorEastAsia" w:hAnsiTheme="minorHAnsi" w:cstheme="minorBidi"/>
            <w:iCs w:val="0"/>
            <w:noProof/>
            <w:color w:val="auto"/>
            <w:sz w:val="22"/>
            <w:szCs w:val="22"/>
          </w:rPr>
          <w:tab/>
        </w:r>
        <w:r w:rsidR="00F758D4" w:rsidRPr="00C24B66">
          <w:rPr>
            <w:rStyle w:val="Hyperlink"/>
            <w:noProof/>
          </w:rPr>
          <w:t>Avoiding Liens that Impair Exemptions</w:t>
        </w:r>
        <w:r w:rsidR="00F758D4">
          <w:rPr>
            <w:noProof/>
            <w:webHidden/>
          </w:rPr>
          <w:tab/>
        </w:r>
        <w:r w:rsidR="00F758D4">
          <w:rPr>
            <w:noProof/>
            <w:webHidden/>
          </w:rPr>
          <w:fldChar w:fldCharType="begin"/>
        </w:r>
        <w:r w:rsidR="00F758D4">
          <w:rPr>
            <w:noProof/>
            <w:webHidden/>
          </w:rPr>
          <w:instrText xml:space="preserve"> PAGEREF _Toc90983627 \h </w:instrText>
        </w:r>
        <w:r w:rsidR="00F758D4">
          <w:rPr>
            <w:noProof/>
            <w:webHidden/>
          </w:rPr>
        </w:r>
        <w:r w:rsidR="00F758D4">
          <w:rPr>
            <w:noProof/>
            <w:webHidden/>
          </w:rPr>
          <w:fldChar w:fldCharType="separate"/>
        </w:r>
        <w:r w:rsidR="00F758D4">
          <w:rPr>
            <w:noProof/>
            <w:webHidden/>
          </w:rPr>
          <w:t>124</w:t>
        </w:r>
        <w:r w:rsidR="00F758D4">
          <w:rPr>
            <w:noProof/>
            <w:webHidden/>
          </w:rPr>
          <w:fldChar w:fldCharType="end"/>
        </w:r>
      </w:hyperlink>
    </w:p>
    <w:p w14:paraId="5BE8E9EB" w14:textId="00211C9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8" w:history="1">
        <w:r w:rsidR="00F758D4" w:rsidRPr="00C24B66">
          <w:rPr>
            <w:rStyle w:val="Hyperlink"/>
            <w:noProof/>
          </w:rPr>
          <w:t>5.8.</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Avoiding Liens that Impair Exemptions</w:t>
        </w:r>
        <w:r w:rsidR="00F758D4">
          <w:rPr>
            <w:noProof/>
            <w:webHidden/>
          </w:rPr>
          <w:tab/>
        </w:r>
        <w:r w:rsidR="00F758D4">
          <w:rPr>
            <w:noProof/>
            <w:webHidden/>
          </w:rPr>
          <w:fldChar w:fldCharType="begin"/>
        </w:r>
        <w:r w:rsidR="00F758D4">
          <w:rPr>
            <w:noProof/>
            <w:webHidden/>
          </w:rPr>
          <w:instrText xml:space="preserve"> PAGEREF _Toc90983628 \h </w:instrText>
        </w:r>
        <w:r w:rsidR="00F758D4">
          <w:rPr>
            <w:noProof/>
            <w:webHidden/>
          </w:rPr>
        </w:r>
        <w:r w:rsidR="00F758D4">
          <w:rPr>
            <w:noProof/>
            <w:webHidden/>
          </w:rPr>
          <w:fldChar w:fldCharType="separate"/>
        </w:r>
        <w:r w:rsidR="00F758D4">
          <w:rPr>
            <w:noProof/>
            <w:webHidden/>
          </w:rPr>
          <w:t>125</w:t>
        </w:r>
        <w:r w:rsidR="00F758D4">
          <w:rPr>
            <w:noProof/>
            <w:webHidden/>
          </w:rPr>
          <w:fldChar w:fldCharType="end"/>
        </w:r>
      </w:hyperlink>
    </w:p>
    <w:p w14:paraId="1162D502" w14:textId="15B185E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29" w:history="1">
        <w:r w:rsidR="00F758D4" w:rsidRPr="00C24B66">
          <w:rPr>
            <w:rStyle w:val="Hyperlink"/>
            <w:noProof/>
          </w:rPr>
          <w:t>5.9.</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Avoiding Liens that Impair Exemptions</w:t>
        </w:r>
        <w:r w:rsidR="00F758D4">
          <w:rPr>
            <w:noProof/>
            <w:webHidden/>
          </w:rPr>
          <w:tab/>
        </w:r>
        <w:r w:rsidR="00F758D4">
          <w:rPr>
            <w:noProof/>
            <w:webHidden/>
          </w:rPr>
          <w:fldChar w:fldCharType="begin"/>
        </w:r>
        <w:r w:rsidR="00F758D4">
          <w:rPr>
            <w:noProof/>
            <w:webHidden/>
          </w:rPr>
          <w:instrText xml:space="preserve"> PAGEREF _Toc90983629 \h </w:instrText>
        </w:r>
        <w:r w:rsidR="00F758D4">
          <w:rPr>
            <w:noProof/>
            <w:webHidden/>
          </w:rPr>
        </w:r>
        <w:r w:rsidR="00F758D4">
          <w:rPr>
            <w:noProof/>
            <w:webHidden/>
          </w:rPr>
          <w:fldChar w:fldCharType="separate"/>
        </w:r>
        <w:r w:rsidR="00F758D4">
          <w:rPr>
            <w:noProof/>
            <w:webHidden/>
          </w:rPr>
          <w:t>126</w:t>
        </w:r>
        <w:r w:rsidR="00F758D4">
          <w:rPr>
            <w:noProof/>
            <w:webHidden/>
          </w:rPr>
          <w:fldChar w:fldCharType="end"/>
        </w:r>
      </w:hyperlink>
    </w:p>
    <w:p w14:paraId="17927224" w14:textId="2901A80B"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30" w:history="1">
        <w:r w:rsidR="00F758D4" w:rsidRPr="00C24B66">
          <w:rPr>
            <w:rStyle w:val="Hyperlink"/>
            <w:noProof/>
          </w:rPr>
          <w:t>5.9.1.</w:t>
        </w:r>
        <w:r w:rsidR="00F758D4">
          <w:rPr>
            <w:rFonts w:asciiTheme="minorHAnsi" w:eastAsiaTheme="minorEastAsia" w:hAnsiTheme="minorHAnsi" w:cstheme="minorBidi"/>
            <w:noProof/>
            <w:color w:val="auto"/>
            <w:sz w:val="22"/>
            <w:szCs w:val="22"/>
          </w:rPr>
          <w:tab/>
        </w:r>
        <w:r w:rsidR="00F758D4" w:rsidRPr="00C24B66">
          <w:rPr>
            <w:rStyle w:val="Hyperlink"/>
            <w:noProof/>
          </w:rPr>
          <w:t>FARREY v. SANDERFOOT, 500 U.S. 291 (1991)</w:t>
        </w:r>
        <w:r w:rsidR="00F758D4">
          <w:rPr>
            <w:noProof/>
            <w:webHidden/>
          </w:rPr>
          <w:tab/>
        </w:r>
        <w:r w:rsidR="00F758D4">
          <w:rPr>
            <w:noProof/>
            <w:webHidden/>
          </w:rPr>
          <w:fldChar w:fldCharType="begin"/>
        </w:r>
        <w:r w:rsidR="00F758D4">
          <w:rPr>
            <w:noProof/>
            <w:webHidden/>
          </w:rPr>
          <w:instrText xml:space="preserve"> PAGEREF _Toc90983630 \h </w:instrText>
        </w:r>
        <w:r w:rsidR="00F758D4">
          <w:rPr>
            <w:noProof/>
            <w:webHidden/>
          </w:rPr>
        </w:r>
        <w:r w:rsidR="00F758D4">
          <w:rPr>
            <w:noProof/>
            <w:webHidden/>
          </w:rPr>
          <w:fldChar w:fldCharType="separate"/>
        </w:r>
        <w:r w:rsidR="00F758D4">
          <w:rPr>
            <w:noProof/>
            <w:webHidden/>
          </w:rPr>
          <w:t>126</w:t>
        </w:r>
        <w:r w:rsidR="00F758D4">
          <w:rPr>
            <w:noProof/>
            <w:webHidden/>
          </w:rPr>
          <w:fldChar w:fldCharType="end"/>
        </w:r>
      </w:hyperlink>
    </w:p>
    <w:p w14:paraId="68317C55" w14:textId="488C96B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31" w:history="1">
        <w:r w:rsidR="00F758D4" w:rsidRPr="00C24B66">
          <w:rPr>
            <w:rStyle w:val="Hyperlink"/>
            <w:noProof/>
          </w:rPr>
          <w:t>5.9.2.</w:t>
        </w:r>
        <w:r w:rsidR="00F758D4">
          <w:rPr>
            <w:rFonts w:asciiTheme="minorHAnsi" w:eastAsiaTheme="minorEastAsia" w:hAnsiTheme="minorHAnsi" w:cstheme="minorBidi"/>
            <w:noProof/>
            <w:color w:val="auto"/>
            <w:sz w:val="22"/>
            <w:szCs w:val="22"/>
          </w:rPr>
          <w:tab/>
        </w:r>
        <w:r w:rsidR="00F758D4" w:rsidRPr="00C24B66">
          <w:rPr>
            <w:rStyle w:val="Hyperlink"/>
            <w:noProof/>
          </w:rPr>
          <w:t>OWEN v. OWEN, 500 U.S. 305 (1991)</w:t>
        </w:r>
        <w:r w:rsidR="00F758D4">
          <w:rPr>
            <w:noProof/>
            <w:webHidden/>
          </w:rPr>
          <w:tab/>
        </w:r>
        <w:r w:rsidR="00F758D4">
          <w:rPr>
            <w:noProof/>
            <w:webHidden/>
          </w:rPr>
          <w:fldChar w:fldCharType="begin"/>
        </w:r>
        <w:r w:rsidR="00F758D4">
          <w:rPr>
            <w:noProof/>
            <w:webHidden/>
          </w:rPr>
          <w:instrText xml:space="preserve"> PAGEREF _Toc90983631 \h </w:instrText>
        </w:r>
        <w:r w:rsidR="00F758D4">
          <w:rPr>
            <w:noProof/>
            <w:webHidden/>
          </w:rPr>
        </w:r>
        <w:r w:rsidR="00F758D4">
          <w:rPr>
            <w:noProof/>
            <w:webHidden/>
          </w:rPr>
          <w:fldChar w:fldCharType="separate"/>
        </w:r>
        <w:r w:rsidR="00F758D4">
          <w:rPr>
            <w:noProof/>
            <w:webHidden/>
          </w:rPr>
          <w:t>128</w:t>
        </w:r>
        <w:r w:rsidR="00F758D4">
          <w:rPr>
            <w:noProof/>
            <w:webHidden/>
          </w:rPr>
          <w:fldChar w:fldCharType="end"/>
        </w:r>
      </w:hyperlink>
    </w:p>
    <w:p w14:paraId="4D7BBDFE" w14:textId="6E1E08D9"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632" w:history="1">
        <w:r w:rsidR="00F758D4" w:rsidRPr="00C24B66">
          <w:rPr>
            <w:rStyle w:val="Hyperlink"/>
            <w:noProof/>
          </w:rPr>
          <w:t>Chapter 6.</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The Automatic Stay</w:t>
        </w:r>
        <w:r w:rsidR="00F758D4">
          <w:rPr>
            <w:noProof/>
            <w:webHidden/>
          </w:rPr>
          <w:tab/>
        </w:r>
        <w:r w:rsidR="00F758D4">
          <w:rPr>
            <w:noProof/>
            <w:webHidden/>
          </w:rPr>
          <w:fldChar w:fldCharType="begin"/>
        </w:r>
        <w:r w:rsidR="00F758D4">
          <w:rPr>
            <w:noProof/>
            <w:webHidden/>
          </w:rPr>
          <w:instrText xml:space="preserve"> PAGEREF _Toc90983632 \h </w:instrText>
        </w:r>
        <w:r w:rsidR="00F758D4">
          <w:rPr>
            <w:noProof/>
            <w:webHidden/>
          </w:rPr>
        </w:r>
        <w:r w:rsidR="00F758D4">
          <w:rPr>
            <w:noProof/>
            <w:webHidden/>
          </w:rPr>
          <w:fldChar w:fldCharType="separate"/>
        </w:r>
        <w:r w:rsidR="00F758D4">
          <w:rPr>
            <w:noProof/>
            <w:webHidden/>
          </w:rPr>
          <w:t>133</w:t>
        </w:r>
        <w:r w:rsidR="00F758D4">
          <w:rPr>
            <w:noProof/>
            <w:webHidden/>
          </w:rPr>
          <w:fldChar w:fldCharType="end"/>
        </w:r>
      </w:hyperlink>
    </w:p>
    <w:p w14:paraId="1F348F71" w14:textId="13E506A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33" w:history="1">
        <w:r w:rsidR="00F758D4" w:rsidRPr="00C24B66">
          <w:rPr>
            <w:rStyle w:val="Hyperlink"/>
            <w:noProof/>
          </w:rPr>
          <w:t>6.1.</w:t>
        </w:r>
        <w:r w:rsidR="00F758D4">
          <w:rPr>
            <w:rFonts w:asciiTheme="minorHAnsi" w:eastAsiaTheme="minorEastAsia" w:hAnsiTheme="minorHAnsi" w:cstheme="minorBidi"/>
            <w:iCs w:val="0"/>
            <w:noProof/>
            <w:color w:val="auto"/>
            <w:sz w:val="22"/>
            <w:szCs w:val="22"/>
          </w:rPr>
          <w:tab/>
        </w:r>
        <w:r w:rsidR="00F758D4" w:rsidRPr="00C24B66">
          <w:rPr>
            <w:rStyle w:val="Hyperlink"/>
            <w:noProof/>
          </w:rPr>
          <w:t>What is the Automatic Stay?</w:t>
        </w:r>
        <w:r w:rsidR="00F758D4">
          <w:rPr>
            <w:noProof/>
            <w:webHidden/>
          </w:rPr>
          <w:tab/>
        </w:r>
        <w:r w:rsidR="00F758D4">
          <w:rPr>
            <w:noProof/>
            <w:webHidden/>
          </w:rPr>
          <w:fldChar w:fldCharType="begin"/>
        </w:r>
        <w:r w:rsidR="00F758D4">
          <w:rPr>
            <w:noProof/>
            <w:webHidden/>
          </w:rPr>
          <w:instrText xml:space="preserve"> PAGEREF _Toc90983633 \h </w:instrText>
        </w:r>
        <w:r w:rsidR="00F758D4">
          <w:rPr>
            <w:noProof/>
            <w:webHidden/>
          </w:rPr>
        </w:r>
        <w:r w:rsidR="00F758D4">
          <w:rPr>
            <w:noProof/>
            <w:webHidden/>
          </w:rPr>
          <w:fldChar w:fldCharType="separate"/>
        </w:r>
        <w:r w:rsidR="00F758D4">
          <w:rPr>
            <w:noProof/>
            <w:webHidden/>
          </w:rPr>
          <w:t>133</w:t>
        </w:r>
        <w:r w:rsidR="00F758D4">
          <w:rPr>
            <w:noProof/>
            <w:webHidden/>
          </w:rPr>
          <w:fldChar w:fldCharType="end"/>
        </w:r>
      </w:hyperlink>
    </w:p>
    <w:p w14:paraId="3E6FB78B" w14:textId="0E353F9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34" w:history="1">
        <w:r w:rsidR="00F758D4" w:rsidRPr="00C24B66">
          <w:rPr>
            <w:rStyle w:val="Hyperlink"/>
            <w:noProof/>
          </w:rPr>
          <w:t>6.2.</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The Automatic Stay</w:t>
        </w:r>
        <w:r w:rsidR="00F758D4">
          <w:rPr>
            <w:noProof/>
            <w:webHidden/>
          </w:rPr>
          <w:tab/>
        </w:r>
        <w:r w:rsidR="00F758D4">
          <w:rPr>
            <w:noProof/>
            <w:webHidden/>
          </w:rPr>
          <w:fldChar w:fldCharType="begin"/>
        </w:r>
        <w:r w:rsidR="00F758D4">
          <w:rPr>
            <w:noProof/>
            <w:webHidden/>
          </w:rPr>
          <w:instrText xml:space="preserve"> PAGEREF _Toc90983634 \h </w:instrText>
        </w:r>
        <w:r w:rsidR="00F758D4">
          <w:rPr>
            <w:noProof/>
            <w:webHidden/>
          </w:rPr>
        </w:r>
        <w:r w:rsidR="00F758D4">
          <w:rPr>
            <w:noProof/>
            <w:webHidden/>
          </w:rPr>
          <w:fldChar w:fldCharType="separate"/>
        </w:r>
        <w:r w:rsidR="00F758D4">
          <w:rPr>
            <w:noProof/>
            <w:webHidden/>
          </w:rPr>
          <w:t>133</w:t>
        </w:r>
        <w:r w:rsidR="00F758D4">
          <w:rPr>
            <w:noProof/>
            <w:webHidden/>
          </w:rPr>
          <w:fldChar w:fldCharType="end"/>
        </w:r>
      </w:hyperlink>
    </w:p>
    <w:p w14:paraId="5EE13300" w14:textId="19D8132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35" w:history="1">
        <w:r w:rsidR="00F758D4" w:rsidRPr="00C24B66">
          <w:rPr>
            <w:rStyle w:val="Hyperlink"/>
            <w:noProof/>
          </w:rPr>
          <w:t>6.3.</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Using the Automatic Stay as a Sword</w:t>
        </w:r>
        <w:r w:rsidR="00F758D4">
          <w:rPr>
            <w:noProof/>
            <w:webHidden/>
          </w:rPr>
          <w:tab/>
        </w:r>
        <w:r w:rsidR="00F758D4">
          <w:rPr>
            <w:noProof/>
            <w:webHidden/>
          </w:rPr>
          <w:fldChar w:fldCharType="begin"/>
        </w:r>
        <w:r w:rsidR="00F758D4">
          <w:rPr>
            <w:noProof/>
            <w:webHidden/>
          </w:rPr>
          <w:instrText xml:space="preserve"> PAGEREF _Toc90983635 \h </w:instrText>
        </w:r>
        <w:r w:rsidR="00F758D4">
          <w:rPr>
            <w:noProof/>
            <w:webHidden/>
          </w:rPr>
        </w:r>
        <w:r w:rsidR="00F758D4">
          <w:rPr>
            <w:noProof/>
            <w:webHidden/>
          </w:rPr>
          <w:fldChar w:fldCharType="separate"/>
        </w:r>
        <w:r w:rsidR="00F758D4">
          <w:rPr>
            <w:noProof/>
            <w:webHidden/>
          </w:rPr>
          <w:t>136</w:t>
        </w:r>
        <w:r w:rsidR="00F758D4">
          <w:rPr>
            <w:noProof/>
            <w:webHidden/>
          </w:rPr>
          <w:fldChar w:fldCharType="end"/>
        </w:r>
      </w:hyperlink>
    </w:p>
    <w:p w14:paraId="006E693C" w14:textId="5048880D"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36" w:history="1">
        <w:r w:rsidR="00F758D4" w:rsidRPr="00C24B66">
          <w:rPr>
            <w:rStyle w:val="Hyperlink"/>
            <w:noProof/>
          </w:rPr>
          <w:t>6.3.1.</w:t>
        </w:r>
        <w:r w:rsidR="00F758D4">
          <w:rPr>
            <w:rFonts w:asciiTheme="minorHAnsi" w:eastAsiaTheme="minorEastAsia" w:hAnsiTheme="minorHAnsi" w:cstheme="minorBidi"/>
            <w:noProof/>
            <w:color w:val="auto"/>
            <w:sz w:val="22"/>
            <w:szCs w:val="22"/>
          </w:rPr>
          <w:tab/>
        </w:r>
        <w:r w:rsidR="00F758D4" w:rsidRPr="00C24B66">
          <w:rPr>
            <w:rStyle w:val="Hyperlink"/>
            <w:noProof/>
          </w:rPr>
          <w:t>SPORTFRAME OF OHIO v. WILSON SPORTING GOODS, 40 B.R. 47 (Bankr. N.D. Ohio 1984)</w:t>
        </w:r>
        <w:r w:rsidR="00F758D4">
          <w:rPr>
            <w:noProof/>
            <w:webHidden/>
          </w:rPr>
          <w:tab/>
        </w:r>
        <w:r w:rsidR="00F758D4">
          <w:rPr>
            <w:noProof/>
            <w:webHidden/>
          </w:rPr>
          <w:fldChar w:fldCharType="begin"/>
        </w:r>
        <w:r w:rsidR="00F758D4">
          <w:rPr>
            <w:noProof/>
            <w:webHidden/>
          </w:rPr>
          <w:instrText xml:space="preserve"> PAGEREF _Toc90983636 \h </w:instrText>
        </w:r>
        <w:r w:rsidR="00F758D4">
          <w:rPr>
            <w:noProof/>
            <w:webHidden/>
          </w:rPr>
        </w:r>
        <w:r w:rsidR="00F758D4">
          <w:rPr>
            <w:noProof/>
            <w:webHidden/>
          </w:rPr>
          <w:fldChar w:fldCharType="separate"/>
        </w:r>
        <w:r w:rsidR="00F758D4">
          <w:rPr>
            <w:noProof/>
            <w:webHidden/>
          </w:rPr>
          <w:t>136</w:t>
        </w:r>
        <w:r w:rsidR="00F758D4">
          <w:rPr>
            <w:noProof/>
            <w:webHidden/>
          </w:rPr>
          <w:fldChar w:fldCharType="end"/>
        </w:r>
      </w:hyperlink>
    </w:p>
    <w:p w14:paraId="26C7DB4B" w14:textId="01FC48EB"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37" w:history="1">
        <w:r w:rsidR="00F758D4" w:rsidRPr="00C24B66">
          <w:rPr>
            <w:rStyle w:val="Hyperlink"/>
            <w:noProof/>
          </w:rPr>
          <w:t>6.3.2.</w:t>
        </w:r>
        <w:r w:rsidR="00F758D4">
          <w:rPr>
            <w:rFonts w:asciiTheme="minorHAnsi" w:eastAsiaTheme="minorEastAsia" w:hAnsiTheme="minorHAnsi" w:cstheme="minorBidi"/>
            <w:noProof/>
            <w:color w:val="auto"/>
            <w:sz w:val="22"/>
            <w:szCs w:val="22"/>
          </w:rPr>
          <w:tab/>
        </w:r>
        <w:r w:rsidR="00F758D4" w:rsidRPr="00C24B66">
          <w:rPr>
            <w:rStyle w:val="Hyperlink"/>
            <w:noProof/>
          </w:rPr>
          <w:t>CITY OF CHICAGO v. FULTON, 141 S.Ct. 585 (2021)</w:t>
        </w:r>
        <w:r w:rsidR="00F758D4">
          <w:rPr>
            <w:noProof/>
            <w:webHidden/>
          </w:rPr>
          <w:tab/>
        </w:r>
        <w:r w:rsidR="00F758D4">
          <w:rPr>
            <w:noProof/>
            <w:webHidden/>
          </w:rPr>
          <w:fldChar w:fldCharType="begin"/>
        </w:r>
        <w:r w:rsidR="00F758D4">
          <w:rPr>
            <w:noProof/>
            <w:webHidden/>
          </w:rPr>
          <w:instrText xml:space="preserve"> PAGEREF _Toc90983637 \h </w:instrText>
        </w:r>
        <w:r w:rsidR="00F758D4">
          <w:rPr>
            <w:noProof/>
            <w:webHidden/>
          </w:rPr>
        </w:r>
        <w:r w:rsidR="00F758D4">
          <w:rPr>
            <w:noProof/>
            <w:webHidden/>
          </w:rPr>
          <w:fldChar w:fldCharType="separate"/>
        </w:r>
        <w:r w:rsidR="00F758D4">
          <w:rPr>
            <w:noProof/>
            <w:webHidden/>
          </w:rPr>
          <w:t>138</w:t>
        </w:r>
        <w:r w:rsidR="00F758D4">
          <w:rPr>
            <w:noProof/>
            <w:webHidden/>
          </w:rPr>
          <w:fldChar w:fldCharType="end"/>
        </w:r>
      </w:hyperlink>
    </w:p>
    <w:p w14:paraId="5C34A470" w14:textId="680B090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38" w:history="1">
        <w:r w:rsidR="00F758D4" w:rsidRPr="00C24B66">
          <w:rPr>
            <w:rStyle w:val="Hyperlink"/>
            <w:noProof/>
          </w:rPr>
          <w:t>6.4.</w:t>
        </w:r>
        <w:r w:rsidR="00F758D4">
          <w:rPr>
            <w:rFonts w:asciiTheme="minorHAnsi" w:eastAsiaTheme="minorEastAsia" w:hAnsiTheme="minorHAnsi" w:cstheme="minorBidi"/>
            <w:iCs w:val="0"/>
            <w:noProof/>
            <w:color w:val="auto"/>
            <w:sz w:val="22"/>
            <w:szCs w:val="22"/>
          </w:rPr>
          <w:tab/>
        </w:r>
        <w:r w:rsidR="00F758D4" w:rsidRPr="00C24B66">
          <w:rPr>
            <w:rStyle w:val="Hyperlink"/>
            <w:noProof/>
          </w:rPr>
          <w:t>Extending The Stay to Non-Debtors</w:t>
        </w:r>
        <w:r w:rsidR="00F758D4">
          <w:rPr>
            <w:noProof/>
            <w:webHidden/>
          </w:rPr>
          <w:tab/>
        </w:r>
        <w:r w:rsidR="00F758D4">
          <w:rPr>
            <w:noProof/>
            <w:webHidden/>
          </w:rPr>
          <w:fldChar w:fldCharType="begin"/>
        </w:r>
        <w:r w:rsidR="00F758D4">
          <w:rPr>
            <w:noProof/>
            <w:webHidden/>
          </w:rPr>
          <w:instrText xml:space="preserve"> PAGEREF _Toc90983638 \h </w:instrText>
        </w:r>
        <w:r w:rsidR="00F758D4">
          <w:rPr>
            <w:noProof/>
            <w:webHidden/>
          </w:rPr>
        </w:r>
        <w:r w:rsidR="00F758D4">
          <w:rPr>
            <w:noProof/>
            <w:webHidden/>
          </w:rPr>
          <w:fldChar w:fldCharType="separate"/>
        </w:r>
        <w:r w:rsidR="00F758D4">
          <w:rPr>
            <w:noProof/>
            <w:webHidden/>
          </w:rPr>
          <w:t>142</w:t>
        </w:r>
        <w:r w:rsidR="00F758D4">
          <w:rPr>
            <w:noProof/>
            <w:webHidden/>
          </w:rPr>
          <w:fldChar w:fldCharType="end"/>
        </w:r>
      </w:hyperlink>
    </w:p>
    <w:p w14:paraId="6A953A02" w14:textId="30A0C6D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39" w:history="1">
        <w:r w:rsidR="00F758D4" w:rsidRPr="00C24B66">
          <w:rPr>
            <w:rStyle w:val="Hyperlink"/>
            <w:noProof/>
          </w:rPr>
          <w:t>6.4.1.</w:t>
        </w:r>
        <w:r w:rsidR="00F758D4">
          <w:rPr>
            <w:rFonts w:asciiTheme="minorHAnsi" w:eastAsiaTheme="minorEastAsia" w:hAnsiTheme="minorHAnsi" w:cstheme="minorBidi"/>
            <w:noProof/>
            <w:color w:val="auto"/>
            <w:sz w:val="22"/>
            <w:szCs w:val="22"/>
          </w:rPr>
          <w:tab/>
        </w:r>
        <w:r w:rsidR="00F758D4" w:rsidRPr="00C24B66">
          <w:rPr>
            <w:rStyle w:val="Hyperlink"/>
            <w:noProof/>
          </w:rPr>
          <w:t>AH ROBINS CO, INC. v. PICCININ, 788 F. 2d 994 (4th Cir. 1986)</w:t>
        </w:r>
        <w:r w:rsidR="00F758D4">
          <w:rPr>
            <w:noProof/>
            <w:webHidden/>
          </w:rPr>
          <w:tab/>
        </w:r>
        <w:r w:rsidR="00F758D4">
          <w:rPr>
            <w:noProof/>
            <w:webHidden/>
          </w:rPr>
          <w:fldChar w:fldCharType="begin"/>
        </w:r>
        <w:r w:rsidR="00F758D4">
          <w:rPr>
            <w:noProof/>
            <w:webHidden/>
          </w:rPr>
          <w:instrText xml:space="preserve"> PAGEREF _Toc90983639 \h </w:instrText>
        </w:r>
        <w:r w:rsidR="00F758D4">
          <w:rPr>
            <w:noProof/>
            <w:webHidden/>
          </w:rPr>
        </w:r>
        <w:r w:rsidR="00F758D4">
          <w:rPr>
            <w:noProof/>
            <w:webHidden/>
          </w:rPr>
          <w:fldChar w:fldCharType="separate"/>
        </w:r>
        <w:r w:rsidR="00F758D4">
          <w:rPr>
            <w:noProof/>
            <w:webHidden/>
          </w:rPr>
          <w:t>142</w:t>
        </w:r>
        <w:r w:rsidR="00F758D4">
          <w:rPr>
            <w:noProof/>
            <w:webHidden/>
          </w:rPr>
          <w:fldChar w:fldCharType="end"/>
        </w:r>
      </w:hyperlink>
    </w:p>
    <w:p w14:paraId="79DF54A9" w14:textId="3FEB12A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40" w:history="1">
        <w:r w:rsidR="00F758D4" w:rsidRPr="00C24B66">
          <w:rPr>
            <w:rStyle w:val="Hyperlink"/>
            <w:noProof/>
          </w:rPr>
          <w:t>6.4.2.</w:t>
        </w:r>
        <w:r w:rsidR="00F758D4">
          <w:rPr>
            <w:rFonts w:asciiTheme="minorHAnsi" w:eastAsiaTheme="minorEastAsia" w:hAnsiTheme="minorHAnsi" w:cstheme="minorBidi"/>
            <w:noProof/>
            <w:color w:val="auto"/>
            <w:sz w:val="22"/>
            <w:szCs w:val="22"/>
          </w:rPr>
          <w:tab/>
        </w:r>
        <w:r w:rsidR="00F758D4" w:rsidRPr="00C24B66">
          <w:rPr>
            <w:rStyle w:val="Hyperlink"/>
            <w:noProof/>
          </w:rPr>
          <w:t>Note on IN RE QUIGLEY CO, 676 F.3d 45 (2d Cir. 2012)</w:t>
        </w:r>
        <w:r w:rsidR="00F758D4">
          <w:rPr>
            <w:noProof/>
            <w:webHidden/>
          </w:rPr>
          <w:tab/>
        </w:r>
        <w:r w:rsidR="00F758D4">
          <w:rPr>
            <w:noProof/>
            <w:webHidden/>
          </w:rPr>
          <w:fldChar w:fldCharType="begin"/>
        </w:r>
        <w:r w:rsidR="00F758D4">
          <w:rPr>
            <w:noProof/>
            <w:webHidden/>
          </w:rPr>
          <w:instrText xml:space="preserve"> PAGEREF _Toc90983640 \h </w:instrText>
        </w:r>
        <w:r w:rsidR="00F758D4">
          <w:rPr>
            <w:noProof/>
            <w:webHidden/>
          </w:rPr>
        </w:r>
        <w:r w:rsidR="00F758D4">
          <w:rPr>
            <w:noProof/>
            <w:webHidden/>
          </w:rPr>
          <w:fldChar w:fldCharType="separate"/>
        </w:r>
        <w:r w:rsidR="00F758D4">
          <w:rPr>
            <w:noProof/>
            <w:webHidden/>
          </w:rPr>
          <w:t>147</w:t>
        </w:r>
        <w:r w:rsidR="00F758D4">
          <w:rPr>
            <w:noProof/>
            <w:webHidden/>
          </w:rPr>
          <w:fldChar w:fldCharType="end"/>
        </w:r>
      </w:hyperlink>
    </w:p>
    <w:p w14:paraId="07BFD3DB" w14:textId="02555249"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641" w:history="1">
        <w:r w:rsidR="00F758D4" w:rsidRPr="00C24B66">
          <w:rPr>
            <w:rStyle w:val="Hyperlink"/>
            <w:noProof/>
          </w:rPr>
          <w:t>Chapter 7.</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Operating the Estate</w:t>
        </w:r>
        <w:r w:rsidR="00F758D4">
          <w:rPr>
            <w:noProof/>
            <w:webHidden/>
          </w:rPr>
          <w:tab/>
        </w:r>
        <w:r w:rsidR="00F758D4">
          <w:rPr>
            <w:noProof/>
            <w:webHidden/>
          </w:rPr>
          <w:fldChar w:fldCharType="begin"/>
        </w:r>
        <w:r w:rsidR="00F758D4">
          <w:rPr>
            <w:noProof/>
            <w:webHidden/>
          </w:rPr>
          <w:instrText xml:space="preserve"> PAGEREF _Toc90983641 \h </w:instrText>
        </w:r>
        <w:r w:rsidR="00F758D4">
          <w:rPr>
            <w:noProof/>
            <w:webHidden/>
          </w:rPr>
        </w:r>
        <w:r w:rsidR="00F758D4">
          <w:rPr>
            <w:noProof/>
            <w:webHidden/>
          </w:rPr>
          <w:fldChar w:fldCharType="separate"/>
        </w:r>
        <w:r w:rsidR="00F758D4">
          <w:rPr>
            <w:noProof/>
            <w:webHidden/>
          </w:rPr>
          <w:t>148</w:t>
        </w:r>
        <w:r w:rsidR="00F758D4">
          <w:rPr>
            <w:noProof/>
            <w:webHidden/>
          </w:rPr>
          <w:fldChar w:fldCharType="end"/>
        </w:r>
      </w:hyperlink>
    </w:p>
    <w:p w14:paraId="652F20CB" w14:textId="07A6807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2" w:history="1">
        <w:r w:rsidR="00F758D4" w:rsidRPr="00C24B66">
          <w:rPr>
            <w:rStyle w:val="Hyperlink"/>
            <w:noProof/>
          </w:rPr>
          <w:t>7.1.</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United States Trustee</w:t>
        </w:r>
        <w:r w:rsidR="00F758D4">
          <w:rPr>
            <w:noProof/>
            <w:webHidden/>
          </w:rPr>
          <w:tab/>
        </w:r>
        <w:r w:rsidR="00F758D4">
          <w:rPr>
            <w:noProof/>
            <w:webHidden/>
          </w:rPr>
          <w:fldChar w:fldCharType="begin"/>
        </w:r>
        <w:r w:rsidR="00F758D4">
          <w:rPr>
            <w:noProof/>
            <w:webHidden/>
          </w:rPr>
          <w:instrText xml:space="preserve"> PAGEREF _Toc90983642 \h </w:instrText>
        </w:r>
        <w:r w:rsidR="00F758D4">
          <w:rPr>
            <w:noProof/>
            <w:webHidden/>
          </w:rPr>
        </w:r>
        <w:r w:rsidR="00F758D4">
          <w:rPr>
            <w:noProof/>
            <w:webHidden/>
          </w:rPr>
          <w:fldChar w:fldCharType="separate"/>
        </w:r>
        <w:r w:rsidR="00F758D4">
          <w:rPr>
            <w:noProof/>
            <w:webHidden/>
          </w:rPr>
          <w:t>148</w:t>
        </w:r>
        <w:r w:rsidR="00F758D4">
          <w:rPr>
            <w:noProof/>
            <w:webHidden/>
          </w:rPr>
          <w:fldChar w:fldCharType="end"/>
        </w:r>
      </w:hyperlink>
    </w:p>
    <w:p w14:paraId="5C09FA57" w14:textId="0A716DA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3" w:history="1">
        <w:r w:rsidR="00F758D4" w:rsidRPr="00C24B66">
          <w:rPr>
            <w:rStyle w:val="Hyperlink"/>
            <w:noProof/>
          </w:rPr>
          <w:t>7.2.</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Case Trustee</w:t>
        </w:r>
        <w:r w:rsidR="00F758D4">
          <w:rPr>
            <w:noProof/>
            <w:webHidden/>
          </w:rPr>
          <w:tab/>
        </w:r>
        <w:r w:rsidR="00F758D4">
          <w:rPr>
            <w:noProof/>
            <w:webHidden/>
          </w:rPr>
          <w:fldChar w:fldCharType="begin"/>
        </w:r>
        <w:r w:rsidR="00F758D4">
          <w:rPr>
            <w:noProof/>
            <w:webHidden/>
          </w:rPr>
          <w:instrText xml:space="preserve"> PAGEREF _Toc90983643 \h </w:instrText>
        </w:r>
        <w:r w:rsidR="00F758D4">
          <w:rPr>
            <w:noProof/>
            <w:webHidden/>
          </w:rPr>
        </w:r>
        <w:r w:rsidR="00F758D4">
          <w:rPr>
            <w:noProof/>
            <w:webHidden/>
          </w:rPr>
          <w:fldChar w:fldCharType="separate"/>
        </w:r>
        <w:r w:rsidR="00F758D4">
          <w:rPr>
            <w:noProof/>
            <w:webHidden/>
          </w:rPr>
          <w:t>148</w:t>
        </w:r>
        <w:r w:rsidR="00F758D4">
          <w:rPr>
            <w:noProof/>
            <w:webHidden/>
          </w:rPr>
          <w:fldChar w:fldCharType="end"/>
        </w:r>
      </w:hyperlink>
    </w:p>
    <w:p w14:paraId="05D5B958" w14:textId="120B854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4" w:history="1">
        <w:r w:rsidR="00F758D4" w:rsidRPr="00C24B66">
          <w:rPr>
            <w:rStyle w:val="Hyperlink"/>
            <w:noProof/>
          </w:rPr>
          <w:t>7.3.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Section 341 Meeting</w:t>
        </w:r>
        <w:r w:rsidR="00F758D4">
          <w:rPr>
            <w:noProof/>
            <w:webHidden/>
          </w:rPr>
          <w:tab/>
        </w:r>
        <w:r w:rsidR="00F758D4">
          <w:rPr>
            <w:noProof/>
            <w:webHidden/>
          </w:rPr>
          <w:fldChar w:fldCharType="begin"/>
        </w:r>
        <w:r w:rsidR="00F758D4">
          <w:rPr>
            <w:noProof/>
            <w:webHidden/>
          </w:rPr>
          <w:instrText xml:space="preserve"> PAGEREF _Toc90983644 \h </w:instrText>
        </w:r>
        <w:r w:rsidR="00F758D4">
          <w:rPr>
            <w:noProof/>
            <w:webHidden/>
          </w:rPr>
        </w:r>
        <w:r w:rsidR="00F758D4">
          <w:rPr>
            <w:noProof/>
            <w:webHidden/>
          </w:rPr>
          <w:fldChar w:fldCharType="separate"/>
        </w:r>
        <w:r w:rsidR="00F758D4">
          <w:rPr>
            <w:noProof/>
            <w:webHidden/>
          </w:rPr>
          <w:t>149</w:t>
        </w:r>
        <w:r w:rsidR="00F758D4">
          <w:rPr>
            <w:noProof/>
            <w:webHidden/>
          </w:rPr>
          <w:fldChar w:fldCharType="end"/>
        </w:r>
      </w:hyperlink>
    </w:p>
    <w:p w14:paraId="7334215C" w14:textId="237F6A7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5" w:history="1">
        <w:r w:rsidR="00F758D4" w:rsidRPr="00C24B66">
          <w:rPr>
            <w:rStyle w:val="Hyperlink"/>
            <w:noProof/>
          </w:rPr>
          <w:t>7.4.</w:t>
        </w:r>
        <w:r w:rsidR="00F758D4">
          <w:rPr>
            <w:rFonts w:asciiTheme="minorHAnsi" w:eastAsiaTheme="minorEastAsia" w:hAnsiTheme="minorHAnsi" w:cstheme="minorBidi"/>
            <w:iCs w:val="0"/>
            <w:noProof/>
            <w:color w:val="auto"/>
            <w:sz w:val="22"/>
            <w:szCs w:val="22"/>
          </w:rPr>
          <w:tab/>
        </w:r>
        <w:r w:rsidR="00F758D4" w:rsidRPr="00C24B66">
          <w:rPr>
            <w:rStyle w:val="Hyperlink"/>
            <w:noProof/>
          </w:rPr>
          <w:t>No Asset Cases</w:t>
        </w:r>
        <w:r w:rsidR="00F758D4">
          <w:rPr>
            <w:noProof/>
            <w:webHidden/>
          </w:rPr>
          <w:tab/>
        </w:r>
        <w:r w:rsidR="00F758D4">
          <w:rPr>
            <w:noProof/>
            <w:webHidden/>
          </w:rPr>
          <w:fldChar w:fldCharType="begin"/>
        </w:r>
        <w:r w:rsidR="00F758D4">
          <w:rPr>
            <w:noProof/>
            <w:webHidden/>
          </w:rPr>
          <w:instrText xml:space="preserve"> PAGEREF _Toc90983645 \h </w:instrText>
        </w:r>
        <w:r w:rsidR="00F758D4">
          <w:rPr>
            <w:noProof/>
            <w:webHidden/>
          </w:rPr>
        </w:r>
        <w:r w:rsidR="00F758D4">
          <w:rPr>
            <w:noProof/>
            <w:webHidden/>
          </w:rPr>
          <w:fldChar w:fldCharType="separate"/>
        </w:r>
        <w:r w:rsidR="00F758D4">
          <w:rPr>
            <w:noProof/>
            <w:webHidden/>
          </w:rPr>
          <w:t>150</w:t>
        </w:r>
        <w:r w:rsidR="00F758D4">
          <w:rPr>
            <w:noProof/>
            <w:webHidden/>
          </w:rPr>
          <w:fldChar w:fldCharType="end"/>
        </w:r>
      </w:hyperlink>
    </w:p>
    <w:p w14:paraId="31F0AFB3" w14:textId="515E0CD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6" w:history="1">
        <w:r w:rsidR="00F758D4" w:rsidRPr="00C24B66">
          <w:rPr>
            <w:rStyle w:val="Hyperlink"/>
            <w:noProof/>
          </w:rPr>
          <w:t>7.5.</w:t>
        </w:r>
        <w:r w:rsidR="00F758D4">
          <w:rPr>
            <w:rFonts w:asciiTheme="minorHAnsi" w:eastAsiaTheme="minorEastAsia" w:hAnsiTheme="minorHAnsi" w:cstheme="minorBidi"/>
            <w:iCs w:val="0"/>
            <w:noProof/>
            <w:color w:val="auto"/>
            <w:sz w:val="22"/>
            <w:szCs w:val="22"/>
          </w:rPr>
          <w:tab/>
        </w:r>
        <w:r w:rsidR="00F758D4" w:rsidRPr="00C24B66">
          <w:rPr>
            <w:rStyle w:val="Hyperlink"/>
            <w:noProof/>
          </w:rPr>
          <w:t>Use, Sale and Lease of Property</w:t>
        </w:r>
        <w:r w:rsidR="00F758D4">
          <w:rPr>
            <w:noProof/>
            <w:webHidden/>
          </w:rPr>
          <w:tab/>
        </w:r>
        <w:r w:rsidR="00F758D4">
          <w:rPr>
            <w:noProof/>
            <w:webHidden/>
          </w:rPr>
          <w:fldChar w:fldCharType="begin"/>
        </w:r>
        <w:r w:rsidR="00F758D4">
          <w:rPr>
            <w:noProof/>
            <w:webHidden/>
          </w:rPr>
          <w:instrText xml:space="preserve"> PAGEREF _Toc90983646 \h </w:instrText>
        </w:r>
        <w:r w:rsidR="00F758D4">
          <w:rPr>
            <w:noProof/>
            <w:webHidden/>
          </w:rPr>
        </w:r>
        <w:r w:rsidR="00F758D4">
          <w:rPr>
            <w:noProof/>
            <w:webHidden/>
          </w:rPr>
          <w:fldChar w:fldCharType="separate"/>
        </w:r>
        <w:r w:rsidR="00F758D4">
          <w:rPr>
            <w:noProof/>
            <w:webHidden/>
          </w:rPr>
          <w:t>150</w:t>
        </w:r>
        <w:r w:rsidR="00F758D4">
          <w:rPr>
            <w:noProof/>
            <w:webHidden/>
          </w:rPr>
          <w:fldChar w:fldCharType="end"/>
        </w:r>
      </w:hyperlink>
    </w:p>
    <w:p w14:paraId="79912171" w14:textId="5EB4036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7" w:history="1">
        <w:r w:rsidR="00F758D4" w:rsidRPr="00C24B66">
          <w:rPr>
            <w:rStyle w:val="Hyperlink"/>
            <w:noProof/>
          </w:rPr>
          <w:t>7.6.</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Sale of Property</w:t>
        </w:r>
        <w:r w:rsidR="00F758D4">
          <w:rPr>
            <w:noProof/>
            <w:webHidden/>
          </w:rPr>
          <w:tab/>
        </w:r>
        <w:r w:rsidR="00F758D4">
          <w:rPr>
            <w:noProof/>
            <w:webHidden/>
          </w:rPr>
          <w:fldChar w:fldCharType="begin"/>
        </w:r>
        <w:r w:rsidR="00F758D4">
          <w:rPr>
            <w:noProof/>
            <w:webHidden/>
          </w:rPr>
          <w:instrText xml:space="preserve"> PAGEREF _Toc90983647 \h </w:instrText>
        </w:r>
        <w:r w:rsidR="00F758D4">
          <w:rPr>
            <w:noProof/>
            <w:webHidden/>
          </w:rPr>
        </w:r>
        <w:r w:rsidR="00F758D4">
          <w:rPr>
            <w:noProof/>
            <w:webHidden/>
          </w:rPr>
          <w:fldChar w:fldCharType="separate"/>
        </w:r>
        <w:r w:rsidR="00F758D4">
          <w:rPr>
            <w:noProof/>
            <w:webHidden/>
          </w:rPr>
          <w:t>151</w:t>
        </w:r>
        <w:r w:rsidR="00F758D4">
          <w:rPr>
            <w:noProof/>
            <w:webHidden/>
          </w:rPr>
          <w:fldChar w:fldCharType="end"/>
        </w:r>
      </w:hyperlink>
    </w:p>
    <w:p w14:paraId="4FBCEDD3" w14:textId="6A77894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48" w:history="1">
        <w:r w:rsidR="00F758D4" w:rsidRPr="00C24B66">
          <w:rPr>
            <w:rStyle w:val="Hyperlink"/>
            <w:noProof/>
          </w:rPr>
          <w:t>7.7.</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the Sale of Property</w:t>
        </w:r>
        <w:r w:rsidR="00F758D4">
          <w:rPr>
            <w:noProof/>
            <w:webHidden/>
          </w:rPr>
          <w:tab/>
        </w:r>
        <w:r w:rsidR="00F758D4">
          <w:rPr>
            <w:noProof/>
            <w:webHidden/>
          </w:rPr>
          <w:fldChar w:fldCharType="begin"/>
        </w:r>
        <w:r w:rsidR="00F758D4">
          <w:rPr>
            <w:noProof/>
            <w:webHidden/>
          </w:rPr>
          <w:instrText xml:space="preserve"> PAGEREF _Toc90983648 \h </w:instrText>
        </w:r>
        <w:r w:rsidR="00F758D4">
          <w:rPr>
            <w:noProof/>
            <w:webHidden/>
          </w:rPr>
        </w:r>
        <w:r w:rsidR="00F758D4">
          <w:rPr>
            <w:noProof/>
            <w:webHidden/>
          </w:rPr>
          <w:fldChar w:fldCharType="separate"/>
        </w:r>
        <w:r w:rsidR="00F758D4">
          <w:rPr>
            <w:noProof/>
            <w:webHidden/>
          </w:rPr>
          <w:t>153</w:t>
        </w:r>
        <w:r w:rsidR="00F758D4">
          <w:rPr>
            <w:noProof/>
            <w:webHidden/>
          </w:rPr>
          <w:fldChar w:fldCharType="end"/>
        </w:r>
      </w:hyperlink>
    </w:p>
    <w:p w14:paraId="1DFCA892" w14:textId="671BDCF3"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49" w:history="1">
        <w:r w:rsidR="00F758D4" w:rsidRPr="00C24B66">
          <w:rPr>
            <w:rStyle w:val="Hyperlink"/>
            <w:noProof/>
          </w:rPr>
          <w:t>7.7.1.</w:t>
        </w:r>
        <w:r w:rsidR="00F758D4">
          <w:rPr>
            <w:rFonts w:asciiTheme="minorHAnsi" w:eastAsiaTheme="minorEastAsia" w:hAnsiTheme="minorHAnsi" w:cstheme="minorBidi"/>
            <w:noProof/>
            <w:color w:val="auto"/>
            <w:sz w:val="22"/>
            <w:szCs w:val="22"/>
          </w:rPr>
          <w:tab/>
        </w:r>
        <w:r w:rsidR="00F758D4" w:rsidRPr="00C24B66">
          <w:rPr>
            <w:rStyle w:val="Hyperlink"/>
            <w:noProof/>
          </w:rPr>
          <w:t>MARATHON PETROLEUM v. COHEN, 599 F.3d 1255 (11th Cir. 2010)</w:t>
        </w:r>
        <w:r w:rsidR="00F758D4">
          <w:rPr>
            <w:noProof/>
            <w:webHidden/>
          </w:rPr>
          <w:tab/>
        </w:r>
        <w:r w:rsidR="00F758D4">
          <w:rPr>
            <w:noProof/>
            <w:webHidden/>
          </w:rPr>
          <w:fldChar w:fldCharType="begin"/>
        </w:r>
        <w:r w:rsidR="00F758D4">
          <w:rPr>
            <w:noProof/>
            <w:webHidden/>
          </w:rPr>
          <w:instrText xml:space="preserve"> PAGEREF _Toc90983649 \h </w:instrText>
        </w:r>
        <w:r w:rsidR="00F758D4">
          <w:rPr>
            <w:noProof/>
            <w:webHidden/>
          </w:rPr>
        </w:r>
        <w:r w:rsidR="00F758D4">
          <w:rPr>
            <w:noProof/>
            <w:webHidden/>
          </w:rPr>
          <w:fldChar w:fldCharType="separate"/>
        </w:r>
        <w:r w:rsidR="00F758D4">
          <w:rPr>
            <w:noProof/>
            <w:webHidden/>
          </w:rPr>
          <w:t>153</w:t>
        </w:r>
        <w:r w:rsidR="00F758D4">
          <w:rPr>
            <w:noProof/>
            <w:webHidden/>
          </w:rPr>
          <w:fldChar w:fldCharType="end"/>
        </w:r>
      </w:hyperlink>
    </w:p>
    <w:p w14:paraId="00DBB89E" w14:textId="78B5AEB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50" w:history="1">
        <w:r w:rsidR="00F758D4" w:rsidRPr="00C24B66">
          <w:rPr>
            <w:rStyle w:val="Hyperlink"/>
            <w:noProof/>
          </w:rPr>
          <w:t>7.8.</w:t>
        </w:r>
        <w:r w:rsidR="00F758D4">
          <w:rPr>
            <w:rFonts w:asciiTheme="minorHAnsi" w:eastAsiaTheme="minorEastAsia" w:hAnsiTheme="minorHAnsi" w:cstheme="minorBidi"/>
            <w:iCs w:val="0"/>
            <w:noProof/>
            <w:color w:val="auto"/>
            <w:sz w:val="22"/>
            <w:szCs w:val="22"/>
          </w:rPr>
          <w:tab/>
        </w:r>
        <w:r w:rsidR="00F758D4" w:rsidRPr="00C24B66">
          <w:rPr>
            <w:rStyle w:val="Hyperlink"/>
            <w:noProof/>
          </w:rPr>
          <w:t>Post-Bankruptcy Financing</w:t>
        </w:r>
        <w:r w:rsidR="00F758D4">
          <w:rPr>
            <w:noProof/>
            <w:webHidden/>
          </w:rPr>
          <w:tab/>
        </w:r>
        <w:r w:rsidR="00F758D4">
          <w:rPr>
            <w:noProof/>
            <w:webHidden/>
          </w:rPr>
          <w:fldChar w:fldCharType="begin"/>
        </w:r>
        <w:r w:rsidR="00F758D4">
          <w:rPr>
            <w:noProof/>
            <w:webHidden/>
          </w:rPr>
          <w:instrText xml:space="preserve"> PAGEREF _Toc90983650 \h </w:instrText>
        </w:r>
        <w:r w:rsidR="00F758D4">
          <w:rPr>
            <w:noProof/>
            <w:webHidden/>
          </w:rPr>
        </w:r>
        <w:r w:rsidR="00F758D4">
          <w:rPr>
            <w:noProof/>
            <w:webHidden/>
          </w:rPr>
          <w:fldChar w:fldCharType="separate"/>
        </w:r>
        <w:r w:rsidR="00F758D4">
          <w:rPr>
            <w:noProof/>
            <w:webHidden/>
          </w:rPr>
          <w:t>156</w:t>
        </w:r>
        <w:r w:rsidR="00F758D4">
          <w:rPr>
            <w:noProof/>
            <w:webHidden/>
          </w:rPr>
          <w:fldChar w:fldCharType="end"/>
        </w:r>
      </w:hyperlink>
    </w:p>
    <w:p w14:paraId="08463522" w14:textId="0222C5F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51" w:history="1">
        <w:r w:rsidR="00F758D4" w:rsidRPr="00C24B66">
          <w:rPr>
            <w:rStyle w:val="Hyperlink"/>
            <w:noProof/>
          </w:rPr>
          <w:t>7.9.</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Post Petition Financing</w:t>
        </w:r>
        <w:r w:rsidR="00F758D4">
          <w:rPr>
            <w:noProof/>
            <w:webHidden/>
          </w:rPr>
          <w:tab/>
        </w:r>
        <w:r w:rsidR="00F758D4">
          <w:rPr>
            <w:noProof/>
            <w:webHidden/>
          </w:rPr>
          <w:fldChar w:fldCharType="begin"/>
        </w:r>
        <w:r w:rsidR="00F758D4">
          <w:rPr>
            <w:noProof/>
            <w:webHidden/>
          </w:rPr>
          <w:instrText xml:space="preserve"> PAGEREF _Toc90983651 \h </w:instrText>
        </w:r>
        <w:r w:rsidR="00F758D4">
          <w:rPr>
            <w:noProof/>
            <w:webHidden/>
          </w:rPr>
        </w:r>
        <w:r w:rsidR="00F758D4">
          <w:rPr>
            <w:noProof/>
            <w:webHidden/>
          </w:rPr>
          <w:fldChar w:fldCharType="separate"/>
        </w:r>
        <w:r w:rsidR="00F758D4">
          <w:rPr>
            <w:noProof/>
            <w:webHidden/>
          </w:rPr>
          <w:t>158</w:t>
        </w:r>
        <w:r w:rsidR="00F758D4">
          <w:rPr>
            <w:noProof/>
            <w:webHidden/>
          </w:rPr>
          <w:fldChar w:fldCharType="end"/>
        </w:r>
      </w:hyperlink>
    </w:p>
    <w:p w14:paraId="08710185" w14:textId="6817175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52" w:history="1">
        <w:r w:rsidR="00F758D4" w:rsidRPr="00C24B66">
          <w:rPr>
            <w:rStyle w:val="Hyperlink"/>
            <w:noProof/>
          </w:rPr>
          <w:t>7.10.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Post Petition Financing</w:t>
        </w:r>
        <w:r w:rsidR="00F758D4">
          <w:rPr>
            <w:noProof/>
            <w:webHidden/>
          </w:rPr>
          <w:tab/>
        </w:r>
        <w:r w:rsidR="00F758D4">
          <w:rPr>
            <w:noProof/>
            <w:webHidden/>
          </w:rPr>
          <w:fldChar w:fldCharType="begin"/>
        </w:r>
        <w:r w:rsidR="00F758D4">
          <w:rPr>
            <w:noProof/>
            <w:webHidden/>
          </w:rPr>
          <w:instrText xml:space="preserve"> PAGEREF _Toc90983652 \h </w:instrText>
        </w:r>
        <w:r w:rsidR="00F758D4">
          <w:rPr>
            <w:noProof/>
            <w:webHidden/>
          </w:rPr>
        </w:r>
        <w:r w:rsidR="00F758D4">
          <w:rPr>
            <w:noProof/>
            <w:webHidden/>
          </w:rPr>
          <w:fldChar w:fldCharType="separate"/>
        </w:r>
        <w:r w:rsidR="00F758D4">
          <w:rPr>
            <w:noProof/>
            <w:webHidden/>
          </w:rPr>
          <w:t>159</w:t>
        </w:r>
        <w:r w:rsidR="00F758D4">
          <w:rPr>
            <w:noProof/>
            <w:webHidden/>
          </w:rPr>
          <w:fldChar w:fldCharType="end"/>
        </w:r>
      </w:hyperlink>
    </w:p>
    <w:p w14:paraId="7253F1B7" w14:textId="2DC2B46A"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53" w:history="1">
        <w:r w:rsidR="00F758D4" w:rsidRPr="00C24B66">
          <w:rPr>
            <w:rStyle w:val="Hyperlink"/>
            <w:noProof/>
          </w:rPr>
          <w:t>7.10.1.</w:t>
        </w:r>
        <w:r w:rsidR="00F758D4">
          <w:rPr>
            <w:rFonts w:asciiTheme="minorHAnsi" w:eastAsiaTheme="minorEastAsia" w:hAnsiTheme="minorHAnsi" w:cstheme="minorBidi"/>
            <w:noProof/>
            <w:color w:val="auto"/>
            <w:sz w:val="22"/>
            <w:szCs w:val="22"/>
          </w:rPr>
          <w:tab/>
        </w:r>
        <w:r w:rsidR="00F758D4" w:rsidRPr="00C24B66">
          <w:rPr>
            <w:rStyle w:val="Hyperlink"/>
            <w:noProof/>
          </w:rPr>
          <w:t>IN RE SAYBROOK MANUFACTURING CO., INC., 963 F.2d 1490 (11th Cir. 1992)</w:t>
        </w:r>
        <w:r w:rsidR="00F758D4">
          <w:rPr>
            <w:noProof/>
            <w:webHidden/>
          </w:rPr>
          <w:tab/>
        </w:r>
        <w:r w:rsidR="00F758D4">
          <w:rPr>
            <w:noProof/>
            <w:webHidden/>
          </w:rPr>
          <w:fldChar w:fldCharType="begin"/>
        </w:r>
        <w:r w:rsidR="00F758D4">
          <w:rPr>
            <w:noProof/>
            <w:webHidden/>
          </w:rPr>
          <w:instrText xml:space="preserve"> PAGEREF _Toc90983653 \h </w:instrText>
        </w:r>
        <w:r w:rsidR="00F758D4">
          <w:rPr>
            <w:noProof/>
            <w:webHidden/>
          </w:rPr>
        </w:r>
        <w:r w:rsidR="00F758D4">
          <w:rPr>
            <w:noProof/>
            <w:webHidden/>
          </w:rPr>
          <w:fldChar w:fldCharType="separate"/>
        </w:r>
        <w:r w:rsidR="00F758D4">
          <w:rPr>
            <w:noProof/>
            <w:webHidden/>
          </w:rPr>
          <w:t>159</w:t>
        </w:r>
        <w:r w:rsidR="00F758D4">
          <w:rPr>
            <w:noProof/>
            <w:webHidden/>
          </w:rPr>
          <w:fldChar w:fldCharType="end"/>
        </w:r>
      </w:hyperlink>
    </w:p>
    <w:p w14:paraId="196CE9FD" w14:textId="1CC42D1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54" w:history="1">
        <w:r w:rsidR="00F758D4" w:rsidRPr="00C24B66">
          <w:rPr>
            <w:rStyle w:val="Hyperlink"/>
            <w:noProof/>
          </w:rPr>
          <w:t>7.10.2.</w:t>
        </w:r>
        <w:r w:rsidR="00F758D4">
          <w:rPr>
            <w:rFonts w:asciiTheme="minorHAnsi" w:eastAsiaTheme="minorEastAsia" w:hAnsiTheme="minorHAnsi" w:cstheme="minorBidi"/>
            <w:noProof/>
            <w:color w:val="auto"/>
            <w:sz w:val="22"/>
            <w:szCs w:val="22"/>
          </w:rPr>
          <w:tab/>
        </w:r>
        <w:r w:rsidR="00F758D4" w:rsidRPr="00C24B66">
          <w:rPr>
            <w:rStyle w:val="Hyperlink"/>
            <w:noProof/>
          </w:rPr>
          <w:t>READING v. BROWN, 391 U.S. 471 (1968)</w:t>
        </w:r>
        <w:r w:rsidR="00F758D4">
          <w:rPr>
            <w:noProof/>
            <w:webHidden/>
          </w:rPr>
          <w:tab/>
        </w:r>
        <w:r w:rsidR="00F758D4">
          <w:rPr>
            <w:noProof/>
            <w:webHidden/>
          </w:rPr>
          <w:fldChar w:fldCharType="begin"/>
        </w:r>
        <w:r w:rsidR="00F758D4">
          <w:rPr>
            <w:noProof/>
            <w:webHidden/>
          </w:rPr>
          <w:instrText xml:space="preserve"> PAGEREF _Toc90983654 \h </w:instrText>
        </w:r>
        <w:r w:rsidR="00F758D4">
          <w:rPr>
            <w:noProof/>
            <w:webHidden/>
          </w:rPr>
        </w:r>
        <w:r w:rsidR="00F758D4">
          <w:rPr>
            <w:noProof/>
            <w:webHidden/>
          </w:rPr>
          <w:fldChar w:fldCharType="separate"/>
        </w:r>
        <w:r w:rsidR="00F758D4">
          <w:rPr>
            <w:noProof/>
            <w:webHidden/>
          </w:rPr>
          <w:t>162</w:t>
        </w:r>
        <w:r w:rsidR="00F758D4">
          <w:rPr>
            <w:noProof/>
            <w:webHidden/>
          </w:rPr>
          <w:fldChar w:fldCharType="end"/>
        </w:r>
      </w:hyperlink>
    </w:p>
    <w:p w14:paraId="02594B62" w14:textId="3D3ED98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55" w:history="1">
        <w:r w:rsidR="00F758D4" w:rsidRPr="00C24B66">
          <w:rPr>
            <w:rStyle w:val="Hyperlink"/>
            <w:noProof/>
          </w:rPr>
          <w:t>7.10.3.</w:t>
        </w:r>
        <w:r w:rsidR="00F758D4">
          <w:rPr>
            <w:rFonts w:asciiTheme="minorHAnsi" w:eastAsiaTheme="minorEastAsia" w:hAnsiTheme="minorHAnsi" w:cstheme="minorBidi"/>
            <w:noProof/>
            <w:color w:val="auto"/>
            <w:sz w:val="22"/>
            <w:szCs w:val="22"/>
          </w:rPr>
          <w:tab/>
        </w:r>
        <w:r w:rsidR="00F758D4" w:rsidRPr="00C24B66">
          <w:rPr>
            <w:rStyle w:val="Hyperlink"/>
            <w:noProof/>
          </w:rPr>
          <w:t>IN RE RESOURCES TECHNOLOGY CORP., 662 F.3d 472, 474 (7th Cir. 2011)</w:t>
        </w:r>
        <w:r w:rsidR="00F758D4">
          <w:rPr>
            <w:noProof/>
            <w:webHidden/>
          </w:rPr>
          <w:tab/>
        </w:r>
        <w:r w:rsidR="00F758D4">
          <w:rPr>
            <w:noProof/>
            <w:webHidden/>
          </w:rPr>
          <w:fldChar w:fldCharType="begin"/>
        </w:r>
        <w:r w:rsidR="00F758D4">
          <w:rPr>
            <w:noProof/>
            <w:webHidden/>
          </w:rPr>
          <w:instrText xml:space="preserve"> PAGEREF _Toc90983655 \h </w:instrText>
        </w:r>
        <w:r w:rsidR="00F758D4">
          <w:rPr>
            <w:noProof/>
            <w:webHidden/>
          </w:rPr>
        </w:r>
        <w:r w:rsidR="00F758D4">
          <w:rPr>
            <w:noProof/>
            <w:webHidden/>
          </w:rPr>
          <w:fldChar w:fldCharType="separate"/>
        </w:r>
        <w:r w:rsidR="00F758D4">
          <w:rPr>
            <w:noProof/>
            <w:webHidden/>
          </w:rPr>
          <w:t>164</w:t>
        </w:r>
        <w:r w:rsidR="00F758D4">
          <w:rPr>
            <w:noProof/>
            <w:webHidden/>
          </w:rPr>
          <w:fldChar w:fldCharType="end"/>
        </w:r>
      </w:hyperlink>
    </w:p>
    <w:p w14:paraId="36AD921E" w14:textId="74E7270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56" w:history="1">
        <w:r w:rsidR="00F758D4" w:rsidRPr="00C24B66">
          <w:rPr>
            <w:rStyle w:val="Hyperlink"/>
            <w:noProof/>
          </w:rPr>
          <w:t>7.11.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Executory Contracts and Unexpired Leases – Assumption and Rejection</w:t>
        </w:r>
        <w:r w:rsidR="00F758D4">
          <w:rPr>
            <w:noProof/>
            <w:webHidden/>
          </w:rPr>
          <w:tab/>
        </w:r>
        <w:r w:rsidR="00F758D4">
          <w:rPr>
            <w:noProof/>
            <w:webHidden/>
          </w:rPr>
          <w:fldChar w:fldCharType="begin"/>
        </w:r>
        <w:r w:rsidR="00F758D4">
          <w:rPr>
            <w:noProof/>
            <w:webHidden/>
          </w:rPr>
          <w:instrText xml:space="preserve"> PAGEREF _Toc90983656 \h </w:instrText>
        </w:r>
        <w:r w:rsidR="00F758D4">
          <w:rPr>
            <w:noProof/>
            <w:webHidden/>
          </w:rPr>
        </w:r>
        <w:r w:rsidR="00F758D4">
          <w:rPr>
            <w:noProof/>
            <w:webHidden/>
          </w:rPr>
          <w:fldChar w:fldCharType="separate"/>
        </w:r>
        <w:r w:rsidR="00F758D4">
          <w:rPr>
            <w:noProof/>
            <w:webHidden/>
          </w:rPr>
          <w:t>166</w:t>
        </w:r>
        <w:r w:rsidR="00F758D4">
          <w:rPr>
            <w:noProof/>
            <w:webHidden/>
          </w:rPr>
          <w:fldChar w:fldCharType="end"/>
        </w:r>
      </w:hyperlink>
    </w:p>
    <w:p w14:paraId="3BCB667D" w14:textId="09631BD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57" w:history="1">
        <w:r w:rsidR="00F758D4" w:rsidRPr="00C24B66">
          <w:rPr>
            <w:rStyle w:val="Hyperlink"/>
            <w:noProof/>
          </w:rPr>
          <w:t>7.12.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What is an Executory Contract?</w:t>
        </w:r>
        <w:r w:rsidR="00F758D4">
          <w:rPr>
            <w:noProof/>
            <w:webHidden/>
          </w:rPr>
          <w:tab/>
        </w:r>
        <w:r w:rsidR="00F758D4">
          <w:rPr>
            <w:noProof/>
            <w:webHidden/>
          </w:rPr>
          <w:fldChar w:fldCharType="begin"/>
        </w:r>
        <w:r w:rsidR="00F758D4">
          <w:rPr>
            <w:noProof/>
            <w:webHidden/>
          </w:rPr>
          <w:instrText xml:space="preserve"> PAGEREF _Toc90983657 \h </w:instrText>
        </w:r>
        <w:r w:rsidR="00F758D4">
          <w:rPr>
            <w:noProof/>
            <w:webHidden/>
          </w:rPr>
        </w:r>
        <w:r w:rsidR="00F758D4">
          <w:rPr>
            <w:noProof/>
            <w:webHidden/>
          </w:rPr>
          <w:fldChar w:fldCharType="separate"/>
        </w:r>
        <w:r w:rsidR="00F758D4">
          <w:rPr>
            <w:noProof/>
            <w:webHidden/>
          </w:rPr>
          <w:t>168</w:t>
        </w:r>
        <w:r w:rsidR="00F758D4">
          <w:rPr>
            <w:noProof/>
            <w:webHidden/>
          </w:rPr>
          <w:fldChar w:fldCharType="end"/>
        </w:r>
      </w:hyperlink>
    </w:p>
    <w:p w14:paraId="05278EDF" w14:textId="2084EFC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58" w:history="1">
        <w:r w:rsidR="00F758D4" w:rsidRPr="00C24B66">
          <w:rPr>
            <w:rStyle w:val="Hyperlink"/>
            <w:noProof/>
          </w:rPr>
          <w:t>7.12.1.</w:t>
        </w:r>
        <w:r w:rsidR="00F758D4">
          <w:rPr>
            <w:rFonts w:asciiTheme="minorHAnsi" w:eastAsiaTheme="minorEastAsia" w:hAnsiTheme="minorHAnsi" w:cstheme="minorBidi"/>
            <w:noProof/>
            <w:color w:val="auto"/>
            <w:sz w:val="22"/>
            <w:szCs w:val="22"/>
          </w:rPr>
          <w:tab/>
        </w:r>
        <w:r w:rsidR="00F758D4" w:rsidRPr="00C24B66">
          <w:rPr>
            <w:rStyle w:val="Hyperlink"/>
            <w:noProof/>
          </w:rPr>
          <w:t>IN RE EXIDE TECHNOLOGIES, 607 F.3d 957 (3d Cir. 2010)</w:t>
        </w:r>
        <w:r w:rsidR="00F758D4">
          <w:rPr>
            <w:noProof/>
            <w:webHidden/>
          </w:rPr>
          <w:tab/>
        </w:r>
        <w:r w:rsidR="00F758D4">
          <w:rPr>
            <w:noProof/>
            <w:webHidden/>
          </w:rPr>
          <w:fldChar w:fldCharType="begin"/>
        </w:r>
        <w:r w:rsidR="00F758D4">
          <w:rPr>
            <w:noProof/>
            <w:webHidden/>
          </w:rPr>
          <w:instrText xml:space="preserve"> PAGEREF _Toc90983658 \h </w:instrText>
        </w:r>
        <w:r w:rsidR="00F758D4">
          <w:rPr>
            <w:noProof/>
            <w:webHidden/>
          </w:rPr>
        </w:r>
        <w:r w:rsidR="00F758D4">
          <w:rPr>
            <w:noProof/>
            <w:webHidden/>
          </w:rPr>
          <w:fldChar w:fldCharType="separate"/>
        </w:r>
        <w:r w:rsidR="00F758D4">
          <w:rPr>
            <w:noProof/>
            <w:webHidden/>
          </w:rPr>
          <w:t>168</w:t>
        </w:r>
        <w:r w:rsidR="00F758D4">
          <w:rPr>
            <w:noProof/>
            <w:webHidden/>
          </w:rPr>
          <w:fldChar w:fldCharType="end"/>
        </w:r>
      </w:hyperlink>
    </w:p>
    <w:p w14:paraId="59A0C319" w14:textId="6F3DDA6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59" w:history="1">
        <w:r w:rsidR="00F758D4" w:rsidRPr="00C24B66">
          <w:rPr>
            <w:rStyle w:val="Hyperlink"/>
            <w:noProof/>
          </w:rPr>
          <w:t>7.12.2.</w:t>
        </w:r>
        <w:r w:rsidR="00F758D4">
          <w:rPr>
            <w:rFonts w:asciiTheme="minorHAnsi" w:eastAsiaTheme="minorEastAsia" w:hAnsiTheme="minorHAnsi" w:cstheme="minorBidi"/>
            <w:noProof/>
            <w:color w:val="auto"/>
            <w:sz w:val="22"/>
            <w:szCs w:val="22"/>
          </w:rPr>
          <w:tab/>
        </w:r>
        <w:r w:rsidR="00F758D4" w:rsidRPr="00C24B66">
          <w:rPr>
            <w:rStyle w:val="Hyperlink"/>
            <w:noProof/>
          </w:rPr>
          <w:t>RIESER v. DAYTON COUNTRY CLUB CO., 972 F.2d 689 (6th Cir. 1992)</w:t>
        </w:r>
        <w:r w:rsidR="00F758D4">
          <w:rPr>
            <w:noProof/>
            <w:webHidden/>
          </w:rPr>
          <w:tab/>
        </w:r>
        <w:r w:rsidR="00F758D4">
          <w:rPr>
            <w:noProof/>
            <w:webHidden/>
          </w:rPr>
          <w:fldChar w:fldCharType="begin"/>
        </w:r>
        <w:r w:rsidR="00F758D4">
          <w:rPr>
            <w:noProof/>
            <w:webHidden/>
          </w:rPr>
          <w:instrText xml:space="preserve"> PAGEREF _Toc90983659 \h </w:instrText>
        </w:r>
        <w:r w:rsidR="00F758D4">
          <w:rPr>
            <w:noProof/>
            <w:webHidden/>
          </w:rPr>
        </w:r>
        <w:r w:rsidR="00F758D4">
          <w:rPr>
            <w:noProof/>
            <w:webHidden/>
          </w:rPr>
          <w:fldChar w:fldCharType="separate"/>
        </w:r>
        <w:r w:rsidR="00F758D4">
          <w:rPr>
            <w:noProof/>
            <w:webHidden/>
          </w:rPr>
          <w:t>171</w:t>
        </w:r>
        <w:r w:rsidR="00F758D4">
          <w:rPr>
            <w:noProof/>
            <w:webHidden/>
          </w:rPr>
          <w:fldChar w:fldCharType="end"/>
        </w:r>
      </w:hyperlink>
    </w:p>
    <w:p w14:paraId="076977DE" w14:textId="2EDFBF8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60" w:history="1">
        <w:r w:rsidR="00F758D4" w:rsidRPr="00C24B66">
          <w:rPr>
            <w:rStyle w:val="Hyperlink"/>
            <w:noProof/>
          </w:rPr>
          <w:t>7.13.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What is the Effect of Assumption or Rejection of Executory Contracts?</w:t>
        </w:r>
        <w:r w:rsidR="00F758D4">
          <w:rPr>
            <w:noProof/>
            <w:webHidden/>
          </w:rPr>
          <w:tab/>
        </w:r>
        <w:r w:rsidR="00F758D4">
          <w:rPr>
            <w:noProof/>
            <w:webHidden/>
          </w:rPr>
          <w:fldChar w:fldCharType="begin"/>
        </w:r>
        <w:r w:rsidR="00F758D4">
          <w:rPr>
            <w:noProof/>
            <w:webHidden/>
          </w:rPr>
          <w:instrText xml:space="preserve"> PAGEREF _Toc90983660 \h </w:instrText>
        </w:r>
        <w:r w:rsidR="00F758D4">
          <w:rPr>
            <w:noProof/>
            <w:webHidden/>
          </w:rPr>
        </w:r>
        <w:r w:rsidR="00F758D4">
          <w:rPr>
            <w:noProof/>
            <w:webHidden/>
          </w:rPr>
          <w:fldChar w:fldCharType="separate"/>
        </w:r>
        <w:r w:rsidR="00F758D4">
          <w:rPr>
            <w:noProof/>
            <w:webHidden/>
          </w:rPr>
          <w:t>176</w:t>
        </w:r>
        <w:r w:rsidR="00F758D4">
          <w:rPr>
            <w:noProof/>
            <w:webHidden/>
          </w:rPr>
          <w:fldChar w:fldCharType="end"/>
        </w:r>
      </w:hyperlink>
    </w:p>
    <w:p w14:paraId="742834B2" w14:textId="2415D7B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61" w:history="1">
        <w:r w:rsidR="00F758D4" w:rsidRPr="00C24B66">
          <w:rPr>
            <w:rStyle w:val="Hyperlink"/>
            <w:noProof/>
          </w:rPr>
          <w:t>7.13.1.</w:t>
        </w:r>
        <w:r w:rsidR="00F758D4">
          <w:rPr>
            <w:rFonts w:asciiTheme="minorHAnsi" w:eastAsiaTheme="minorEastAsia" w:hAnsiTheme="minorHAnsi" w:cstheme="minorBidi"/>
            <w:noProof/>
            <w:color w:val="auto"/>
            <w:sz w:val="22"/>
            <w:szCs w:val="22"/>
          </w:rPr>
          <w:tab/>
        </w:r>
        <w:r w:rsidR="00F758D4" w:rsidRPr="00C24B66">
          <w:rPr>
            <w:rStyle w:val="Hyperlink"/>
            <w:noProof/>
          </w:rPr>
          <w:t>MISSION PRODUCT HOLDINGS, INC., v. TEMPNOLOGY, LLC, 139 S.Ct. 1652 (2019)</w:t>
        </w:r>
        <w:r w:rsidR="00F758D4">
          <w:rPr>
            <w:noProof/>
            <w:webHidden/>
          </w:rPr>
          <w:tab/>
        </w:r>
        <w:r w:rsidR="00F758D4">
          <w:rPr>
            <w:noProof/>
            <w:webHidden/>
          </w:rPr>
          <w:fldChar w:fldCharType="begin"/>
        </w:r>
        <w:r w:rsidR="00F758D4">
          <w:rPr>
            <w:noProof/>
            <w:webHidden/>
          </w:rPr>
          <w:instrText xml:space="preserve"> PAGEREF _Toc90983661 \h </w:instrText>
        </w:r>
        <w:r w:rsidR="00F758D4">
          <w:rPr>
            <w:noProof/>
            <w:webHidden/>
          </w:rPr>
        </w:r>
        <w:r w:rsidR="00F758D4">
          <w:rPr>
            <w:noProof/>
            <w:webHidden/>
          </w:rPr>
          <w:fldChar w:fldCharType="separate"/>
        </w:r>
        <w:r w:rsidR="00F758D4">
          <w:rPr>
            <w:noProof/>
            <w:webHidden/>
          </w:rPr>
          <w:t>176</w:t>
        </w:r>
        <w:r w:rsidR="00F758D4">
          <w:rPr>
            <w:noProof/>
            <w:webHidden/>
          </w:rPr>
          <w:fldChar w:fldCharType="end"/>
        </w:r>
      </w:hyperlink>
    </w:p>
    <w:p w14:paraId="457A8195" w14:textId="69A7084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62" w:history="1">
        <w:r w:rsidR="00F758D4" w:rsidRPr="00C24B66">
          <w:rPr>
            <w:rStyle w:val="Hyperlink"/>
            <w:noProof/>
          </w:rPr>
          <w:t>7.13.2.</w:t>
        </w:r>
        <w:r w:rsidR="00F758D4">
          <w:rPr>
            <w:rFonts w:asciiTheme="minorHAnsi" w:eastAsiaTheme="minorEastAsia" w:hAnsiTheme="minorHAnsi" w:cstheme="minorBidi"/>
            <w:noProof/>
            <w:color w:val="auto"/>
            <w:sz w:val="22"/>
            <w:szCs w:val="22"/>
          </w:rPr>
          <w:tab/>
        </w:r>
        <w:r w:rsidR="00F758D4" w:rsidRPr="00C24B66">
          <w:rPr>
            <w:rStyle w:val="Hyperlink"/>
            <w:noProof/>
          </w:rPr>
          <w:t>IN RE GARDINIER, INC., 831 F.2d 974 (11th Cir. 1987)</w:t>
        </w:r>
        <w:r w:rsidR="00F758D4">
          <w:rPr>
            <w:noProof/>
            <w:webHidden/>
          </w:rPr>
          <w:tab/>
        </w:r>
        <w:r w:rsidR="00F758D4">
          <w:rPr>
            <w:noProof/>
            <w:webHidden/>
          </w:rPr>
          <w:fldChar w:fldCharType="begin"/>
        </w:r>
        <w:r w:rsidR="00F758D4">
          <w:rPr>
            <w:noProof/>
            <w:webHidden/>
          </w:rPr>
          <w:instrText xml:space="preserve"> PAGEREF _Toc90983662 \h </w:instrText>
        </w:r>
        <w:r w:rsidR="00F758D4">
          <w:rPr>
            <w:noProof/>
            <w:webHidden/>
          </w:rPr>
        </w:r>
        <w:r w:rsidR="00F758D4">
          <w:rPr>
            <w:noProof/>
            <w:webHidden/>
          </w:rPr>
          <w:fldChar w:fldCharType="separate"/>
        </w:r>
        <w:r w:rsidR="00F758D4">
          <w:rPr>
            <w:noProof/>
            <w:webHidden/>
          </w:rPr>
          <w:t>182</w:t>
        </w:r>
        <w:r w:rsidR="00F758D4">
          <w:rPr>
            <w:noProof/>
            <w:webHidden/>
          </w:rPr>
          <w:fldChar w:fldCharType="end"/>
        </w:r>
      </w:hyperlink>
    </w:p>
    <w:p w14:paraId="07CA00C8" w14:textId="5EB5AA4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63" w:history="1">
        <w:r w:rsidR="00F758D4" w:rsidRPr="00C24B66">
          <w:rPr>
            <w:rStyle w:val="Hyperlink"/>
            <w:noProof/>
          </w:rPr>
          <w:t>7.14.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Can Contracts that are Not Assignable Under State Law Be Assigned in Bankruptcy?</w:t>
        </w:r>
        <w:r w:rsidR="00F758D4">
          <w:rPr>
            <w:noProof/>
            <w:webHidden/>
          </w:rPr>
          <w:tab/>
        </w:r>
        <w:r w:rsidR="00F758D4">
          <w:rPr>
            <w:noProof/>
            <w:webHidden/>
          </w:rPr>
          <w:fldChar w:fldCharType="begin"/>
        </w:r>
        <w:r w:rsidR="00F758D4">
          <w:rPr>
            <w:noProof/>
            <w:webHidden/>
          </w:rPr>
          <w:instrText xml:space="preserve"> PAGEREF _Toc90983663 \h </w:instrText>
        </w:r>
        <w:r w:rsidR="00F758D4">
          <w:rPr>
            <w:noProof/>
            <w:webHidden/>
          </w:rPr>
        </w:r>
        <w:r w:rsidR="00F758D4">
          <w:rPr>
            <w:noProof/>
            <w:webHidden/>
          </w:rPr>
          <w:fldChar w:fldCharType="separate"/>
        </w:r>
        <w:r w:rsidR="00F758D4">
          <w:rPr>
            <w:noProof/>
            <w:webHidden/>
          </w:rPr>
          <w:t>184</w:t>
        </w:r>
        <w:r w:rsidR="00F758D4">
          <w:rPr>
            <w:noProof/>
            <w:webHidden/>
          </w:rPr>
          <w:fldChar w:fldCharType="end"/>
        </w:r>
      </w:hyperlink>
    </w:p>
    <w:p w14:paraId="6B8CAF5A" w14:textId="2733C5C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64" w:history="1">
        <w:r w:rsidR="00F758D4" w:rsidRPr="00C24B66">
          <w:rPr>
            <w:rStyle w:val="Hyperlink"/>
            <w:noProof/>
          </w:rPr>
          <w:t>7.14.1.</w:t>
        </w:r>
        <w:r w:rsidR="00F758D4">
          <w:rPr>
            <w:rFonts w:asciiTheme="minorHAnsi" w:eastAsiaTheme="minorEastAsia" w:hAnsiTheme="minorHAnsi" w:cstheme="minorBidi"/>
            <w:noProof/>
            <w:color w:val="auto"/>
            <w:sz w:val="22"/>
            <w:szCs w:val="22"/>
          </w:rPr>
          <w:tab/>
        </w:r>
        <w:r w:rsidR="00F758D4" w:rsidRPr="00C24B66">
          <w:rPr>
            <w:rStyle w:val="Hyperlink"/>
            <w:noProof/>
          </w:rPr>
          <w:t>IN RE JAMESWAY CORPORATION, 201 B.R. 73 (Bankr. S.D.N.Y. 1996)</w:t>
        </w:r>
        <w:r w:rsidR="00F758D4">
          <w:rPr>
            <w:noProof/>
            <w:webHidden/>
          </w:rPr>
          <w:tab/>
        </w:r>
        <w:r w:rsidR="00F758D4">
          <w:rPr>
            <w:noProof/>
            <w:webHidden/>
          </w:rPr>
          <w:fldChar w:fldCharType="begin"/>
        </w:r>
        <w:r w:rsidR="00F758D4">
          <w:rPr>
            <w:noProof/>
            <w:webHidden/>
          </w:rPr>
          <w:instrText xml:space="preserve"> PAGEREF _Toc90983664 \h </w:instrText>
        </w:r>
        <w:r w:rsidR="00F758D4">
          <w:rPr>
            <w:noProof/>
            <w:webHidden/>
          </w:rPr>
        </w:r>
        <w:r w:rsidR="00F758D4">
          <w:rPr>
            <w:noProof/>
            <w:webHidden/>
          </w:rPr>
          <w:fldChar w:fldCharType="separate"/>
        </w:r>
        <w:r w:rsidR="00F758D4">
          <w:rPr>
            <w:noProof/>
            <w:webHidden/>
          </w:rPr>
          <w:t>184</w:t>
        </w:r>
        <w:r w:rsidR="00F758D4">
          <w:rPr>
            <w:noProof/>
            <w:webHidden/>
          </w:rPr>
          <w:fldChar w:fldCharType="end"/>
        </w:r>
      </w:hyperlink>
    </w:p>
    <w:p w14:paraId="0F300077" w14:textId="1EB4A26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65" w:history="1">
        <w:r w:rsidR="00F758D4" w:rsidRPr="00C24B66">
          <w:rPr>
            <w:rStyle w:val="Hyperlink"/>
            <w:noProof/>
          </w:rPr>
          <w:t>7.15.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Obligation to Perform Executory Contracts</w:t>
        </w:r>
        <w:r w:rsidR="00F758D4">
          <w:rPr>
            <w:noProof/>
            <w:webHidden/>
          </w:rPr>
          <w:tab/>
        </w:r>
        <w:r w:rsidR="00F758D4">
          <w:rPr>
            <w:noProof/>
            <w:webHidden/>
          </w:rPr>
          <w:fldChar w:fldCharType="begin"/>
        </w:r>
        <w:r w:rsidR="00F758D4">
          <w:rPr>
            <w:noProof/>
            <w:webHidden/>
          </w:rPr>
          <w:instrText xml:space="preserve"> PAGEREF _Toc90983665 \h </w:instrText>
        </w:r>
        <w:r w:rsidR="00F758D4">
          <w:rPr>
            <w:noProof/>
            <w:webHidden/>
          </w:rPr>
        </w:r>
        <w:r w:rsidR="00F758D4">
          <w:rPr>
            <w:noProof/>
            <w:webHidden/>
          </w:rPr>
          <w:fldChar w:fldCharType="separate"/>
        </w:r>
        <w:r w:rsidR="00F758D4">
          <w:rPr>
            <w:noProof/>
            <w:webHidden/>
          </w:rPr>
          <w:t>185</w:t>
        </w:r>
        <w:r w:rsidR="00F758D4">
          <w:rPr>
            <w:noProof/>
            <w:webHidden/>
          </w:rPr>
          <w:fldChar w:fldCharType="end"/>
        </w:r>
      </w:hyperlink>
    </w:p>
    <w:p w14:paraId="3F8E96F1" w14:textId="29C7D15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66" w:history="1">
        <w:r w:rsidR="00F758D4" w:rsidRPr="00C24B66">
          <w:rPr>
            <w:rStyle w:val="Hyperlink"/>
            <w:noProof/>
          </w:rPr>
          <w:t>7.15.1.</w:t>
        </w:r>
        <w:r w:rsidR="00F758D4">
          <w:rPr>
            <w:rFonts w:asciiTheme="minorHAnsi" w:eastAsiaTheme="minorEastAsia" w:hAnsiTheme="minorHAnsi" w:cstheme="minorBidi"/>
            <w:noProof/>
            <w:color w:val="auto"/>
            <w:sz w:val="22"/>
            <w:szCs w:val="22"/>
          </w:rPr>
          <w:tab/>
        </w:r>
        <w:r w:rsidR="00F758D4" w:rsidRPr="00C24B66">
          <w:rPr>
            <w:rStyle w:val="Hyperlink"/>
            <w:noProof/>
          </w:rPr>
          <w:t>IN RE COMPUTER COMMUNICATIONS, INC., 824 F.2d 725 (9th Cir. 1987)</w:t>
        </w:r>
        <w:r w:rsidR="00F758D4">
          <w:rPr>
            <w:noProof/>
            <w:webHidden/>
          </w:rPr>
          <w:tab/>
        </w:r>
        <w:r w:rsidR="00F758D4">
          <w:rPr>
            <w:noProof/>
            <w:webHidden/>
          </w:rPr>
          <w:fldChar w:fldCharType="begin"/>
        </w:r>
        <w:r w:rsidR="00F758D4">
          <w:rPr>
            <w:noProof/>
            <w:webHidden/>
          </w:rPr>
          <w:instrText xml:space="preserve"> PAGEREF _Toc90983666 \h </w:instrText>
        </w:r>
        <w:r w:rsidR="00F758D4">
          <w:rPr>
            <w:noProof/>
            <w:webHidden/>
          </w:rPr>
        </w:r>
        <w:r w:rsidR="00F758D4">
          <w:rPr>
            <w:noProof/>
            <w:webHidden/>
          </w:rPr>
          <w:fldChar w:fldCharType="separate"/>
        </w:r>
        <w:r w:rsidR="00F758D4">
          <w:rPr>
            <w:noProof/>
            <w:webHidden/>
          </w:rPr>
          <w:t>185</w:t>
        </w:r>
        <w:r w:rsidR="00F758D4">
          <w:rPr>
            <w:noProof/>
            <w:webHidden/>
          </w:rPr>
          <w:fldChar w:fldCharType="end"/>
        </w:r>
      </w:hyperlink>
    </w:p>
    <w:p w14:paraId="5C4180DA" w14:textId="6AAB5C6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67" w:history="1">
        <w:r w:rsidR="00F758D4" w:rsidRPr="00C24B66">
          <w:rPr>
            <w:rStyle w:val="Hyperlink"/>
            <w:noProof/>
          </w:rPr>
          <w:t>7.16.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Executory Contracts – Assumption and Rejection</w:t>
        </w:r>
        <w:r w:rsidR="00F758D4">
          <w:rPr>
            <w:noProof/>
            <w:webHidden/>
          </w:rPr>
          <w:tab/>
        </w:r>
        <w:r w:rsidR="00F758D4">
          <w:rPr>
            <w:noProof/>
            <w:webHidden/>
          </w:rPr>
          <w:fldChar w:fldCharType="begin"/>
        </w:r>
        <w:r w:rsidR="00F758D4">
          <w:rPr>
            <w:noProof/>
            <w:webHidden/>
          </w:rPr>
          <w:instrText xml:space="preserve"> PAGEREF _Toc90983667 \h </w:instrText>
        </w:r>
        <w:r w:rsidR="00F758D4">
          <w:rPr>
            <w:noProof/>
            <w:webHidden/>
          </w:rPr>
        </w:r>
        <w:r w:rsidR="00F758D4">
          <w:rPr>
            <w:noProof/>
            <w:webHidden/>
          </w:rPr>
          <w:fldChar w:fldCharType="separate"/>
        </w:r>
        <w:r w:rsidR="00F758D4">
          <w:rPr>
            <w:noProof/>
            <w:webHidden/>
          </w:rPr>
          <w:t>187</w:t>
        </w:r>
        <w:r w:rsidR="00F758D4">
          <w:rPr>
            <w:noProof/>
            <w:webHidden/>
          </w:rPr>
          <w:fldChar w:fldCharType="end"/>
        </w:r>
      </w:hyperlink>
    </w:p>
    <w:p w14:paraId="57F91B36" w14:textId="468BC1FD"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668" w:history="1">
        <w:r w:rsidR="00F758D4" w:rsidRPr="00C24B66">
          <w:rPr>
            <w:rStyle w:val="Hyperlink"/>
            <w:noProof/>
          </w:rPr>
          <w:t>Chapter 8.</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Enhancing the Estate</w:t>
        </w:r>
        <w:r w:rsidR="00F758D4">
          <w:rPr>
            <w:noProof/>
            <w:webHidden/>
          </w:rPr>
          <w:tab/>
        </w:r>
        <w:r w:rsidR="00F758D4">
          <w:rPr>
            <w:noProof/>
            <w:webHidden/>
          </w:rPr>
          <w:fldChar w:fldCharType="begin"/>
        </w:r>
        <w:r w:rsidR="00F758D4">
          <w:rPr>
            <w:noProof/>
            <w:webHidden/>
          </w:rPr>
          <w:instrText xml:space="preserve"> PAGEREF _Toc90983668 \h </w:instrText>
        </w:r>
        <w:r w:rsidR="00F758D4">
          <w:rPr>
            <w:noProof/>
            <w:webHidden/>
          </w:rPr>
        </w:r>
        <w:r w:rsidR="00F758D4">
          <w:rPr>
            <w:noProof/>
            <w:webHidden/>
          </w:rPr>
          <w:fldChar w:fldCharType="separate"/>
        </w:r>
        <w:r w:rsidR="00F758D4">
          <w:rPr>
            <w:noProof/>
            <w:webHidden/>
          </w:rPr>
          <w:t>190</w:t>
        </w:r>
        <w:r w:rsidR="00F758D4">
          <w:rPr>
            <w:noProof/>
            <w:webHidden/>
          </w:rPr>
          <w:fldChar w:fldCharType="end"/>
        </w:r>
      </w:hyperlink>
    </w:p>
    <w:p w14:paraId="0A95D5AA" w14:textId="2C07002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69" w:history="1">
        <w:r w:rsidR="00F758D4" w:rsidRPr="00C24B66">
          <w:rPr>
            <w:rStyle w:val="Hyperlink"/>
            <w:noProof/>
          </w:rPr>
          <w:t>8.1.</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Standing to Assert Claims Belonging to Creditors</w:t>
        </w:r>
        <w:r w:rsidR="00F758D4">
          <w:rPr>
            <w:noProof/>
            <w:webHidden/>
          </w:rPr>
          <w:tab/>
        </w:r>
        <w:r w:rsidR="00F758D4">
          <w:rPr>
            <w:noProof/>
            <w:webHidden/>
          </w:rPr>
          <w:fldChar w:fldCharType="begin"/>
        </w:r>
        <w:r w:rsidR="00F758D4">
          <w:rPr>
            <w:noProof/>
            <w:webHidden/>
          </w:rPr>
          <w:instrText xml:space="preserve"> PAGEREF _Toc90983669 \h </w:instrText>
        </w:r>
        <w:r w:rsidR="00F758D4">
          <w:rPr>
            <w:noProof/>
            <w:webHidden/>
          </w:rPr>
        </w:r>
        <w:r w:rsidR="00F758D4">
          <w:rPr>
            <w:noProof/>
            <w:webHidden/>
          </w:rPr>
          <w:fldChar w:fldCharType="separate"/>
        </w:r>
        <w:r w:rsidR="00F758D4">
          <w:rPr>
            <w:noProof/>
            <w:webHidden/>
          </w:rPr>
          <w:t>190</w:t>
        </w:r>
        <w:r w:rsidR="00F758D4">
          <w:rPr>
            <w:noProof/>
            <w:webHidden/>
          </w:rPr>
          <w:fldChar w:fldCharType="end"/>
        </w:r>
      </w:hyperlink>
    </w:p>
    <w:p w14:paraId="31329594" w14:textId="5AE24BD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70" w:history="1">
        <w:r w:rsidR="00F758D4" w:rsidRPr="00C24B66">
          <w:rPr>
            <w:rStyle w:val="Hyperlink"/>
            <w:noProof/>
          </w:rPr>
          <w:t>8.1.1.</w:t>
        </w:r>
        <w:r w:rsidR="00F758D4">
          <w:rPr>
            <w:rFonts w:asciiTheme="minorHAnsi" w:eastAsiaTheme="minorEastAsia" w:hAnsiTheme="minorHAnsi" w:cstheme="minorBidi"/>
            <w:noProof/>
            <w:color w:val="auto"/>
            <w:sz w:val="22"/>
            <w:szCs w:val="22"/>
          </w:rPr>
          <w:tab/>
        </w:r>
        <w:r w:rsidR="00F758D4" w:rsidRPr="00C24B66">
          <w:rPr>
            <w:rStyle w:val="Hyperlink"/>
            <w:noProof/>
          </w:rPr>
          <w:t>IN RE BERNARD L. MADOFF INVESTMENT SECURITIES LLC., 721 F. 3d 54 (2d Cir. 2013]</w:t>
        </w:r>
        <w:r w:rsidR="00F758D4">
          <w:rPr>
            <w:noProof/>
            <w:webHidden/>
          </w:rPr>
          <w:tab/>
        </w:r>
        <w:r w:rsidR="00F758D4">
          <w:rPr>
            <w:noProof/>
            <w:webHidden/>
          </w:rPr>
          <w:fldChar w:fldCharType="begin"/>
        </w:r>
        <w:r w:rsidR="00F758D4">
          <w:rPr>
            <w:noProof/>
            <w:webHidden/>
          </w:rPr>
          <w:instrText xml:space="preserve"> PAGEREF _Toc90983670 \h </w:instrText>
        </w:r>
        <w:r w:rsidR="00F758D4">
          <w:rPr>
            <w:noProof/>
            <w:webHidden/>
          </w:rPr>
        </w:r>
        <w:r w:rsidR="00F758D4">
          <w:rPr>
            <w:noProof/>
            <w:webHidden/>
          </w:rPr>
          <w:fldChar w:fldCharType="separate"/>
        </w:r>
        <w:r w:rsidR="00F758D4">
          <w:rPr>
            <w:noProof/>
            <w:webHidden/>
          </w:rPr>
          <w:t>190</w:t>
        </w:r>
        <w:r w:rsidR="00F758D4">
          <w:rPr>
            <w:noProof/>
            <w:webHidden/>
          </w:rPr>
          <w:fldChar w:fldCharType="end"/>
        </w:r>
      </w:hyperlink>
    </w:p>
    <w:p w14:paraId="7CA118CB" w14:textId="37A12A5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71" w:history="1">
        <w:r w:rsidR="00F758D4" w:rsidRPr="00C24B66">
          <w:rPr>
            <w:rStyle w:val="Hyperlink"/>
            <w:noProof/>
          </w:rPr>
          <w:t>8.2.</w:t>
        </w:r>
        <w:r w:rsidR="00F758D4">
          <w:rPr>
            <w:rFonts w:asciiTheme="minorHAnsi" w:eastAsiaTheme="minorEastAsia" w:hAnsiTheme="minorHAnsi" w:cstheme="minorBidi"/>
            <w:iCs w:val="0"/>
            <w:noProof/>
            <w:color w:val="auto"/>
            <w:sz w:val="22"/>
            <w:szCs w:val="22"/>
          </w:rPr>
          <w:tab/>
        </w:r>
        <w:r w:rsidR="00F758D4" w:rsidRPr="00C24B66">
          <w:rPr>
            <w:rStyle w:val="Hyperlink"/>
            <w:noProof/>
          </w:rPr>
          <w:t>Fraudulent Transfers – 11 U.S.C. § 548</w:t>
        </w:r>
        <w:r w:rsidR="00F758D4">
          <w:rPr>
            <w:noProof/>
            <w:webHidden/>
          </w:rPr>
          <w:tab/>
        </w:r>
        <w:r w:rsidR="00F758D4">
          <w:rPr>
            <w:noProof/>
            <w:webHidden/>
          </w:rPr>
          <w:fldChar w:fldCharType="begin"/>
        </w:r>
        <w:r w:rsidR="00F758D4">
          <w:rPr>
            <w:noProof/>
            <w:webHidden/>
          </w:rPr>
          <w:instrText xml:space="preserve"> PAGEREF _Toc90983671 \h </w:instrText>
        </w:r>
        <w:r w:rsidR="00F758D4">
          <w:rPr>
            <w:noProof/>
            <w:webHidden/>
          </w:rPr>
        </w:r>
        <w:r w:rsidR="00F758D4">
          <w:rPr>
            <w:noProof/>
            <w:webHidden/>
          </w:rPr>
          <w:fldChar w:fldCharType="separate"/>
        </w:r>
        <w:r w:rsidR="00F758D4">
          <w:rPr>
            <w:noProof/>
            <w:webHidden/>
          </w:rPr>
          <w:t>195</w:t>
        </w:r>
        <w:r w:rsidR="00F758D4">
          <w:rPr>
            <w:noProof/>
            <w:webHidden/>
          </w:rPr>
          <w:fldChar w:fldCharType="end"/>
        </w:r>
      </w:hyperlink>
    </w:p>
    <w:p w14:paraId="4B410F45" w14:textId="7F52653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72" w:history="1">
        <w:r w:rsidR="00F758D4" w:rsidRPr="00C24B66">
          <w:rPr>
            <w:rStyle w:val="Hyperlink"/>
            <w:noProof/>
          </w:rPr>
          <w:t>8.3.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Trustee’s State Law Powers – 11 U.S.C. § 544(b)</w:t>
        </w:r>
        <w:r w:rsidR="00F758D4">
          <w:rPr>
            <w:noProof/>
            <w:webHidden/>
          </w:rPr>
          <w:tab/>
        </w:r>
        <w:r w:rsidR="00F758D4">
          <w:rPr>
            <w:noProof/>
            <w:webHidden/>
          </w:rPr>
          <w:fldChar w:fldCharType="begin"/>
        </w:r>
        <w:r w:rsidR="00F758D4">
          <w:rPr>
            <w:noProof/>
            <w:webHidden/>
          </w:rPr>
          <w:instrText xml:space="preserve"> PAGEREF _Toc90983672 \h </w:instrText>
        </w:r>
        <w:r w:rsidR="00F758D4">
          <w:rPr>
            <w:noProof/>
            <w:webHidden/>
          </w:rPr>
        </w:r>
        <w:r w:rsidR="00F758D4">
          <w:rPr>
            <w:noProof/>
            <w:webHidden/>
          </w:rPr>
          <w:fldChar w:fldCharType="separate"/>
        </w:r>
        <w:r w:rsidR="00F758D4">
          <w:rPr>
            <w:noProof/>
            <w:webHidden/>
          </w:rPr>
          <w:t>196</w:t>
        </w:r>
        <w:r w:rsidR="00F758D4">
          <w:rPr>
            <w:noProof/>
            <w:webHidden/>
          </w:rPr>
          <w:fldChar w:fldCharType="end"/>
        </w:r>
      </w:hyperlink>
    </w:p>
    <w:p w14:paraId="19F396B8" w14:textId="4243D71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73" w:history="1">
        <w:r w:rsidR="00F758D4" w:rsidRPr="00C24B66">
          <w:rPr>
            <w:rStyle w:val="Hyperlink"/>
            <w:noProof/>
          </w:rPr>
          <w:t>8.4.</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Fraudulent Transfers</w:t>
        </w:r>
        <w:r w:rsidR="00F758D4">
          <w:rPr>
            <w:noProof/>
            <w:webHidden/>
          </w:rPr>
          <w:tab/>
        </w:r>
        <w:r w:rsidR="00F758D4">
          <w:rPr>
            <w:noProof/>
            <w:webHidden/>
          </w:rPr>
          <w:fldChar w:fldCharType="begin"/>
        </w:r>
        <w:r w:rsidR="00F758D4">
          <w:rPr>
            <w:noProof/>
            <w:webHidden/>
          </w:rPr>
          <w:instrText xml:space="preserve"> PAGEREF _Toc90983673 \h </w:instrText>
        </w:r>
        <w:r w:rsidR="00F758D4">
          <w:rPr>
            <w:noProof/>
            <w:webHidden/>
          </w:rPr>
        </w:r>
        <w:r w:rsidR="00F758D4">
          <w:rPr>
            <w:noProof/>
            <w:webHidden/>
          </w:rPr>
          <w:fldChar w:fldCharType="separate"/>
        </w:r>
        <w:r w:rsidR="00F758D4">
          <w:rPr>
            <w:noProof/>
            <w:webHidden/>
          </w:rPr>
          <w:t>196</w:t>
        </w:r>
        <w:r w:rsidR="00F758D4">
          <w:rPr>
            <w:noProof/>
            <w:webHidden/>
          </w:rPr>
          <w:fldChar w:fldCharType="end"/>
        </w:r>
      </w:hyperlink>
    </w:p>
    <w:p w14:paraId="30E9E3B7" w14:textId="2C6BCB2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74" w:history="1">
        <w:r w:rsidR="00F758D4" w:rsidRPr="00C24B66">
          <w:rPr>
            <w:rStyle w:val="Hyperlink"/>
            <w:noProof/>
          </w:rPr>
          <w:t>8.5.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Fraudulent Transfers</w:t>
        </w:r>
        <w:r w:rsidR="00F758D4">
          <w:rPr>
            <w:noProof/>
            <w:webHidden/>
          </w:rPr>
          <w:tab/>
        </w:r>
        <w:r w:rsidR="00F758D4">
          <w:rPr>
            <w:noProof/>
            <w:webHidden/>
          </w:rPr>
          <w:fldChar w:fldCharType="begin"/>
        </w:r>
        <w:r w:rsidR="00F758D4">
          <w:rPr>
            <w:noProof/>
            <w:webHidden/>
          </w:rPr>
          <w:instrText xml:space="preserve"> PAGEREF _Toc90983674 \h </w:instrText>
        </w:r>
        <w:r w:rsidR="00F758D4">
          <w:rPr>
            <w:noProof/>
            <w:webHidden/>
          </w:rPr>
        </w:r>
        <w:r w:rsidR="00F758D4">
          <w:rPr>
            <w:noProof/>
            <w:webHidden/>
          </w:rPr>
          <w:fldChar w:fldCharType="separate"/>
        </w:r>
        <w:r w:rsidR="00F758D4">
          <w:rPr>
            <w:noProof/>
            <w:webHidden/>
          </w:rPr>
          <w:t>197</w:t>
        </w:r>
        <w:r w:rsidR="00F758D4">
          <w:rPr>
            <w:noProof/>
            <w:webHidden/>
          </w:rPr>
          <w:fldChar w:fldCharType="end"/>
        </w:r>
      </w:hyperlink>
    </w:p>
    <w:p w14:paraId="17D1B947" w14:textId="2A1EA86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75" w:history="1">
        <w:r w:rsidR="00F758D4" w:rsidRPr="00C24B66">
          <w:rPr>
            <w:rStyle w:val="Hyperlink"/>
            <w:noProof/>
          </w:rPr>
          <w:t>8.5.1.</w:t>
        </w:r>
        <w:r w:rsidR="00F758D4">
          <w:rPr>
            <w:rFonts w:asciiTheme="minorHAnsi" w:eastAsiaTheme="minorEastAsia" w:hAnsiTheme="minorHAnsi" w:cstheme="minorBidi"/>
            <w:noProof/>
            <w:color w:val="auto"/>
            <w:sz w:val="22"/>
            <w:szCs w:val="22"/>
          </w:rPr>
          <w:tab/>
        </w:r>
        <w:r w:rsidR="00F758D4" w:rsidRPr="00C24B66">
          <w:rPr>
            <w:rStyle w:val="Hyperlink"/>
            <w:noProof/>
          </w:rPr>
          <w:t>BFP v. RESOLUTION TRUST CORPORATION, 511 U.S. 531 (1994)</w:t>
        </w:r>
        <w:r w:rsidR="00F758D4">
          <w:rPr>
            <w:noProof/>
            <w:webHidden/>
          </w:rPr>
          <w:tab/>
        </w:r>
        <w:r w:rsidR="00F758D4">
          <w:rPr>
            <w:noProof/>
            <w:webHidden/>
          </w:rPr>
          <w:fldChar w:fldCharType="begin"/>
        </w:r>
        <w:r w:rsidR="00F758D4">
          <w:rPr>
            <w:noProof/>
            <w:webHidden/>
          </w:rPr>
          <w:instrText xml:space="preserve"> PAGEREF _Toc90983675 \h </w:instrText>
        </w:r>
        <w:r w:rsidR="00F758D4">
          <w:rPr>
            <w:noProof/>
            <w:webHidden/>
          </w:rPr>
        </w:r>
        <w:r w:rsidR="00F758D4">
          <w:rPr>
            <w:noProof/>
            <w:webHidden/>
          </w:rPr>
          <w:fldChar w:fldCharType="separate"/>
        </w:r>
        <w:r w:rsidR="00F758D4">
          <w:rPr>
            <w:noProof/>
            <w:webHidden/>
          </w:rPr>
          <w:t>197</w:t>
        </w:r>
        <w:r w:rsidR="00F758D4">
          <w:rPr>
            <w:noProof/>
            <w:webHidden/>
          </w:rPr>
          <w:fldChar w:fldCharType="end"/>
        </w:r>
      </w:hyperlink>
    </w:p>
    <w:p w14:paraId="63BD8B71" w14:textId="76C03F7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76" w:history="1">
        <w:r w:rsidR="00F758D4" w:rsidRPr="00C24B66">
          <w:rPr>
            <w:rStyle w:val="Hyperlink"/>
            <w:noProof/>
          </w:rPr>
          <w:t>8.5.2.</w:t>
        </w:r>
        <w:r w:rsidR="00F758D4">
          <w:rPr>
            <w:rFonts w:asciiTheme="minorHAnsi" w:eastAsiaTheme="minorEastAsia" w:hAnsiTheme="minorHAnsi" w:cstheme="minorBidi"/>
            <w:noProof/>
            <w:color w:val="auto"/>
            <w:sz w:val="22"/>
            <w:szCs w:val="22"/>
          </w:rPr>
          <w:tab/>
        </w:r>
        <w:r w:rsidR="00F758D4" w:rsidRPr="00C24B66">
          <w:rPr>
            <w:rStyle w:val="Hyperlink"/>
            <w:noProof/>
          </w:rPr>
          <w:t>ALLARD v. FLAMINGO HILTON, 69 F.3d 769 (6th Cir. 1995)</w:t>
        </w:r>
        <w:r w:rsidR="00F758D4">
          <w:rPr>
            <w:noProof/>
            <w:webHidden/>
          </w:rPr>
          <w:tab/>
        </w:r>
        <w:r w:rsidR="00F758D4">
          <w:rPr>
            <w:noProof/>
            <w:webHidden/>
          </w:rPr>
          <w:fldChar w:fldCharType="begin"/>
        </w:r>
        <w:r w:rsidR="00F758D4">
          <w:rPr>
            <w:noProof/>
            <w:webHidden/>
          </w:rPr>
          <w:instrText xml:space="preserve"> PAGEREF _Toc90983676 \h </w:instrText>
        </w:r>
        <w:r w:rsidR="00F758D4">
          <w:rPr>
            <w:noProof/>
            <w:webHidden/>
          </w:rPr>
        </w:r>
        <w:r w:rsidR="00F758D4">
          <w:rPr>
            <w:noProof/>
            <w:webHidden/>
          </w:rPr>
          <w:fldChar w:fldCharType="separate"/>
        </w:r>
        <w:r w:rsidR="00F758D4">
          <w:rPr>
            <w:noProof/>
            <w:webHidden/>
          </w:rPr>
          <w:t>200</w:t>
        </w:r>
        <w:r w:rsidR="00F758D4">
          <w:rPr>
            <w:noProof/>
            <w:webHidden/>
          </w:rPr>
          <w:fldChar w:fldCharType="end"/>
        </w:r>
      </w:hyperlink>
    </w:p>
    <w:p w14:paraId="799B6628" w14:textId="1005554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77" w:history="1">
        <w:r w:rsidR="00F758D4" w:rsidRPr="00C24B66">
          <w:rPr>
            <w:rStyle w:val="Hyperlink"/>
            <w:noProof/>
          </w:rPr>
          <w:t>8.5.3.</w:t>
        </w:r>
        <w:r w:rsidR="00F758D4">
          <w:rPr>
            <w:rFonts w:asciiTheme="minorHAnsi" w:eastAsiaTheme="minorEastAsia" w:hAnsiTheme="minorHAnsi" w:cstheme="minorBidi"/>
            <w:noProof/>
            <w:color w:val="auto"/>
            <w:sz w:val="22"/>
            <w:szCs w:val="22"/>
          </w:rPr>
          <w:tab/>
        </w:r>
        <w:r w:rsidR="00F758D4" w:rsidRPr="00C24B66">
          <w:rPr>
            <w:rStyle w:val="Hyperlink"/>
            <w:noProof/>
          </w:rPr>
          <w:t xml:space="preserve">Introduction to </w:t>
        </w:r>
        <w:r w:rsidR="00F758D4" w:rsidRPr="00C24B66">
          <w:rPr>
            <w:rStyle w:val="Hyperlink"/>
            <w:i/>
            <w:iCs/>
            <w:noProof/>
          </w:rPr>
          <w:t>Bakersfield Westar</w:t>
        </w:r>
        <w:r w:rsidR="00F758D4">
          <w:rPr>
            <w:noProof/>
            <w:webHidden/>
          </w:rPr>
          <w:tab/>
        </w:r>
        <w:r w:rsidR="00F758D4">
          <w:rPr>
            <w:noProof/>
            <w:webHidden/>
          </w:rPr>
          <w:fldChar w:fldCharType="begin"/>
        </w:r>
        <w:r w:rsidR="00F758D4">
          <w:rPr>
            <w:noProof/>
            <w:webHidden/>
          </w:rPr>
          <w:instrText xml:space="preserve"> PAGEREF _Toc90983677 \h </w:instrText>
        </w:r>
        <w:r w:rsidR="00F758D4">
          <w:rPr>
            <w:noProof/>
            <w:webHidden/>
          </w:rPr>
        </w:r>
        <w:r w:rsidR="00F758D4">
          <w:rPr>
            <w:noProof/>
            <w:webHidden/>
          </w:rPr>
          <w:fldChar w:fldCharType="separate"/>
        </w:r>
        <w:r w:rsidR="00F758D4">
          <w:rPr>
            <w:noProof/>
            <w:webHidden/>
          </w:rPr>
          <w:t>203</w:t>
        </w:r>
        <w:r w:rsidR="00F758D4">
          <w:rPr>
            <w:noProof/>
            <w:webHidden/>
          </w:rPr>
          <w:fldChar w:fldCharType="end"/>
        </w:r>
      </w:hyperlink>
    </w:p>
    <w:p w14:paraId="59AB1340" w14:textId="686AAE4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78" w:history="1">
        <w:r w:rsidR="00F758D4" w:rsidRPr="00C24B66">
          <w:rPr>
            <w:rStyle w:val="Hyperlink"/>
            <w:noProof/>
          </w:rPr>
          <w:t>8.5.4.</w:t>
        </w:r>
        <w:r w:rsidR="00F758D4">
          <w:rPr>
            <w:rFonts w:asciiTheme="minorHAnsi" w:eastAsiaTheme="minorEastAsia" w:hAnsiTheme="minorHAnsi" w:cstheme="minorBidi"/>
            <w:noProof/>
            <w:color w:val="auto"/>
            <w:sz w:val="22"/>
            <w:szCs w:val="22"/>
          </w:rPr>
          <w:tab/>
        </w:r>
        <w:r w:rsidR="00F758D4" w:rsidRPr="00C24B66">
          <w:rPr>
            <w:rStyle w:val="Hyperlink"/>
            <w:noProof/>
          </w:rPr>
          <w:t>IN RE BAKERSFIELD WESTAR, INC., 226 B.R. 227 (9th Cir. BAP 1998)</w:t>
        </w:r>
        <w:r w:rsidR="00F758D4">
          <w:rPr>
            <w:noProof/>
            <w:webHidden/>
          </w:rPr>
          <w:tab/>
        </w:r>
        <w:r w:rsidR="00F758D4">
          <w:rPr>
            <w:noProof/>
            <w:webHidden/>
          </w:rPr>
          <w:fldChar w:fldCharType="begin"/>
        </w:r>
        <w:r w:rsidR="00F758D4">
          <w:rPr>
            <w:noProof/>
            <w:webHidden/>
          </w:rPr>
          <w:instrText xml:space="preserve"> PAGEREF _Toc90983678 \h </w:instrText>
        </w:r>
        <w:r w:rsidR="00F758D4">
          <w:rPr>
            <w:noProof/>
            <w:webHidden/>
          </w:rPr>
        </w:r>
        <w:r w:rsidR="00F758D4">
          <w:rPr>
            <w:noProof/>
            <w:webHidden/>
          </w:rPr>
          <w:fldChar w:fldCharType="separate"/>
        </w:r>
        <w:r w:rsidR="00F758D4">
          <w:rPr>
            <w:noProof/>
            <w:webHidden/>
          </w:rPr>
          <w:t>204</w:t>
        </w:r>
        <w:r w:rsidR="00F758D4">
          <w:rPr>
            <w:noProof/>
            <w:webHidden/>
          </w:rPr>
          <w:fldChar w:fldCharType="end"/>
        </w:r>
      </w:hyperlink>
    </w:p>
    <w:p w14:paraId="130E6EDF" w14:textId="77B92BE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79" w:history="1">
        <w:r w:rsidR="00F758D4" w:rsidRPr="00C24B66">
          <w:rPr>
            <w:rStyle w:val="Hyperlink"/>
            <w:noProof/>
          </w:rPr>
          <w:t>8.6.</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Strong Arm Power – 11 U.S.C. § 544(a)</w:t>
        </w:r>
        <w:r w:rsidR="00F758D4">
          <w:rPr>
            <w:noProof/>
            <w:webHidden/>
          </w:rPr>
          <w:tab/>
        </w:r>
        <w:r w:rsidR="00F758D4">
          <w:rPr>
            <w:noProof/>
            <w:webHidden/>
          </w:rPr>
          <w:fldChar w:fldCharType="begin"/>
        </w:r>
        <w:r w:rsidR="00F758D4">
          <w:rPr>
            <w:noProof/>
            <w:webHidden/>
          </w:rPr>
          <w:instrText xml:space="preserve"> PAGEREF _Toc90983679 \h </w:instrText>
        </w:r>
        <w:r w:rsidR="00F758D4">
          <w:rPr>
            <w:noProof/>
            <w:webHidden/>
          </w:rPr>
        </w:r>
        <w:r w:rsidR="00F758D4">
          <w:rPr>
            <w:noProof/>
            <w:webHidden/>
          </w:rPr>
          <w:fldChar w:fldCharType="separate"/>
        </w:r>
        <w:r w:rsidR="00F758D4">
          <w:rPr>
            <w:noProof/>
            <w:webHidden/>
          </w:rPr>
          <w:t>209</w:t>
        </w:r>
        <w:r w:rsidR="00F758D4">
          <w:rPr>
            <w:noProof/>
            <w:webHidden/>
          </w:rPr>
          <w:fldChar w:fldCharType="end"/>
        </w:r>
      </w:hyperlink>
    </w:p>
    <w:p w14:paraId="2BC014B7" w14:textId="0393300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0" w:history="1">
        <w:r w:rsidR="00F758D4" w:rsidRPr="00C24B66">
          <w:rPr>
            <w:rStyle w:val="Hyperlink"/>
            <w:noProof/>
          </w:rPr>
          <w:t>8.6.1.</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The Strong Arm Power</w:t>
        </w:r>
        <w:r w:rsidR="00F758D4">
          <w:rPr>
            <w:noProof/>
            <w:webHidden/>
          </w:rPr>
          <w:tab/>
        </w:r>
        <w:r w:rsidR="00F758D4">
          <w:rPr>
            <w:noProof/>
            <w:webHidden/>
          </w:rPr>
          <w:fldChar w:fldCharType="begin"/>
        </w:r>
        <w:r w:rsidR="00F758D4">
          <w:rPr>
            <w:noProof/>
            <w:webHidden/>
          </w:rPr>
          <w:instrText xml:space="preserve"> PAGEREF _Toc90983680 \h </w:instrText>
        </w:r>
        <w:r w:rsidR="00F758D4">
          <w:rPr>
            <w:noProof/>
            <w:webHidden/>
          </w:rPr>
        </w:r>
        <w:r w:rsidR="00F758D4">
          <w:rPr>
            <w:noProof/>
            <w:webHidden/>
          </w:rPr>
          <w:fldChar w:fldCharType="separate"/>
        </w:r>
        <w:r w:rsidR="00F758D4">
          <w:rPr>
            <w:noProof/>
            <w:webHidden/>
          </w:rPr>
          <w:t>210</w:t>
        </w:r>
        <w:r w:rsidR="00F758D4">
          <w:rPr>
            <w:noProof/>
            <w:webHidden/>
          </w:rPr>
          <w:fldChar w:fldCharType="end"/>
        </w:r>
      </w:hyperlink>
    </w:p>
    <w:p w14:paraId="02E770B3" w14:textId="178ED16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1" w:history="1">
        <w:r w:rsidR="00F758D4" w:rsidRPr="00C24B66">
          <w:rPr>
            <w:rStyle w:val="Hyperlink"/>
            <w:noProof/>
          </w:rPr>
          <w:t>8.6.2.</w:t>
        </w:r>
        <w:r w:rsidR="00F758D4">
          <w:rPr>
            <w:rFonts w:asciiTheme="minorHAnsi" w:eastAsiaTheme="minorEastAsia" w:hAnsiTheme="minorHAnsi" w:cstheme="minorBidi"/>
            <w:noProof/>
            <w:color w:val="auto"/>
            <w:sz w:val="22"/>
            <w:szCs w:val="22"/>
          </w:rPr>
          <w:tab/>
        </w:r>
        <w:r w:rsidR="00F758D4" w:rsidRPr="00C24B66">
          <w:rPr>
            <w:rStyle w:val="Hyperlink"/>
            <w:noProof/>
          </w:rPr>
          <w:t>Cases on the Strong Arm Power</w:t>
        </w:r>
        <w:r w:rsidR="00F758D4">
          <w:rPr>
            <w:noProof/>
            <w:webHidden/>
          </w:rPr>
          <w:tab/>
        </w:r>
        <w:r w:rsidR="00F758D4">
          <w:rPr>
            <w:noProof/>
            <w:webHidden/>
          </w:rPr>
          <w:fldChar w:fldCharType="begin"/>
        </w:r>
        <w:r w:rsidR="00F758D4">
          <w:rPr>
            <w:noProof/>
            <w:webHidden/>
          </w:rPr>
          <w:instrText xml:space="preserve"> PAGEREF _Toc90983681 \h </w:instrText>
        </w:r>
        <w:r w:rsidR="00F758D4">
          <w:rPr>
            <w:noProof/>
            <w:webHidden/>
          </w:rPr>
        </w:r>
        <w:r w:rsidR="00F758D4">
          <w:rPr>
            <w:noProof/>
            <w:webHidden/>
          </w:rPr>
          <w:fldChar w:fldCharType="separate"/>
        </w:r>
        <w:r w:rsidR="00F758D4">
          <w:rPr>
            <w:noProof/>
            <w:webHidden/>
          </w:rPr>
          <w:t>210</w:t>
        </w:r>
        <w:r w:rsidR="00F758D4">
          <w:rPr>
            <w:noProof/>
            <w:webHidden/>
          </w:rPr>
          <w:fldChar w:fldCharType="end"/>
        </w:r>
      </w:hyperlink>
    </w:p>
    <w:p w14:paraId="03DB29B2" w14:textId="03287D0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2" w:history="1">
        <w:r w:rsidR="00F758D4" w:rsidRPr="00C24B66">
          <w:rPr>
            <w:rStyle w:val="Hyperlink"/>
            <w:noProof/>
          </w:rPr>
          <w:t>8.6.2.1.</w:t>
        </w:r>
        <w:r w:rsidR="00F758D4">
          <w:rPr>
            <w:rFonts w:asciiTheme="minorHAnsi" w:eastAsiaTheme="minorEastAsia" w:hAnsiTheme="minorHAnsi" w:cstheme="minorBidi"/>
            <w:noProof/>
            <w:color w:val="auto"/>
            <w:sz w:val="22"/>
            <w:szCs w:val="22"/>
          </w:rPr>
          <w:tab/>
        </w:r>
        <w:r w:rsidR="00F758D4" w:rsidRPr="00C24B66">
          <w:rPr>
            <w:rStyle w:val="Hyperlink"/>
            <w:noProof/>
          </w:rPr>
          <w:t>IN RE PROJECT HOMESTEAD, INC., 374 B.R. 193 (Bankr. MD NC 2007)</w:t>
        </w:r>
        <w:r w:rsidR="00F758D4">
          <w:rPr>
            <w:noProof/>
            <w:webHidden/>
          </w:rPr>
          <w:tab/>
        </w:r>
        <w:r w:rsidR="00F758D4">
          <w:rPr>
            <w:noProof/>
            <w:webHidden/>
          </w:rPr>
          <w:fldChar w:fldCharType="begin"/>
        </w:r>
        <w:r w:rsidR="00F758D4">
          <w:rPr>
            <w:noProof/>
            <w:webHidden/>
          </w:rPr>
          <w:instrText xml:space="preserve"> PAGEREF _Toc90983682 \h </w:instrText>
        </w:r>
        <w:r w:rsidR="00F758D4">
          <w:rPr>
            <w:noProof/>
            <w:webHidden/>
          </w:rPr>
        </w:r>
        <w:r w:rsidR="00F758D4">
          <w:rPr>
            <w:noProof/>
            <w:webHidden/>
          </w:rPr>
          <w:fldChar w:fldCharType="separate"/>
        </w:r>
        <w:r w:rsidR="00F758D4">
          <w:rPr>
            <w:noProof/>
            <w:webHidden/>
          </w:rPr>
          <w:t>210</w:t>
        </w:r>
        <w:r w:rsidR="00F758D4">
          <w:rPr>
            <w:noProof/>
            <w:webHidden/>
          </w:rPr>
          <w:fldChar w:fldCharType="end"/>
        </w:r>
      </w:hyperlink>
    </w:p>
    <w:p w14:paraId="09DB3AA8" w14:textId="00A28FC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3" w:history="1">
        <w:r w:rsidR="00F758D4" w:rsidRPr="00C24B66">
          <w:rPr>
            <w:rStyle w:val="Hyperlink"/>
            <w:noProof/>
          </w:rPr>
          <w:t>8.6.2.2.</w:t>
        </w:r>
        <w:r w:rsidR="00F758D4">
          <w:rPr>
            <w:rFonts w:asciiTheme="minorHAnsi" w:eastAsiaTheme="minorEastAsia" w:hAnsiTheme="minorHAnsi" w:cstheme="minorBidi"/>
            <w:noProof/>
            <w:color w:val="auto"/>
            <w:sz w:val="22"/>
            <w:szCs w:val="22"/>
          </w:rPr>
          <w:tab/>
        </w:r>
        <w:r w:rsidR="00F758D4" w:rsidRPr="00C24B66">
          <w:rPr>
            <w:rStyle w:val="Hyperlink"/>
            <w:noProof/>
          </w:rPr>
          <w:t>IN RE LOUISE CARY MORENO, 293 B.R. 777 (Bankr. D. Col. 2003)</w:t>
        </w:r>
        <w:r w:rsidR="00F758D4">
          <w:rPr>
            <w:noProof/>
            <w:webHidden/>
          </w:rPr>
          <w:tab/>
        </w:r>
        <w:r w:rsidR="00F758D4">
          <w:rPr>
            <w:noProof/>
            <w:webHidden/>
          </w:rPr>
          <w:fldChar w:fldCharType="begin"/>
        </w:r>
        <w:r w:rsidR="00F758D4">
          <w:rPr>
            <w:noProof/>
            <w:webHidden/>
          </w:rPr>
          <w:instrText xml:space="preserve"> PAGEREF _Toc90983683 \h </w:instrText>
        </w:r>
        <w:r w:rsidR="00F758D4">
          <w:rPr>
            <w:noProof/>
            <w:webHidden/>
          </w:rPr>
        </w:r>
        <w:r w:rsidR="00F758D4">
          <w:rPr>
            <w:noProof/>
            <w:webHidden/>
          </w:rPr>
          <w:fldChar w:fldCharType="separate"/>
        </w:r>
        <w:r w:rsidR="00F758D4">
          <w:rPr>
            <w:noProof/>
            <w:webHidden/>
          </w:rPr>
          <w:t>212</w:t>
        </w:r>
        <w:r w:rsidR="00F758D4">
          <w:rPr>
            <w:noProof/>
            <w:webHidden/>
          </w:rPr>
          <w:fldChar w:fldCharType="end"/>
        </w:r>
      </w:hyperlink>
    </w:p>
    <w:p w14:paraId="3A65F0DA" w14:textId="5D6A92C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84" w:history="1">
        <w:r w:rsidR="00F758D4" w:rsidRPr="00C24B66">
          <w:rPr>
            <w:rStyle w:val="Hyperlink"/>
            <w:noProof/>
          </w:rPr>
          <w:t>8.7.</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Preferences – 11 U.S.C. § 547</w:t>
        </w:r>
        <w:r w:rsidR="00F758D4">
          <w:rPr>
            <w:noProof/>
            <w:webHidden/>
          </w:rPr>
          <w:tab/>
        </w:r>
        <w:r w:rsidR="00F758D4">
          <w:rPr>
            <w:noProof/>
            <w:webHidden/>
          </w:rPr>
          <w:fldChar w:fldCharType="begin"/>
        </w:r>
        <w:r w:rsidR="00F758D4">
          <w:rPr>
            <w:noProof/>
            <w:webHidden/>
          </w:rPr>
          <w:instrText xml:space="preserve"> PAGEREF _Toc90983684 \h </w:instrText>
        </w:r>
        <w:r w:rsidR="00F758D4">
          <w:rPr>
            <w:noProof/>
            <w:webHidden/>
          </w:rPr>
        </w:r>
        <w:r w:rsidR="00F758D4">
          <w:rPr>
            <w:noProof/>
            <w:webHidden/>
          </w:rPr>
          <w:fldChar w:fldCharType="separate"/>
        </w:r>
        <w:r w:rsidR="00F758D4">
          <w:rPr>
            <w:noProof/>
            <w:webHidden/>
          </w:rPr>
          <w:t>215</w:t>
        </w:r>
        <w:r w:rsidR="00F758D4">
          <w:rPr>
            <w:noProof/>
            <w:webHidden/>
          </w:rPr>
          <w:fldChar w:fldCharType="end"/>
        </w:r>
      </w:hyperlink>
    </w:p>
    <w:p w14:paraId="73D59DC2" w14:textId="6081678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85" w:history="1">
        <w:r w:rsidR="00F758D4" w:rsidRPr="00C24B66">
          <w:rPr>
            <w:rStyle w:val="Hyperlink"/>
            <w:noProof/>
          </w:rPr>
          <w:t>8.8.</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The Preference Law</w:t>
        </w:r>
        <w:r w:rsidR="00F758D4">
          <w:rPr>
            <w:noProof/>
            <w:webHidden/>
          </w:rPr>
          <w:tab/>
        </w:r>
        <w:r w:rsidR="00F758D4">
          <w:rPr>
            <w:noProof/>
            <w:webHidden/>
          </w:rPr>
          <w:fldChar w:fldCharType="begin"/>
        </w:r>
        <w:r w:rsidR="00F758D4">
          <w:rPr>
            <w:noProof/>
            <w:webHidden/>
          </w:rPr>
          <w:instrText xml:space="preserve"> PAGEREF _Toc90983685 \h </w:instrText>
        </w:r>
        <w:r w:rsidR="00F758D4">
          <w:rPr>
            <w:noProof/>
            <w:webHidden/>
          </w:rPr>
        </w:r>
        <w:r w:rsidR="00F758D4">
          <w:rPr>
            <w:noProof/>
            <w:webHidden/>
          </w:rPr>
          <w:fldChar w:fldCharType="separate"/>
        </w:r>
        <w:r w:rsidR="00F758D4">
          <w:rPr>
            <w:noProof/>
            <w:webHidden/>
          </w:rPr>
          <w:t>215</w:t>
        </w:r>
        <w:r w:rsidR="00F758D4">
          <w:rPr>
            <w:noProof/>
            <w:webHidden/>
          </w:rPr>
          <w:fldChar w:fldCharType="end"/>
        </w:r>
      </w:hyperlink>
    </w:p>
    <w:p w14:paraId="6512081F" w14:textId="46BDAA4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86" w:history="1">
        <w:r w:rsidR="00F758D4" w:rsidRPr="00C24B66">
          <w:rPr>
            <w:rStyle w:val="Hyperlink"/>
            <w:noProof/>
          </w:rPr>
          <w:t>8.9.</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Preferences</w:t>
        </w:r>
        <w:r w:rsidR="00F758D4">
          <w:rPr>
            <w:noProof/>
            <w:webHidden/>
          </w:rPr>
          <w:tab/>
        </w:r>
        <w:r w:rsidR="00F758D4">
          <w:rPr>
            <w:noProof/>
            <w:webHidden/>
          </w:rPr>
          <w:fldChar w:fldCharType="begin"/>
        </w:r>
        <w:r w:rsidR="00F758D4">
          <w:rPr>
            <w:noProof/>
            <w:webHidden/>
          </w:rPr>
          <w:instrText xml:space="preserve"> PAGEREF _Toc90983686 \h </w:instrText>
        </w:r>
        <w:r w:rsidR="00F758D4">
          <w:rPr>
            <w:noProof/>
            <w:webHidden/>
          </w:rPr>
        </w:r>
        <w:r w:rsidR="00F758D4">
          <w:rPr>
            <w:noProof/>
            <w:webHidden/>
          </w:rPr>
          <w:fldChar w:fldCharType="separate"/>
        </w:r>
        <w:r w:rsidR="00F758D4">
          <w:rPr>
            <w:noProof/>
            <w:webHidden/>
          </w:rPr>
          <w:t>217</w:t>
        </w:r>
        <w:r w:rsidR="00F758D4">
          <w:rPr>
            <w:noProof/>
            <w:webHidden/>
          </w:rPr>
          <w:fldChar w:fldCharType="end"/>
        </w:r>
      </w:hyperlink>
    </w:p>
    <w:p w14:paraId="7FCE75C8" w14:textId="42446A1A"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7" w:history="1">
        <w:r w:rsidR="00F758D4" w:rsidRPr="00C24B66">
          <w:rPr>
            <w:rStyle w:val="Hyperlink"/>
            <w:noProof/>
          </w:rPr>
          <w:t>8.9.1.</w:t>
        </w:r>
        <w:r w:rsidR="00F758D4">
          <w:rPr>
            <w:rFonts w:asciiTheme="minorHAnsi" w:eastAsiaTheme="minorEastAsia" w:hAnsiTheme="minorHAnsi" w:cstheme="minorBidi"/>
            <w:noProof/>
            <w:color w:val="auto"/>
            <w:sz w:val="22"/>
            <w:szCs w:val="22"/>
          </w:rPr>
          <w:tab/>
        </w:r>
        <w:r w:rsidR="00F758D4" w:rsidRPr="00C24B66">
          <w:rPr>
            <w:rStyle w:val="Hyperlink"/>
            <w:noProof/>
          </w:rPr>
          <w:t>BEIGIER v. IRS, 496 U.S. 53 (1990)</w:t>
        </w:r>
        <w:r w:rsidR="00F758D4">
          <w:rPr>
            <w:noProof/>
            <w:webHidden/>
          </w:rPr>
          <w:tab/>
        </w:r>
        <w:r w:rsidR="00F758D4">
          <w:rPr>
            <w:noProof/>
            <w:webHidden/>
          </w:rPr>
          <w:fldChar w:fldCharType="begin"/>
        </w:r>
        <w:r w:rsidR="00F758D4">
          <w:rPr>
            <w:noProof/>
            <w:webHidden/>
          </w:rPr>
          <w:instrText xml:space="preserve"> PAGEREF _Toc90983687 \h </w:instrText>
        </w:r>
        <w:r w:rsidR="00F758D4">
          <w:rPr>
            <w:noProof/>
            <w:webHidden/>
          </w:rPr>
        </w:r>
        <w:r w:rsidR="00F758D4">
          <w:rPr>
            <w:noProof/>
            <w:webHidden/>
          </w:rPr>
          <w:fldChar w:fldCharType="separate"/>
        </w:r>
        <w:r w:rsidR="00F758D4">
          <w:rPr>
            <w:noProof/>
            <w:webHidden/>
          </w:rPr>
          <w:t>217</w:t>
        </w:r>
        <w:r w:rsidR="00F758D4">
          <w:rPr>
            <w:noProof/>
            <w:webHidden/>
          </w:rPr>
          <w:fldChar w:fldCharType="end"/>
        </w:r>
      </w:hyperlink>
    </w:p>
    <w:p w14:paraId="2E8988C5" w14:textId="04F5064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8" w:history="1">
        <w:r w:rsidR="00F758D4" w:rsidRPr="00C24B66">
          <w:rPr>
            <w:rStyle w:val="Hyperlink"/>
            <w:noProof/>
          </w:rPr>
          <w:t>8.9.2.</w:t>
        </w:r>
        <w:r w:rsidR="00F758D4">
          <w:rPr>
            <w:rFonts w:asciiTheme="minorHAnsi" w:eastAsiaTheme="minorEastAsia" w:hAnsiTheme="minorHAnsi" w:cstheme="minorBidi"/>
            <w:noProof/>
            <w:color w:val="auto"/>
            <w:sz w:val="22"/>
            <w:szCs w:val="22"/>
          </w:rPr>
          <w:tab/>
        </w:r>
        <w:r w:rsidR="00F758D4" w:rsidRPr="00C24B66">
          <w:rPr>
            <w:rStyle w:val="Hyperlink"/>
            <w:noProof/>
          </w:rPr>
          <w:t>IN RE CASTILLO, 39 B.R. 45 (Bankr. D. Col. 1984)</w:t>
        </w:r>
        <w:r w:rsidR="00F758D4">
          <w:rPr>
            <w:noProof/>
            <w:webHidden/>
          </w:rPr>
          <w:tab/>
        </w:r>
        <w:r w:rsidR="00F758D4">
          <w:rPr>
            <w:noProof/>
            <w:webHidden/>
          </w:rPr>
          <w:fldChar w:fldCharType="begin"/>
        </w:r>
        <w:r w:rsidR="00F758D4">
          <w:rPr>
            <w:noProof/>
            <w:webHidden/>
          </w:rPr>
          <w:instrText xml:space="preserve"> PAGEREF _Toc90983688 \h </w:instrText>
        </w:r>
        <w:r w:rsidR="00F758D4">
          <w:rPr>
            <w:noProof/>
            <w:webHidden/>
          </w:rPr>
        </w:r>
        <w:r w:rsidR="00F758D4">
          <w:rPr>
            <w:noProof/>
            <w:webHidden/>
          </w:rPr>
          <w:fldChar w:fldCharType="separate"/>
        </w:r>
        <w:r w:rsidR="00F758D4">
          <w:rPr>
            <w:noProof/>
            <w:webHidden/>
          </w:rPr>
          <w:t>219</w:t>
        </w:r>
        <w:r w:rsidR="00F758D4">
          <w:rPr>
            <w:noProof/>
            <w:webHidden/>
          </w:rPr>
          <w:fldChar w:fldCharType="end"/>
        </w:r>
      </w:hyperlink>
    </w:p>
    <w:p w14:paraId="6D50C501" w14:textId="597F063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89" w:history="1">
        <w:r w:rsidR="00F758D4" w:rsidRPr="00C24B66">
          <w:rPr>
            <w:rStyle w:val="Hyperlink"/>
            <w:noProof/>
          </w:rPr>
          <w:t>8.9.3.</w:t>
        </w:r>
        <w:r w:rsidR="00F758D4">
          <w:rPr>
            <w:rFonts w:asciiTheme="minorHAnsi" w:eastAsiaTheme="minorEastAsia" w:hAnsiTheme="minorHAnsi" w:cstheme="minorBidi"/>
            <w:noProof/>
            <w:color w:val="auto"/>
            <w:sz w:val="22"/>
            <w:szCs w:val="22"/>
          </w:rPr>
          <w:tab/>
        </w:r>
        <w:r w:rsidR="00F758D4" w:rsidRPr="00C24B66">
          <w:rPr>
            <w:rStyle w:val="Hyperlink"/>
            <w:noProof/>
          </w:rPr>
          <w:t>PARKS v. FIA CREDIT SERVICES, N.A., 550 F.3d 1251 (10th Cir. 2008)</w:t>
        </w:r>
        <w:r w:rsidR="00F758D4">
          <w:rPr>
            <w:noProof/>
            <w:webHidden/>
          </w:rPr>
          <w:tab/>
        </w:r>
        <w:r w:rsidR="00F758D4">
          <w:rPr>
            <w:noProof/>
            <w:webHidden/>
          </w:rPr>
          <w:fldChar w:fldCharType="begin"/>
        </w:r>
        <w:r w:rsidR="00F758D4">
          <w:rPr>
            <w:noProof/>
            <w:webHidden/>
          </w:rPr>
          <w:instrText xml:space="preserve"> PAGEREF _Toc90983689 \h </w:instrText>
        </w:r>
        <w:r w:rsidR="00F758D4">
          <w:rPr>
            <w:noProof/>
            <w:webHidden/>
          </w:rPr>
        </w:r>
        <w:r w:rsidR="00F758D4">
          <w:rPr>
            <w:noProof/>
            <w:webHidden/>
          </w:rPr>
          <w:fldChar w:fldCharType="separate"/>
        </w:r>
        <w:r w:rsidR="00F758D4">
          <w:rPr>
            <w:noProof/>
            <w:webHidden/>
          </w:rPr>
          <w:t>220</w:t>
        </w:r>
        <w:r w:rsidR="00F758D4">
          <w:rPr>
            <w:noProof/>
            <w:webHidden/>
          </w:rPr>
          <w:fldChar w:fldCharType="end"/>
        </w:r>
      </w:hyperlink>
    </w:p>
    <w:p w14:paraId="4EA2B697" w14:textId="7F56C4D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90" w:history="1">
        <w:r w:rsidR="00F758D4" w:rsidRPr="00C24B66">
          <w:rPr>
            <w:rStyle w:val="Hyperlink"/>
            <w:noProof/>
          </w:rPr>
          <w:t>8.9.4.</w:t>
        </w:r>
        <w:r w:rsidR="00F758D4">
          <w:rPr>
            <w:rFonts w:asciiTheme="minorHAnsi" w:eastAsiaTheme="minorEastAsia" w:hAnsiTheme="minorHAnsi" w:cstheme="minorBidi"/>
            <w:noProof/>
            <w:color w:val="auto"/>
            <w:sz w:val="22"/>
            <w:szCs w:val="22"/>
          </w:rPr>
          <w:tab/>
        </w:r>
        <w:r w:rsidR="00F758D4" w:rsidRPr="00C24B66">
          <w:rPr>
            <w:rStyle w:val="Hyperlink"/>
            <w:noProof/>
          </w:rPr>
          <w:t>IN RE UNICOM COMPUTER CORPORATION, 13 F.3d 321 (9th Cir. 1994)</w:t>
        </w:r>
        <w:r w:rsidR="00F758D4">
          <w:rPr>
            <w:noProof/>
            <w:webHidden/>
          </w:rPr>
          <w:tab/>
        </w:r>
        <w:r w:rsidR="00F758D4">
          <w:rPr>
            <w:noProof/>
            <w:webHidden/>
          </w:rPr>
          <w:fldChar w:fldCharType="begin"/>
        </w:r>
        <w:r w:rsidR="00F758D4">
          <w:rPr>
            <w:noProof/>
            <w:webHidden/>
          </w:rPr>
          <w:instrText xml:space="preserve"> PAGEREF _Toc90983690 \h </w:instrText>
        </w:r>
        <w:r w:rsidR="00F758D4">
          <w:rPr>
            <w:noProof/>
            <w:webHidden/>
          </w:rPr>
        </w:r>
        <w:r w:rsidR="00F758D4">
          <w:rPr>
            <w:noProof/>
            <w:webHidden/>
          </w:rPr>
          <w:fldChar w:fldCharType="separate"/>
        </w:r>
        <w:r w:rsidR="00F758D4">
          <w:rPr>
            <w:noProof/>
            <w:webHidden/>
          </w:rPr>
          <w:t>223</w:t>
        </w:r>
        <w:r w:rsidR="00F758D4">
          <w:rPr>
            <w:noProof/>
            <w:webHidden/>
          </w:rPr>
          <w:fldChar w:fldCharType="end"/>
        </w:r>
      </w:hyperlink>
    </w:p>
    <w:p w14:paraId="5343A92E" w14:textId="5691CEC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1" w:history="1">
        <w:r w:rsidR="00F758D4" w:rsidRPr="00C24B66">
          <w:rPr>
            <w:rStyle w:val="Hyperlink"/>
            <w:noProof/>
          </w:rPr>
          <w:t>8.10.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Preference Defenses – 11 U.S.C. § 547(c)</w:t>
        </w:r>
        <w:r w:rsidR="00F758D4">
          <w:rPr>
            <w:noProof/>
            <w:webHidden/>
          </w:rPr>
          <w:tab/>
        </w:r>
        <w:r w:rsidR="00F758D4">
          <w:rPr>
            <w:noProof/>
            <w:webHidden/>
          </w:rPr>
          <w:fldChar w:fldCharType="begin"/>
        </w:r>
        <w:r w:rsidR="00F758D4">
          <w:rPr>
            <w:noProof/>
            <w:webHidden/>
          </w:rPr>
          <w:instrText xml:space="preserve"> PAGEREF _Toc90983691 \h </w:instrText>
        </w:r>
        <w:r w:rsidR="00F758D4">
          <w:rPr>
            <w:noProof/>
            <w:webHidden/>
          </w:rPr>
        </w:r>
        <w:r w:rsidR="00F758D4">
          <w:rPr>
            <w:noProof/>
            <w:webHidden/>
          </w:rPr>
          <w:fldChar w:fldCharType="separate"/>
        </w:r>
        <w:r w:rsidR="00F758D4">
          <w:rPr>
            <w:noProof/>
            <w:webHidden/>
          </w:rPr>
          <w:t>225</w:t>
        </w:r>
        <w:r w:rsidR="00F758D4">
          <w:rPr>
            <w:noProof/>
            <w:webHidden/>
          </w:rPr>
          <w:fldChar w:fldCharType="end"/>
        </w:r>
      </w:hyperlink>
    </w:p>
    <w:p w14:paraId="65BE19E2" w14:textId="75BBE1A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2" w:history="1">
        <w:r w:rsidR="00F758D4" w:rsidRPr="00C24B66">
          <w:rPr>
            <w:rStyle w:val="Hyperlink"/>
            <w:noProof/>
          </w:rPr>
          <w:t>8.11.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Preference Defenses</w:t>
        </w:r>
        <w:r w:rsidR="00F758D4">
          <w:rPr>
            <w:noProof/>
            <w:webHidden/>
          </w:rPr>
          <w:tab/>
        </w:r>
        <w:r w:rsidR="00F758D4">
          <w:rPr>
            <w:noProof/>
            <w:webHidden/>
          </w:rPr>
          <w:fldChar w:fldCharType="begin"/>
        </w:r>
        <w:r w:rsidR="00F758D4">
          <w:rPr>
            <w:noProof/>
            <w:webHidden/>
          </w:rPr>
          <w:instrText xml:space="preserve"> PAGEREF _Toc90983692 \h </w:instrText>
        </w:r>
        <w:r w:rsidR="00F758D4">
          <w:rPr>
            <w:noProof/>
            <w:webHidden/>
          </w:rPr>
        </w:r>
        <w:r w:rsidR="00F758D4">
          <w:rPr>
            <w:noProof/>
            <w:webHidden/>
          </w:rPr>
          <w:fldChar w:fldCharType="separate"/>
        </w:r>
        <w:r w:rsidR="00F758D4">
          <w:rPr>
            <w:noProof/>
            <w:webHidden/>
          </w:rPr>
          <w:t>227</w:t>
        </w:r>
        <w:r w:rsidR="00F758D4">
          <w:rPr>
            <w:noProof/>
            <w:webHidden/>
          </w:rPr>
          <w:fldChar w:fldCharType="end"/>
        </w:r>
      </w:hyperlink>
    </w:p>
    <w:p w14:paraId="48F3DA94" w14:textId="0E259ED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93" w:history="1">
        <w:r w:rsidR="00F758D4" w:rsidRPr="00C24B66">
          <w:rPr>
            <w:rStyle w:val="Hyperlink"/>
            <w:noProof/>
          </w:rPr>
          <w:t>8.11.1.</w:t>
        </w:r>
        <w:r w:rsidR="00F758D4">
          <w:rPr>
            <w:rFonts w:asciiTheme="minorHAnsi" w:eastAsiaTheme="minorEastAsia" w:hAnsiTheme="minorHAnsi" w:cstheme="minorBidi"/>
            <w:noProof/>
            <w:color w:val="auto"/>
            <w:sz w:val="22"/>
            <w:szCs w:val="22"/>
          </w:rPr>
          <w:tab/>
        </w:r>
        <w:r w:rsidR="00F758D4" w:rsidRPr="00C24B66">
          <w:rPr>
            <w:rStyle w:val="Hyperlink"/>
            <w:noProof/>
          </w:rPr>
          <w:t>UNION BANK v. WOLAS, 502 U.S. 151 (1991)</w:t>
        </w:r>
        <w:r w:rsidR="00F758D4">
          <w:rPr>
            <w:noProof/>
            <w:webHidden/>
          </w:rPr>
          <w:tab/>
        </w:r>
        <w:r w:rsidR="00F758D4">
          <w:rPr>
            <w:noProof/>
            <w:webHidden/>
          </w:rPr>
          <w:fldChar w:fldCharType="begin"/>
        </w:r>
        <w:r w:rsidR="00F758D4">
          <w:rPr>
            <w:noProof/>
            <w:webHidden/>
          </w:rPr>
          <w:instrText xml:space="preserve"> PAGEREF _Toc90983693 \h </w:instrText>
        </w:r>
        <w:r w:rsidR="00F758D4">
          <w:rPr>
            <w:noProof/>
            <w:webHidden/>
          </w:rPr>
        </w:r>
        <w:r w:rsidR="00F758D4">
          <w:rPr>
            <w:noProof/>
            <w:webHidden/>
          </w:rPr>
          <w:fldChar w:fldCharType="separate"/>
        </w:r>
        <w:r w:rsidR="00F758D4">
          <w:rPr>
            <w:noProof/>
            <w:webHidden/>
          </w:rPr>
          <w:t>227</w:t>
        </w:r>
        <w:r w:rsidR="00F758D4">
          <w:rPr>
            <w:noProof/>
            <w:webHidden/>
          </w:rPr>
          <w:fldChar w:fldCharType="end"/>
        </w:r>
      </w:hyperlink>
    </w:p>
    <w:p w14:paraId="4E1533AF" w14:textId="19D0B378"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694" w:history="1">
        <w:r w:rsidR="00F758D4" w:rsidRPr="00C24B66">
          <w:rPr>
            <w:rStyle w:val="Hyperlink"/>
            <w:noProof/>
          </w:rPr>
          <w:t>8.11.2.</w:t>
        </w:r>
        <w:r w:rsidR="00F758D4">
          <w:rPr>
            <w:rFonts w:asciiTheme="minorHAnsi" w:eastAsiaTheme="minorEastAsia" w:hAnsiTheme="minorHAnsi" w:cstheme="minorBidi"/>
            <w:noProof/>
            <w:color w:val="auto"/>
            <w:sz w:val="22"/>
            <w:szCs w:val="22"/>
          </w:rPr>
          <w:tab/>
        </w:r>
        <w:r w:rsidR="00F758D4" w:rsidRPr="00C24B66">
          <w:rPr>
            <w:rStyle w:val="Hyperlink"/>
            <w:noProof/>
          </w:rPr>
          <w:t>IN RE TOLANA PIZZA, 3 F.3d 1029 (7th Cir. 1993)</w:t>
        </w:r>
        <w:r w:rsidR="00F758D4">
          <w:rPr>
            <w:noProof/>
            <w:webHidden/>
          </w:rPr>
          <w:tab/>
        </w:r>
        <w:r w:rsidR="00F758D4">
          <w:rPr>
            <w:noProof/>
            <w:webHidden/>
          </w:rPr>
          <w:fldChar w:fldCharType="begin"/>
        </w:r>
        <w:r w:rsidR="00F758D4">
          <w:rPr>
            <w:noProof/>
            <w:webHidden/>
          </w:rPr>
          <w:instrText xml:space="preserve"> PAGEREF _Toc90983694 \h </w:instrText>
        </w:r>
        <w:r w:rsidR="00F758D4">
          <w:rPr>
            <w:noProof/>
            <w:webHidden/>
          </w:rPr>
        </w:r>
        <w:r w:rsidR="00F758D4">
          <w:rPr>
            <w:noProof/>
            <w:webHidden/>
          </w:rPr>
          <w:fldChar w:fldCharType="separate"/>
        </w:r>
        <w:r w:rsidR="00F758D4">
          <w:rPr>
            <w:noProof/>
            <w:webHidden/>
          </w:rPr>
          <w:t>228</w:t>
        </w:r>
        <w:r w:rsidR="00F758D4">
          <w:rPr>
            <w:noProof/>
            <w:webHidden/>
          </w:rPr>
          <w:fldChar w:fldCharType="end"/>
        </w:r>
      </w:hyperlink>
    </w:p>
    <w:p w14:paraId="1E6CAB33" w14:textId="2C8786F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5" w:history="1">
        <w:r w:rsidR="00F758D4" w:rsidRPr="00C24B66">
          <w:rPr>
            <w:rStyle w:val="Hyperlink"/>
            <w:noProof/>
          </w:rPr>
          <w:t>8.12.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Preference Exceptions</w:t>
        </w:r>
        <w:r w:rsidR="00F758D4">
          <w:rPr>
            <w:noProof/>
            <w:webHidden/>
          </w:rPr>
          <w:tab/>
        </w:r>
        <w:r w:rsidR="00F758D4">
          <w:rPr>
            <w:noProof/>
            <w:webHidden/>
          </w:rPr>
          <w:fldChar w:fldCharType="begin"/>
        </w:r>
        <w:r w:rsidR="00F758D4">
          <w:rPr>
            <w:noProof/>
            <w:webHidden/>
          </w:rPr>
          <w:instrText xml:space="preserve"> PAGEREF _Toc90983695 \h </w:instrText>
        </w:r>
        <w:r w:rsidR="00F758D4">
          <w:rPr>
            <w:noProof/>
            <w:webHidden/>
          </w:rPr>
        </w:r>
        <w:r w:rsidR="00F758D4">
          <w:rPr>
            <w:noProof/>
            <w:webHidden/>
          </w:rPr>
          <w:fldChar w:fldCharType="separate"/>
        </w:r>
        <w:r w:rsidR="00F758D4">
          <w:rPr>
            <w:noProof/>
            <w:webHidden/>
          </w:rPr>
          <w:t>231</w:t>
        </w:r>
        <w:r w:rsidR="00F758D4">
          <w:rPr>
            <w:noProof/>
            <w:webHidden/>
          </w:rPr>
          <w:fldChar w:fldCharType="end"/>
        </w:r>
      </w:hyperlink>
    </w:p>
    <w:p w14:paraId="49F08936" w14:textId="7CB432D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6" w:history="1">
        <w:r w:rsidR="00F758D4" w:rsidRPr="00C24B66">
          <w:rPr>
            <w:rStyle w:val="Hyperlink"/>
            <w:noProof/>
          </w:rPr>
          <w:t>8.13.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Statutory Liens – 11 U.S.C. § 545</w:t>
        </w:r>
        <w:r w:rsidR="00F758D4">
          <w:rPr>
            <w:noProof/>
            <w:webHidden/>
          </w:rPr>
          <w:tab/>
        </w:r>
        <w:r w:rsidR="00F758D4">
          <w:rPr>
            <w:noProof/>
            <w:webHidden/>
          </w:rPr>
          <w:fldChar w:fldCharType="begin"/>
        </w:r>
        <w:r w:rsidR="00F758D4">
          <w:rPr>
            <w:noProof/>
            <w:webHidden/>
          </w:rPr>
          <w:instrText xml:space="preserve"> PAGEREF _Toc90983696 \h </w:instrText>
        </w:r>
        <w:r w:rsidR="00F758D4">
          <w:rPr>
            <w:noProof/>
            <w:webHidden/>
          </w:rPr>
        </w:r>
        <w:r w:rsidR="00F758D4">
          <w:rPr>
            <w:noProof/>
            <w:webHidden/>
          </w:rPr>
          <w:fldChar w:fldCharType="separate"/>
        </w:r>
        <w:r w:rsidR="00F758D4">
          <w:rPr>
            <w:noProof/>
            <w:webHidden/>
          </w:rPr>
          <w:t>233</w:t>
        </w:r>
        <w:r w:rsidR="00F758D4">
          <w:rPr>
            <w:noProof/>
            <w:webHidden/>
          </w:rPr>
          <w:fldChar w:fldCharType="end"/>
        </w:r>
      </w:hyperlink>
    </w:p>
    <w:p w14:paraId="2BCCB39C" w14:textId="6C9B8C0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7" w:history="1">
        <w:r w:rsidR="00F758D4" w:rsidRPr="00C24B66">
          <w:rPr>
            <w:rStyle w:val="Hyperlink"/>
            <w:noProof/>
          </w:rPr>
          <w:t>8.14.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Setoffs – 11 U.S.C. § 553</w:t>
        </w:r>
        <w:r w:rsidR="00F758D4">
          <w:rPr>
            <w:noProof/>
            <w:webHidden/>
          </w:rPr>
          <w:tab/>
        </w:r>
        <w:r w:rsidR="00F758D4">
          <w:rPr>
            <w:noProof/>
            <w:webHidden/>
          </w:rPr>
          <w:fldChar w:fldCharType="begin"/>
        </w:r>
        <w:r w:rsidR="00F758D4">
          <w:rPr>
            <w:noProof/>
            <w:webHidden/>
          </w:rPr>
          <w:instrText xml:space="preserve"> PAGEREF _Toc90983697 \h </w:instrText>
        </w:r>
        <w:r w:rsidR="00F758D4">
          <w:rPr>
            <w:noProof/>
            <w:webHidden/>
          </w:rPr>
        </w:r>
        <w:r w:rsidR="00F758D4">
          <w:rPr>
            <w:noProof/>
            <w:webHidden/>
          </w:rPr>
          <w:fldChar w:fldCharType="separate"/>
        </w:r>
        <w:r w:rsidR="00F758D4">
          <w:rPr>
            <w:noProof/>
            <w:webHidden/>
          </w:rPr>
          <w:t>233</w:t>
        </w:r>
        <w:r w:rsidR="00F758D4">
          <w:rPr>
            <w:noProof/>
            <w:webHidden/>
          </w:rPr>
          <w:fldChar w:fldCharType="end"/>
        </w:r>
      </w:hyperlink>
    </w:p>
    <w:p w14:paraId="67133D17" w14:textId="0ED12EB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8" w:history="1">
        <w:r w:rsidR="00F758D4" w:rsidRPr="00C24B66">
          <w:rPr>
            <w:rStyle w:val="Hyperlink"/>
            <w:noProof/>
          </w:rPr>
          <w:t>8.15.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Setoff Preferences</w:t>
        </w:r>
        <w:r w:rsidR="00F758D4">
          <w:rPr>
            <w:noProof/>
            <w:webHidden/>
          </w:rPr>
          <w:tab/>
        </w:r>
        <w:r w:rsidR="00F758D4">
          <w:rPr>
            <w:noProof/>
            <w:webHidden/>
          </w:rPr>
          <w:fldChar w:fldCharType="begin"/>
        </w:r>
        <w:r w:rsidR="00F758D4">
          <w:rPr>
            <w:noProof/>
            <w:webHidden/>
          </w:rPr>
          <w:instrText xml:space="preserve"> PAGEREF _Toc90983698 \h </w:instrText>
        </w:r>
        <w:r w:rsidR="00F758D4">
          <w:rPr>
            <w:noProof/>
            <w:webHidden/>
          </w:rPr>
        </w:r>
        <w:r w:rsidR="00F758D4">
          <w:rPr>
            <w:noProof/>
            <w:webHidden/>
          </w:rPr>
          <w:fldChar w:fldCharType="separate"/>
        </w:r>
        <w:r w:rsidR="00F758D4">
          <w:rPr>
            <w:noProof/>
            <w:webHidden/>
          </w:rPr>
          <w:t>234</w:t>
        </w:r>
        <w:r w:rsidR="00F758D4">
          <w:rPr>
            <w:noProof/>
            <w:webHidden/>
          </w:rPr>
          <w:fldChar w:fldCharType="end"/>
        </w:r>
      </w:hyperlink>
    </w:p>
    <w:p w14:paraId="681B77E4" w14:textId="6F179E1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699" w:history="1">
        <w:r w:rsidR="00F758D4" w:rsidRPr="00C24B66">
          <w:rPr>
            <w:rStyle w:val="Hyperlink"/>
            <w:noProof/>
          </w:rPr>
          <w:t>8.16.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Setoffs</w:t>
        </w:r>
        <w:r w:rsidR="00F758D4">
          <w:rPr>
            <w:noProof/>
            <w:webHidden/>
          </w:rPr>
          <w:tab/>
        </w:r>
        <w:r w:rsidR="00F758D4">
          <w:rPr>
            <w:noProof/>
            <w:webHidden/>
          </w:rPr>
          <w:fldChar w:fldCharType="begin"/>
        </w:r>
        <w:r w:rsidR="00F758D4">
          <w:rPr>
            <w:noProof/>
            <w:webHidden/>
          </w:rPr>
          <w:instrText xml:space="preserve"> PAGEREF _Toc90983699 \h </w:instrText>
        </w:r>
        <w:r w:rsidR="00F758D4">
          <w:rPr>
            <w:noProof/>
            <w:webHidden/>
          </w:rPr>
        </w:r>
        <w:r w:rsidR="00F758D4">
          <w:rPr>
            <w:noProof/>
            <w:webHidden/>
          </w:rPr>
          <w:fldChar w:fldCharType="separate"/>
        </w:r>
        <w:r w:rsidR="00F758D4">
          <w:rPr>
            <w:noProof/>
            <w:webHidden/>
          </w:rPr>
          <w:t>234</w:t>
        </w:r>
        <w:r w:rsidR="00F758D4">
          <w:rPr>
            <w:noProof/>
            <w:webHidden/>
          </w:rPr>
          <w:fldChar w:fldCharType="end"/>
        </w:r>
      </w:hyperlink>
    </w:p>
    <w:p w14:paraId="00D34C2F" w14:textId="79696FE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00" w:history="1">
        <w:r w:rsidR="00F758D4" w:rsidRPr="00C24B66">
          <w:rPr>
            <w:rStyle w:val="Hyperlink"/>
            <w:noProof/>
          </w:rPr>
          <w:t>8.16.1.</w:t>
        </w:r>
        <w:r w:rsidR="00F758D4">
          <w:rPr>
            <w:rFonts w:asciiTheme="minorHAnsi" w:eastAsiaTheme="minorEastAsia" w:hAnsiTheme="minorHAnsi" w:cstheme="minorBidi"/>
            <w:noProof/>
            <w:color w:val="auto"/>
            <w:sz w:val="22"/>
            <w:szCs w:val="22"/>
          </w:rPr>
          <w:tab/>
        </w:r>
        <w:r w:rsidR="00F758D4" w:rsidRPr="00C24B66">
          <w:rPr>
            <w:rStyle w:val="Hyperlink"/>
            <w:noProof/>
          </w:rPr>
          <w:t>DURHAM v. SMI INDUSTRIES, INC., 882 F.2d 881 (4th Cir. 1989)</w:t>
        </w:r>
        <w:r w:rsidR="00F758D4">
          <w:rPr>
            <w:noProof/>
            <w:webHidden/>
          </w:rPr>
          <w:tab/>
        </w:r>
        <w:r w:rsidR="00F758D4">
          <w:rPr>
            <w:noProof/>
            <w:webHidden/>
          </w:rPr>
          <w:fldChar w:fldCharType="begin"/>
        </w:r>
        <w:r w:rsidR="00F758D4">
          <w:rPr>
            <w:noProof/>
            <w:webHidden/>
          </w:rPr>
          <w:instrText xml:space="preserve"> PAGEREF _Toc90983700 \h </w:instrText>
        </w:r>
        <w:r w:rsidR="00F758D4">
          <w:rPr>
            <w:noProof/>
            <w:webHidden/>
          </w:rPr>
        </w:r>
        <w:r w:rsidR="00F758D4">
          <w:rPr>
            <w:noProof/>
            <w:webHidden/>
          </w:rPr>
          <w:fldChar w:fldCharType="separate"/>
        </w:r>
        <w:r w:rsidR="00F758D4">
          <w:rPr>
            <w:noProof/>
            <w:webHidden/>
          </w:rPr>
          <w:t>234</w:t>
        </w:r>
        <w:r w:rsidR="00F758D4">
          <w:rPr>
            <w:noProof/>
            <w:webHidden/>
          </w:rPr>
          <w:fldChar w:fldCharType="end"/>
        </w:r>
      </w:hyperlink>
    </w:p>
    <w:p w14:paraId="451E5F32" w14:textId="4271D0A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1" w:history="1">
        <w:r w:rsidR="00F758D4" w:rsidRPr="00C24B66">
          <w:rPr>
            <w:rStyle w:val="Hyperlink"/>
            <w:noProof/>
          </w:rPr>
          <w:t>8.17.</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“Mutuality” Requirement</w:t>
        </w:r>
        <w:r w:rsidR="00F758D4">
          <w:rPr>
            <w:noProof/>
            <w:webHidden/>
          </w:rPr>
          <w:tab/>
        </w:r>
        <w:r w:rsidR="00F758D4">
          <w:rPr>
            <w:noProof/>
            <w:webHidden/>
          </w:rPr>
          <w:fldChar w:fldCharType="begin"/>
        </w:r>
        <w:r w:rsidR="00F758D4">
          <w:rPr>
            <w:noProof/>
            <w:webHidden/>
          </w:rPr>
          <w:instrText xml:space="preserve"> PAGEREF _Toc90983701 \h </w:instrText>
        </w:r>
        <w:r w:rsidR="00F758D4">
          <w:rPr>
            <w:noProof/>
            <w:webHidden/>
          </w:rPr>
        </w:r>
        <w:r w:rsidR="00F758D4">
          <w:rPr>
            <w:noProof/>
            <w:webHidden/>
          </w:rPr>
          <w:fldChar w:fldCharType="separate"/>
        </w:r>
        <w:r w:rsidR="00F758D4">
          <w:rPr>
            <w:noProof/>
            <w:webHidden/>
          </w:rPr>
          <w:t>236</w:t>
        </w:r>
        <w:r w:rsidR="00F758D4">
          <w:rPr>
            <w:noProof/>
            <w:webHidden/>
          </w:rPr>
          <w:fldChar w:fldCharType="end"/>
        </w:r>
      </w:hyperlink>
    </w:p>
    <w:p w14:paraId="3936DCE1" w14:textId="50AF494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2" w:history="1">
        <w:r w:rsidR="00F758D4" w:rsidRPr="00C24B66">
          <w:rPr>
            <w:rStyle w:val="Hyperlink"/>
            <w:noProof/>
          </w:rPr>
          <w:t>8.18.</w:t>
        </w:r>
        <w:r w:rsidR="00F758D4">
          <w:rPr>
            <w:rFonts w:asciiTheme="minorHAnsi" w:eastAsiaTheme="minorEastAsia" w:hAnsiTheme="minorHAnsi" w:cstheme="minorBidi"/>
            <w:iCs w:val="0"/>
            <w:noProof/>
            <w:color w:val="auto"/>
            <w:sz w:val="22"/>
            <w:szCs w:val="22"/>
          </w:rPr>
          <w:tab/>
        </w:r>
        <w:r w:rsidR="00F758D4" w:rsidRPr="00C24B66">
          <w:rPr>
            <w:rStyle w:val="Hyperlink"/>
            <w:noProof/>
          </w:rPr>
          <w:t>Unauthorized Post-Petition Transfers – 11 U.S.C. § 549</w:t>
        </w:r>
        <w:r w:rsidR="00F758D4">
          <w:rPr>
            <w:noProof/>
            <w:webHidden/>
          </w:rPr>
          <w:tab/>
        </w:r>
        <w:r w:rsidR="00F758D4">
          <w:rPr>
            <w:noProof/>
            <w:webHidden/>
          </w:rPr>
          <w:fldChar w:fldCharType="begin"/>
        </w:r>
        <w:r w:rsidR="00F758D4">
          <w:rPr>
            <w:noProof/>
            <w:webHidden/>
          </w:rPr>
          <w:instrText xml:space="preserve"> PAGEREF _Toc90983702 \h </w:instrText>
        </w:r>
        <w:r w:rsidR="00F758D4">
          <w:rPr>
            <w:noProof/>
            <w:webHidden/>
          </w:rPr>
        </w:r>
        <w:r w:rsidR="00F758D4">
          <w:rPr>
            <w:noProof/>
            <w:webHidden/>
          </w:rPr>
          <w:fldChar w:fldCharType="separate"/>
        </w:r>
        <w:r w:rsidR="00F758D4">
          <w:rPr>
            <w:noProof/>
            <w:webHidden/>
          </w:rPr>
          <w:t>237</w:t>
        </w:r>
        <w:r w:rsidR="00F758D4">
          <w:rPr>
            <w:noProof/>
            <w:webHidden/>
          </w:rPr>
          <w:fldChar w:fldCharType="end"/>
        </w:r>
      </w:hyperlink>
    </w:p>
    <w:p w14:paraId="08C46F45" w14:textId="68A8F74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3" w:history="1">
        <w:r w:rsidR="00F758D4" w:rsidRPr="00C24B66">
          <w:rPr>
            <w:rStyle w:val="Hyperlink"/>
            <w:noProof/>
          </w:rPr>
          <w:t>8.19.</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Statute of Limitations on Avoiding Powers – 11 U.S.C. § 546(a)</w:t>
        </w:r>
        <w:r w:rsidR="00F758D4">
          <w:rPr>
            <w:noProof/>
            <w:webHidden/>
          </w:rPr>
          <w:tab/>
        </w:r>
        <w:r w:rsidR="00F758D4">
          <w:rPr>
            <w:noProof/>
            <w:webHidden/>
          </w:rPr>
          <w:fldChar w:fldCharType="begin"/>
        </w:r>
        <w:r w:rsidR="00F758D4">
          <w:rPr>
            <w:noProof/>
            <w:webHidden/>
          </w:rPr>
          <w:instrText xml:space="preserve"> PAGEREF _Toc90983703 \h </w:instrText>
        </w:r>
        <w:r w:rsidR="00F758D4">
          <w:rPr>
            <w:noProof/>
            <w:webHidden/>
          </w:rPr>
        </w:r>
        <w:r w:rsidR="00F758D4">
          <w:rPr>
            <w:noProof/>
            <w:webHidden/>
          </w:rPr>
          <w:fldChar w:fldCharType="separate"/>
        </w:r>
        <w:r w:rsidR="00F758D4">
          <w:rPr>
            <w:noProof/>
            <w:webHidden/>
          </w:rPr>
          <w:t>238</w:t>
        </w:r>
        <w:r w:rsidR="00F758D4">
          <w:rPr>
            <w:noProof/>
            <w:webHidden/>
          </w:rPr>
          <w:fldChar w:fldCharType="end"/>
        </w:r>
      </w:hyperlink>
    </w:p>
    <w:p w14:paraId="72ED6123" w14:textId="70FEB82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4" w:history="1">
        <w:r w:rsidR="00F758D4" w:rsidRPr="00C24B66">
          <w:rPr>
            <w:rStyle w:val="Hyperlink"/>
            <w:noProof/>
          </w:rPr>
          <w:t>8.20.</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Relation-back Perfection Rules – 11 U.S.C. § 546(b)</w:t>
        </w:r>
        <w:r w:rsidR="00F758D4">
          <w:rPr>
            <w:noProof/>
            <w:webHidden/>
          </w:rPr>
          <w:tab/>
        </w:r>
        <w:r w:rsidR="00F758D4">
          <w:rPr>
            <w:noProof/>
            <w:webHidden/>
          </w:rPr>
          <w:fldChar w:fldCharType="begin"/>
        </w:r>
        <w:r w:rsidR="00F758D4">
          <w:rPr>
            <w:noProof/>
            <w:webHidden/>
          </w:rPr>
          <w:instrText xml:space="preserve"> PAGEREF _Toc90983704 \h </w:instrText>
        </w:r>
        <w:r w:rsidR="00F758D4">
          <w:rPr>
            <w:noProof/>
            <w:webHidden/>
          </w:rPr>
        </w:r>
        <w:r w:rsidR="00F758D4">
          <w:rPr>
            <w:noProof/>
            <w:webHidden/>
          </w:rPr>
          <w:fldChar w:fldCharType="separate"/>
        </w:r>
        <w:r w:rsidR="00F758D4">
          <w:rPr>
            <w:noProof/>
            <w:webHidden/>
          </w:rPr>
          <w:t>238</w:t>
        </w:r>
        <w:r w:rsidR="00F758D4">
          <w:rPr>
            <w:noProof/>
            <w:webHidden/>
          </w:rPr>
          <w:fldChar w:fldCharType="end"/>
        </w:r>
      </w:hyperlink>
    </w:p>
    <w:p w14:paraId="17B468F7" w14:textId="36CE22F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5" w:history="1">
        <w:r w:rsidR="00F758D4" w:rsidRPr="00C24B66">
          <w:rPr>
            <w:rStyle w:val="Hyperlink"/>
            <w:noProof/>
          </w:rPr>
          <w:t>8.21.</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Reclamation Rights – 11 U.S.C. § 546(c)</w:t>
        </w:r>
        <w:r w:rsidR="00F758D4">
          <w:rPr>
            <w:noProof/>
            <w:webHidden/>
          </w:rPr>
          <w:tab/>
        </w:r>
        <w:r w:rsidR="00F758D4">
          <w:rPr>
            <w:noProof/>
            <w:webHidden/>
          </w:rPr>
          <w:fldChar w:fldCharType="begin"/>
        </w:r>
        <w:r w:rsidR="00F758D4">
          <w:rPr>
            <w:noProof/>
            <w:webHidden/>
          </w:rPr>
          <w:instrText xml:space="preserve"> PAGEREF _Toc90983705 \h </w:instrText>
        </w:r>
        <w:r w:rsidR="00F758D4">
          <w:rPr>
            <w:noProof/>
            <w:webHidden/>
          </w:rPr>
        </w:r>
        <w:r w:rsidR="00F758D4">
          <w:rPr>
            <w:noProof/>
            <w:webHidden/>
          </w:rPr>
          <w:fldChar w:fldCharType="separate"/>
        </w:r>
        <w:r w:rsidR="00F758D4">
          <w:rPr>
            <w:noProof/>
            <w:webHidden/>
          </w:rPr>
          <w:t>238</w:t>
        </w:r>
        <w:r w:rsidR="00F758D4">
          <w:rPr>
            <w:noProof/>
            <w:webHidden/>
          </w:rPr>
          <w:fldChar w:fldCharType="end"/>
        </w:r>
      </w:hyperlink>
    </w:p>
    <w:p w14:paraId="7F2B78E9" w14:textId="35EAB8F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6" w:history="1">
        <w:r w:rsidR="00F758D4" w:rsidRPr="00C24B66">
          <w:rPr>
            <w:rStyle w:val="Hyperlink"/>
            <w:noProof/>
          </w:rPr>
          <w:t>8.22.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Reclamation Rights</w:t>
        </w:r>
        <w:r w:rsidR="00F758D4">
          <w:rPr>
            <w:noProof/>
            <w:webHidden/>
          </w:rPr>
          <w:tab/>
        </w:r>
        <w:r w:rsidR="00F758D4">
          <w:rPr>
            <w:noProof/>
            <w:webHidden/>
          </w:rPr>
          <w:fldChar w:fldCharType="begin"/>
        </w:r>
        <w:r w:rsidR="00F758D4">
          <w:rPr>
            <w:noProof/>
            <w:webHidden/>
          </w:rPr>
          <w:instrText xml:space="preserve"> PAGEREF _Toc90983706 \h </w:instrText>
        </w:r>
        <w:r w:rsidR="00F758D4">
          <w:rPr>
            <w:noProof/>
            <w:webHidden/>
          </w:rPr>
        </w:r>
        <w:r w:rsidR="00F758D4">
          <w:rPr>
            <w:noProof/>
            <w:webHidden/>
          </w:rPr>
          <w:fldChar w:fldCharType="separate"/>
        </w:r>
        <w:r w:rsidR="00F758D4">
          <w:rPr>
            <w:noProof/>
            <w:webHidden/>
          </w:rPr>
          <w:t>239</w:t>
        </w:r>
        <w:r w:rsidR="00F758D4">
          <w:rPr>
            <w:noProof/>
            <w:webHidden/>
          </w:rPr>
          <w:fldChar w:fldCharType="end"/>
        </w:r>
      </w:hyperlink>
    </w:p>
    <w:p w14:paraId="41CA70CA" w14:textId="18A8400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07" w:history="1">
        <w:r w:rsidR="00F758D4" w:rsidRPr="00C24B66">
          <w:rPr>
            <w:rStyle w:val="Hyperlink"/>
            <w:noProof/>
          </w:rPr>
          <w:t>8.22.1.</w:t>
        </w:r>
        <w:r w:rsidR="00F758D4">
          <w:rPr>
            <w:rFonts w:asciiTheme="minorHAnsi" w:eastAsiaTheme="minorEastAsia" w:hAnsiTheme="minorHAnsi" w:cstheme="minorBidi"/>
            <w:noProof/>
            <w:color w:val="auto"/>
            <w:sz w:val="22"/>
            <w:szCs w:val="22"/>
          </w:rPr>
          <w:tab/>
        </w:r>
        <w:r w:rsidR="00F758D4" w:rsidRPr="00C24B66">
          <w:rPr>
            <w:rStyle w:val="Hyperlink"/>
            <w:noProof/>
          </w:rPr>
          <w:t>IN RE ARLCO, INC., 239 B.R. 261 (Bankr. S.D.N.Y. 1999)</w:t>
        </w:r>
        <w:r w:rsidR="00F758D4">
          <w:rPr>
            <w:noProof/>
            <w:webHidden/>
          </w:rPr>
          <w:tab/>
        </w:r>
        <w:r w:rsidR="00F758D4">
          <w:rPr>
            <w:noProof/>
            <w:webHidden/>
          </w:rPr>
          <w:fldChar w:fldCharType="begin"/>
        </w:r>
        <w:r w:rsidR="00F758D4">
          <w:rPr>
            <w:noProof/>
            <w:webHidden/>
          </w:rPr>
          <w:instrText xml:space="preserve"> PAGEREF _Toc90983707 \h </w:instrText>
        </w:r>
        <w:r w:rsidR="00F758D4">
          <w:rPr>
            <w:noProof/>
            <w:webHidden/>
          </w:rPr>
        </w:r>
        <w:r w:rsidR="00F758D4">
          <w:rPr>
            <w:noProof/>
            <w:webHidden/>
          </w:rPr>
          <w:fldChar w:fldCharType="separate"/>
        </w:r>
        <w:r w:rsidR="00F758D4">
          <w:rPr>
            <w:noProof/>
            <w:webHidden/>
          </w:rPr>
          <w:t>239</w:t>
        </w:r>
        <w:r w:rsidR="00F758D4">
          <w:rPr>
            <w:noProof/>
            <w:webHidden/>
          </w:rPr>
          <w:fldChar w:fldCharType="end"/>
        </w:r>
      </w:hyperlink>
    </w:p>
    <w:p w14:paraId="0E55CFD3" w14:textId="65AFBA6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08" w:history="1">
        <w:r w:rsidR="00F758D4" w:rsidRPr="00C24B66">
          <w:rPr>
            <w:rStyle w:val="Hyperlink"/>
            <w:noProof/>
          </w:rPr>
          <w:t>8.22.2.</w:t>
        </w:r>
        <w:r w:rsidR="00F758D4">
          <w:rPr>
            <w:rFonts w:asciiTheme="minorHAnsi" w:eastAsiaTheme="minorEastAsia" w:hAnsiTheme="minorHAnsi" w:cstheme="minorBidi"/>
            <w:noProof/>
            <w:color w:val="auto"/>
            <w:sz w:val="22"/>
            <w:szCs w:val="22"/>
          </w:rPr>
          <w:tab/>
        </w:r>
        <w:r w:rsidR="00F758D4" w:rsidRPr="00C24B66">
          <w:rPr>
            <w:rStyle w:val="Hyperlink"/>
            <w:noProof/>
          </w:rPr>
          <w:t>PHAR-MOR v. McKESSON CORPORATION, 534 F.3d 502 (6th Cir. 2008)</w:t>
        </w:r>
        <w:r w:rsidR="00F758D4">
          <w:rPr>
            <w:noProof/>
            <w:webHidden/>
          </w:rPr>
          <w:tab/>
        </w:r>
        <w:r w:rsidR="00F758D4">
          <w:rPr>
            <w:noProof/>
            <w:webHidden/>
          </w:rPr>
          <w:fldChar w:fldCharType="begin"/>
        </w:r>
        <w:r w:rsidR="00F758D4">
          <w:rPr>
            <w:noProof/>
            <w:webHidden/>
          </w:rPr>
          <w:instrText xml:space="preserve"> PAGEREF _Toc90983708 \h </w:instrText>
        </w:r>
        <w:r w:rsidR="00F758D4">
          <w:rPr>
            <w:noProof/>
            <w:webHidden/>
          </w:rPr>
        </w:r>
        <w:r w:rsidR="00F758D4">
          <w:rPr>
            <w:noProof/>
            <w:webHidden/>
          </w:rPr>
          <w:fldChar w:fldCharType="separate"/>
        </w:r>
        <w:r w:rsidR="00F758D4">
          <w:rPr>
            <w:noProof/>
            <w:webHidden/>
          </w:rPr>
          <w:t>243</w:t>
        </w:r>
        <w:r w:rsidR="00F758D4">
          <w:rPr>
            <w:noProof/>
            <w:webHidden/>
          </w:rPr>
          <w:fldChar w:fldCharType="end"/>
        </w:r>
      </w:hyperlink>
    </w:p>
    <w:p w14:paraId="0D128E59" w14:textId="3B404ED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09" w:history="1">
        <w:r w:rsidR="00F758D4" w:rsidRPr="00C24B66">
          <w:rPr>
            <w:rStyle w:val="Hyperlink"/>
            <w:noProof/>
          </w:rPr>
          <w:t>8.23.</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Recovering Avoided Transfers – 11 U.S.C. § 550</w:t>
        </w:r>
        <w:r w:rsidR="00F758D4">
          <w:rPr>
            <w:noProof/>
            <w:webHidden/>
          </w:rPr>
          <w:tab/>
        </w:r>
        <w:r w:rsidR="00F758D4">
          <w:rPr>
            <w:noProof/>
            <w:webHidden/>
          </w:rPr>
          <w:fldChar w:fldCharType="begin"/>
        </w:r>
        <w:r w:rsidR="00F758D4">
          <w:rPr>
            <w:noProof/>
            <w:webHidden/>
          </w:rPr>
          <w:instrText xml:space="preserve"> PAGEREF _Toc90983709 \h </w:instrText>
        </w:r>
        <w:r w:rsidR="00F758D4">
          <w:rPr>
            <w:noProof/>
            <w:webHidden/>
          </w:rPr>
        </w:r>
        <w:r w:rsidR="00F758D4">
          <w:rPr>
            <w:noProof/>
            <w:webHidden/>
          </w:rPr>
          <w:fldChar w:fldCharType="separate"/>
        </w:r>
        <w:r w:rsidR="00F758D4">
          <w:rPr>
            <w:noProof/>
            <w:webHidden/>
          </w:rPr>
          <w:t>245</w:t>
        </w:r>
        <w:r w:rsidR="00F758D4">
          <w:rPr>
            <w:noProof/>
            <w:webHidden/>
          </w:rPr>
          <w:fldChar w:fldCharType="end"/>
        </w:r>
      </w:hyperlink>
    </w:p>
    <w:p w14:paraId="1BEBA4C1" w14:textId="1E5815A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10" w:history="1">
        <w:r w:rsidR="00F758D4" w:rsidRPr="00C24B66">
          <w:rPr>
            <w:rStyle w:val="Hyperlink"/>
            <w:noProof/>
          </w:rPr>
          <w:t>8.24.</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Recovering Avoided Transfers</w:t>
        </w:r>
        <w:r w:rsidR="00F758D4">
          <w:rPr>
            <w:noProof/>
            <w:webHidden/>
          </w:rPr>
          <w:tab/>
        </w:r>
        <w:r w:rsidR="00F758D4">
          <w:rPr>
            <w:noProof/>
            <w:webHidden/>
          </w:rPr>
          <w:fldChar w:fldCharType="begin"/>
        </w:r>
        <w:r w:rsidR="00F758D4">
          <w:rPr>
            <w:noProof/>
            <w:webHidden/>
          </w:rPr>
          <w:instrText xml:space="preserve"> PAGEREF _Toc90983710 \h </w:instrText>
        </w:r>
        <w:r w:rsidR="00F758D4">
          <w:rPr>
            <w:noProof/>
            <w:webHidden/>
          </w:rPr>
        </w:r>
        <w:r w:rsidR="00F758D4">
          <w:rPr>
            <w:noProof/>
            <w:webHidden/>
          </w:rPr>
          <w:fldChar w:fldCharType="separate"/>
        </w:r>
        <w:r w:rsidR="00F758D4">
          <w:rPr>
            <w:noProof/>
            <w:webHidden/>
          </w:rPr>
          <w:t>246</w:t>
        </w:r>
        <w:r w:rsidR="00F758D4">
          <w:rPr>
            <w:noProof/>
            <w:webHidden/>
          </w:rPr>
          <w:fldChar w:fldCharType="end"/>
        </w:r>
      </w:hyperlink>
    </w:p>
    <w:p w14:paraId="3A1C5156" w14:textId="4D67938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11" w:history="1">
        <w:r w:rsidR="00F758D4" w:rsidRPr="00C24B66">
          <w:rPr>
            <w:rStyle w:val="Hyperlink"/>
            <w:noProof/>
          </w:rPr>
          <w:t>8.25.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Recovering Avoided Transfers</w:t>
        </w:r>
        <w:r w:rsidR="00F758D4">
          <w:rPr>
            <w:noProof/>
            <w:webHidden/>
          </w:rPr>
          <w:tab/>
        </w:r>
        <w:r w:rsidR="00F758D4">
          <w:rPr>
            <w:noProof/>
            <w:webHidden/>
          </w:rPr>
          <w:fldChar w:fldCharType="begin"/>
        </w:r>
        <w:r w:rsidR="00F758D4">
          <w:rPr>
            <w:noProof/>
            <w:webHidden/>
          </w:rPr>
          <w:instrText xml:space="preserve"> PAGEREF _Toc90983711 \h </w:instrText>
        </w:r>
        <w:r w:rsidR="00F758D4">
          <w:rPr>
            <w:noProof/>
            <w:webHidden/>
          </w:rPr>
        </w:r>
        <w:r w:rsidR="00F758D4">
          <w:rPr>
            <w:noProof/>
            <w:webHidden/>
          </w:rPr>
          <w:fldChar w:fldCharType="separate"/>
        </w:r>
        <w:r w:rsidR="00F758D4">
          <w:rPr>
            <w:noProof/>
            <w:webHidden/>
          </w:rPr>
          <w:t>246</w:t>
        </w:r>
        <w:r w:rsidR="00F758D4">
          <w:rPr>
            <w:noProof/>
            <w:webHidden/>
          </w:rPr>
          <w:fldChar w:fldCharType="end"/>
        </w:r>
      </w:hyperlink>
    </w:p>
    <w:p w14:paraId="6B69262F" w14:textId="1CF5E6F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12" w:history="1">
        <w:r w:rsidR="00F758D4" w:rsidRPr="00C24B66">
          <w:rPr>
            <w:rStyle w:val="Hyperlink"/>
            <w:noProof/>
          </w:rPr>
          <w:t>8.25.1.</w:t>
        </w:r>
        <w:r w:rsidR="00F758D4">
          <w:rPr>
            <w:rFonts w:asciiTheme="minorHAnsi" w:eastAsiaTheme="minorEastAsia" w:hAnsiTheme="minorHAnsi" w:cstheme="minorBidi"/>
            <w:noProof/>
            <w:color w:val="auto"/>
            <w:sz w:val="22"/>
            <w:szCs w:val="22"/>
          </w:rPr>
          <w:tab/>
        </w:r>
        <w:r w:rsidR="00F758D4" w:rsidRPr="00C24B66">
          <w:rPr>
            <w:rStyle w:val="Hyperlink"/>
            <w:noProof/>
          </w:rPr>
          <w:t>BONDED FIN. SERV., INC., v. EUROPEAN AMERICAN BANK, 838 F.2d 890 (7th Cir. 1988)</w:t>
        </w:r>
        <w:r w:rsidR="00F758D4">
          <w:rPr>
            <w:noProof/>
            <w:webHidden/>
          </w:rPr>
          <w:tab/>
        </w:r>
        <w:r w:rsidR="00F758D4">
          <w:rPr>
            <w:noProof/>
            <w:webHidden/>
          </w:rPr>
          <w:fldChar w:fldCharType="begin"/>
        </w:r>
        <w:r w:rsidR="00F758D4">
          <w:rPr>
            <w:noProof/>
            <w:webHidden/>
          </w:rPr>
          <w:instrText xml:space="preserve"> PAGEREF _Toc90983712 \h </w:instrText>
        </w:r>
        <w:r w:rsidR="00F758D4">
          <w:rPr>
            <w:noProof/>
            <w:webHidden/>
          </w:rPr>
        </w:r>
        <w:r w:rsidR="00F758D4">
          <w:rPr>
            <w:noProof/>
            <w:webHidden/>
          </w:rPr>
          <w:fldChar w:fldCharType="separate"/>
        </w:r>
        <w:r w:rsidR="00F758D4">
          <w:rPr>
            <w:noProof/>
            <w:webHidden/>
          </w:rPr>
          <w:t>246</w:t>
        </w:r>
        <w:r w:rsidR="00F758D4">
          <w:rPr>
            <w:noProof/>
            <w:webHidden/>
          </w:rPr>
          <w:fldChar w:fldCharType="end"/>
        </w:r>
      </w:hyperlink>
    </w:p>
    <w:p w14:paraId="3BEAC007" w14:textId="6549F5C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13" w:history="1">
        <w:r w:rsidR="00F758D4" w:rsidRPr="00C24B66">
          <w:rPr>
            <w:rStyle w:val="Hyperlink"/>
            <w:noProof/>
          </w:rPr>
          <w:t>8.25.2.</w:t>
        </w:r>
        <w:r w:rsidR="00F758D4">
          <w:rPr>
            <w:rFonts w:asciiTheme="minorHAnsi" w:eastAsiaTheme="minorEastAsia" w:hAnsiTheme="minorHAnsi" w:cstheme="minorBidi"/>
            <w:noProof/>
            <w:color w:val="auto"/>
            <w:sz w:val="22"/>
            <w:szCs w:val="22"/>
          </w:rPr>
          <w:tab/>
        </w:r>
        <w:r w:rsidR="00F758D4" w:rsidRPr="00C24B66">
          <w:rPr>
            <w:rStyle w:val="Hyperlink"/>
            <w:noProof/>
          </w:rPr>
          <w:t>KELLOGG v. BLUE QUAIL ENERGY, 831 F.2d 586 (5th Cir. 1987)</w:t>
        </w:r>
        <w:r w:rsidR="00F758D4">
          <w:rPr>
            <w:noProof/>
            <w:webHidden/>
          </w:rPr>
          <w:tab/>
        </w:r>
        <w:r w:rsidR="00F758D4">
          <w:rPr>
            <w:noProof/>
            <w:webHidden/>
          </w:rPr>
          <w:fldChar w:fldCharType="begin"/>
        </w:r>
        <w:r w:rsidR="00F758D4">
          <w:rPr>
            <w:noProof/>
            <w:webHidden/>
          </w:rPr>
          <w:instrText xml:space="preserve"> PAGEREF _Toc90983713 \h </w:instrText>
        </w:r>
        <w:r w:rsidR="00F758D4">
          <w:rPr>
            <w:noProof/>
            <w:webHidden/>
          </w:rPr>
        </w:r>
        <w:r w:rsidR="00F758D4">
          <w:rPr>
            <w:noProof/>
            <w:webHidden/>
          </w:rPr>
          <w:fldChar w:fldCharType="separate"/>
        </w:r>
        <w:r w:rsidR="00F758D4">
          <w:rPr>
            <w:noProof/>
            <w:webHidden/>
          </w:rPr>
          <w:t>252</w:t>
        </w:r>
        <w:r w:rsidR="00F758D4">
          <w:rPr>
            <w:noProof/>
            <w:webHidden/>
          </w:rPr>
          <w:fldChar w:fldCharType="end"/>
        </w:r>
      </w:hyperlink>
    </w:p>
    <w:p w14:paraId="37D59633" w14:textId="3680813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14" w:history="1">
        <w:r w:rsidR="00F758D4" w:rsidRPr="00C24B66">
          <w:rPr>
            <w:rStyle w:val="Hyperlink"/>
            <w:noProof/>
          </w:rPr>
          <w:t>8.26.</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The Debtor’s Avoiding Powers</w:t>
        </w:r>
        <w:r w:rsidR="00F758D4">
          <w:rPr>
            <w:noProof/>
            <w:webHidden/>
          </w:rPr>
          <w:tab/>
        </w:r>
        <w:r w:rsidR="00F758D4">
          <w:rPr>
            <w:noProof/>
            <w:webHidden/>
          </w:rPr>
          <w:fldChar w:fldCharType="begin"/>
        </w:r>
        <w:r w:rsidR="00F758D4">
          <w:rPr>
            <w:noProof/>
            <w:webHidden/>
          </w:rPr>
          <w:instrText xml:space="preserve"> PAGEREF _Toc90983714 \h </w:instrText>
        </w:r>
        <w:r w:rsidR="00F758D4">
          <w:rPr>
            <w:noProof/>
            <w:webHidden/>
          </w:rPr>
        </w:r>
        <w:r w:rsidR="00F758D4">
          <w:rPr>
            <w:noProof/>
            <w:webHidden/>
          </w:rPr>
          <w:fldChar w:fldCharType="separate"/>
        </w:r>
        <w:r w:rsidR="00F758D4">
          <w:rPr>
            <w:noProof/>
            <w:webHidden/>
          </w:rPr>
          <w:t>257</w:t>
        </w:r>
        <w:r w:rsidR="00F758D4">
          <w:rPr>
            <w:noProof/>
            <w:webHidden/>
          </w:rPr>
          <w:fldChar w:fldCharType="end"/>
        </w:r>
      </w:hyperlink>
    </w:p>
    <w:p w14:paraId="17EFEB36" w14:textId="482A4D6B"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715" w:history="1">
        <w:r w:rsidR="00F758D4" w:rsidRPr="00C24B66">
          <w:rPr>
            <w:rStyle w:val="Hyperlink"/>
            <w:noProof/>
          </w:rPr>
          <w:t>Chapter 9.</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Secured Claims in Bankruptcy</w:t>
        </w:r>
        <w:r w:rsidR="00F758D4">
          <w:rPr>
            <w:noProof/>
            <w:webHidden/>
          </w:rPr>
          <w:tab/>
        </w:r>
        <w:r w:rsidR="00F758D4">
          <w:rPr>
            <w:noProof/>
            <w:webHidden/>
          </w:rPr>
          <w:fldChar w:fldCharType="begin"/>
        </w:r>
        <w:r w:rsidR="00F758D4">
          <w:rPr>
            <w:noProof/>
            <w:webHidden/>
          </w:rPr>
          <w:instrText xml:space="preserve"> PAGEREF _Toc90983715 \h </w:instrText>
        </w:r>
        <w:r w:rsidR="00F758D4">
          <w:rPr>
            <w:noProof/>
            <w:webHidden/>
          </w:rPr>
        </w:r>
        <w:r w:rsidR="00F758D4">
          <w:rPr>
            <w:noProof/>
            <w:webHidden/>
          </w:rPr>
          <w:fldChar w:fldCharType="separate"/>
        </w:r>
        <w:r w:rsidR="00F758D4">
          <w:rPr>
            <w:noProof/>
            <w:webHidden/>
          </w:rPr>
          <w:t>258</w:t>
        </w:r>
        <w:r w:rsidR="00F758D4">
          <w:rPr>
            <w:noProof/>
            <w:webHidden/>
          </w:rPr>
          <w:fldChar w:fldCharType="end"/>
        </w:r>
      </w:hyperlink>
    </w:p>
    <w:p w14:paraId="6A1F316F" w14:textId="6666CB9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16" w:history="1">
        <w:r w:rsidR="00F758D4" w:rsidRPr="00C24B66">
          <w:rPr>
            <w:rStyle w:val="Hyperlink"/>
            <w:noProof/>
          </w:rPr>
          <w:t>9.1.</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Section 506(a) Split</w:t>
        </w:r>
        <w:r w:rsidR="00F758D4">
          <w:rPr>
            <w:noProof/>
            <w:webHidden/>
          </w:rPr>
          <w:tab/>
        </w:r>
        <w:r w:rsidR="00F758D4">
          <w:rPr>
            <w:noProof/>
            <w:webHidden/>
          </w:rPr>
          <w:fldChar w:fldCharType="begin"/>
        </w:r>
        <w:r w:rsidR="00F758D4">
          <w:rPr>
            <w:noProof/>
            <w:webHidden/>
          </w:rPr>
          <w:instrText xml:space="preserve"> PAGEREF _Toc90983716 \h </w:instrText>
        </w:r>
        <w:r w:rsidR="00F758D4">
          <w:rPr>
            <w:noProof/>
            <w:webHidden/>
          </w:rPr>
        </w:r>
        <w:r w:rsidR="00F758D4">
          <w:rPr>
            <w:noProof/>
            <w:webHidden/>
          </w:rPr>
          <w:fldChar w:fldCharType="separate"/>
        </w:r>
        <w:r w:rsidR="00F758D4">
          <w:rPr>
            <w:noProof/>
            <w:webHidden/>
          </w:rPr>
          <w:t>258</w:t>
        </w:r>
        <w:r w:rsidR="00F758D4">
          <w:rPr>
            <w:noProof/>
            <w:webHidden/>
          </w:rPr>
          <w:fldChar w:fldCharType="end"/>
        </w:r>
      </w:hyperlink>
    </w:p>
    <w:p w14:paraId="49B85FB7" w14:textId="7E82F1F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17" w:history="1">
        <w:r w:rsidR="00F758D4" w:rsidRPr="00C24B66">
          <w:rPr>
            <w:rStyle w:val="Hyperlink"/>
            <w:noProof/>
          </w:rPr>
          <w:t>9.2.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Valuation and the Section 506(a) Split</w:t>
        </w:r>
        <w:r w:rsidR="00F758D4">
          <w:rPr>
            <w:noProof/>
            <w:webHidden/>
          </w:rPr>
          <w:tab/>
        </w:r>
        <w:r w:rsidR="00F758D4">
          <w:rPr>
            <w:noProof/>
            <w:webHidden/>
          </w:rPr>
          <w:fldChar w:fldCharType="begin"/>
        </w:r>
        <w:r w:rsidR="00F758D4">
          <w:rPr>
            <w:noProof/>
            <w:webHidden/>
          </w:rPr>
          <w:instrText xml:space="preserve"> PAGEREF _Toc90983717 \h </w:instrText>
        </w:r>
        <w:r w:rsidR="00F758D4">
          <w:rPr>
            <w:noProof/>
            <w:webHidden/>
          </w:rPr>
        </w:r>
        <w:r w:rsidR="00F758D4">
          <w:rPr>
            <w:noProof/>
            <w:webHidden/>
          </w:rPr>
          <w:fldChar w:fldCharType="separate"/>
        </w:r>
        <w:r w:rsidR="00F758D4">
          <w:rPr>
            <w:noProof/>
            <w:webHidden/>
          </w:rPr>
          <w:t>258</w:t>
        </w:r>
        <w:r w:rsidR="00F758D4">
          <w:rPr>
            <w:noProof/>
            <w:webHidden/>
          </w:rPr>
          <w:fldChar w:fldCharType="end"/>
        </w:r>
      </w:hyperlink>
    </w:p>
    <w:p w14:paraId="413CDB01" w14:textId="454AAA7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18" w:history="1">
        <w:r w:rsidR="00F758D4" w:rsidRPr="00C24B66">
          <w:rPr>
            <w:rStyle w:val="Hyperlink"/>
            <w:noProof/>
          </w:rPr>
          <w:t>9.2.1.</w:t>
        </w:r>
        <w:r w:rsidR="00F758D4">
          <w:rPr>
            <w:rFonts w:asciiTheme="minorHAnsi" w:eastAsiaTheme="minorEastAsia" w:hAnsiTheme="minorHAnsi" w:cstheme="minorBidi"/>
            <w:noProof/>
            <w:color w:val="auto"/>
            <w:sz w:val="22"/>
            <w:szCs w:val="22"/>
          </w:rPr>
          <w:tab/>
        </w:r>
        <w:r w:rsidR="00F758D4" w:rsidRPr="00C24B66">
          <w:rPr>
            <w:rStyle w:val="Hyperlink"/>
            <w:noProof/>
          </w:rPr>
          <w:t>ASSOCIATES COMMERCIAL v. RASH, 520 U.S. 953 (1997)</w:t>
        </w:r>
        <w:r w:rsidR="00F758D4">
          <w:rPr>
            <w:noProof/>
            <w:webHidden/>
          </w:rPr>
          <w:tab/>
        </w:r>
        <w:r w:rsidR="00F758D4">
          <w:rPr>
            <w:noProof/>
            <w:webHidden/>
          </w:rPr>
          <w:fldChar w:fldCharType="begin"/>
        </w:r>
        <w:r w:rsidR="00F758D4">
          <w:rPr>
            <w:noProof/>
            <w:webHidden/>
          </w:rPr>
          <w:instrText xml:space="preserve"> PAGEREF _Toc90983718 \h </w:instrText>
        </w:r>
        <w:r w:rsidR="00F758D4">
          <w:rPr>
            <w:noProof/>
            <w:webHidden/>
          </w:rPr>
        </w:r>
        <w:r w:rsidR="00F758D4">
          <w:rPr>
            <w:noProof/>
            <w:webHidden/>
          </w:rPr>
          <w:fldChar w:fldCharType="separate"/>
        </w:r>
        <w:r w:rsidR="00F758D4">
          <w:rPr>
            <w:noProof/>
            <w:webHidden/>
          </w:rPr>
          <w:t>258</w:t>
        </w:r>
        <w:r w:rsidR="00F758D4">
          <w:rPr>
            <w:noProof/>
            <w:webHidden/>
          </w:rPr>
          <w:fldChar w:fldCharType="end"/>
        </w:r>
      </w:hyperlink>
    </w:p>
    <w:p w14:paraId="56AA81F0" w14:textId="1ACF17B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19" w:history="1">
        <w:r w:rsidR="00F758D4" w:rsidRPr="00C24B66">
          <w:rPr>
            <w:rStyle w:val="Hyperlink"/>
            <w:noProof/>
          </w:rPr>
          <w:t>9.2.2.</w:t>
        </w:r>
        <w:r w:rsidR="00F758D4">
          <w:rPr>
            <w:rFonts w:asciiTheme="minorHAnsi" w:eastAsiaTheme="minorEastAsia" w:hAnsiTheme="minorHAnsi" w:cstheme="minorBidi"/>
            <w:noProof/>
            <w:color w:val="auto"/>
            <w:sz w:val="22"/>
            <w:szCs w:val="22"/>
          </w:rPr>
          <w:tab/>
        </w:r>
        <w:r w:rsidR="00F758D4" w:rsidRPr="00C24B66">
          <w:rPr>
            <w:rStyle w:val="Hyperlink"/>
            <w:noProof/>
          </w:rPr>
          <w:t>IN RE BROWN, 746 F.3d 1236 (11th Cir. 2014)</w:t>
        </w:r>
        <w:r w:rsidR="00F758D4">
          <w:rPr>
            <w:noProof/>
            <w:webHidden/>
          </w:rPr>
          <w:tab/>
        </w:r>
        <w:r w:rsidR="00F758D4">
          <w:rPr>
            <w:noProof/>
            <w:webHidden/>
          </w:rPr>
          <w:fldChar w:fldCharType="begin"/>
        </w:r>
        <w:r w:rsidR="00F758D4">
          <w:rPr>
            <w:noProof/>
            <w:webHidden/>
          </w:rPr>
          <w:instrText xml:space="preserve"> PAGEREF _Toc90983719 \h </w:instrText>
        </w:r>
        <w:r w:rsidR="00F758D4">
          <w:rPr>
            <w:noProof/>
            <w:webHidden/>
          </w:rPr>
        </w:r>
        <w:r w:rsidR="00F758D4">
          <w:rPr>
            <w:noProof/>
            <w:webHidden/>
          </w:rPr>
          <w:fldChar w:fldCharType="separate"/>
        </w:r>
        <w:r w:rsidR="00F758D4">
          <w:rPr>
            <w:noProof/>
            <w:webHidden/>
          </w:rPr>
          <w:t>261</w:t>
        </w:r>
        <w:r w:rsidR="00F758D4">
          <w:rPr>
            <w:noProof/>
            <w:webHidden/>
          </w:rPr>
          <w:fldChar w:fldCharType="end"/>
        </w:r>
      </w:hyperlink>
    </w:p>
    <w:p w14:paraId="6647C673" w14:textId="04E6A86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0" w:history="1">
        <w:r w:rsidR="00F758D4" w:rsidRPr="00C24B66">
          <w:rPr>
            <w:rStyle w:val="Hyperlink"/>
            <w:noProof/>
          </w:rPr>
          <w:t>9.3.</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The 506(a) Split</w:t>
        </w:r>
        <w:r w:rsidR="00F758D4">
          <w:rPr>
            <w:noProof/>
            <w:webHidden/>
          </w:rPr>
          <w:tab/>
        </w:r>
        <w:r w:rsidR="00F758D4">
          <w:rPr>
            <w:noProof/>
            <w:webHidden/>
          </w:rPr>
          <w:fldChar w:fldCharType="begin"/>
        </w:r>
        <w:r w:rsidR="00F758D4">
          <w:rPr>
            <w:noProof/>
            <w:webHidden/>
          </w:rPr>
          <w:instrText xml:space="preserve"> PAGEREF _Toc90983720 \h </w:instrText>
        </w:r>
        <w:r w:rsidR="00F758D4">
          <w:rPr>
            <w:noProof/>
            <w:webHidden/>
          </w:rPr>
        </w:r>
        <w:r w:rsidR="00F758D4">
          <w:rPr>
            <w:noProof/>
            <w:webHidden/>
          </w:rPr>
          <w:fldChar w:fldCharType="separate"/>
        </w:r>
        <w:r w:rsidR="00F758D4">
          <w:rPr>
            <w:noProof/>
            <w:webHidden/>
          </w:rPr>
          <w:t>263</w:t>
        </w:r>
        <w:r w:rsidR="00F758D4">
          <w:rPr>
            <w:noProof/>
            <w:webHidden/>
          </w:rPr>
          <w:fldChar w:fldCharType="end"/>
        </w:r>
      </w:hyperlink>
    </w:p>
    <w:p w14:paraId="6A952A0D" w14:textId="3DFC818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1" w:history="1">
        <w:r w:rsidR="00F758D4" w:rsidRPr="00C24B66">
          <w:rPr>
            <w:rStyle w:val="Hyperlink"/>
            <w:noProof/>
          </w:rPr>
          <w:t>9.4.</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Post-Petition Interest, Fees, Costs and Charges (11 U.S.C. § 506(b))</w:t>
        </w:r>
        <w:r w:rsidR="00F758D4">
          <w:rPr>
            <w:noProof/>
            <w:webHidden/>
          </w:rPr>
          <w:tab/>
        </w:r>
        <w:r w:rsidR="00F758D4">
          <w:rPr>
            <w:noProof/>
            <w:webHidden/>
          </w:rPr>
          <w:fldChar w:fldCharType="begin"/>
        </w:r>
        <w:r w:rsidR="00F758D4">
          <w:rPr>
            <w:noProof/>
            <w:webHidden/>
          </w:rPr>
          <w:instrText xml:space="preserve"> PAGEREF _Toc90983721 \h </w:instrText>
        </w:r>
        <w:r w:rsidR="00F758D4">
          <w:rPr>
            <w:noProof/>
            <w:webHidden/>
          </w:rPr>
        </w:r>
        <w:r w:rsidR="00F758D4">
          <w:rPr>
            <w:noProof/>
            <w:webHidden/>
          </w:rPr>
          <w:fldChar w:fldCharType="separate"/>
        </w:r>
        <w:r w:rsidR="00F758D4">
          <w:rPr>
            <w:noProof/>
            <w:webHidden/>
          </w:rPr>
          <w:t>263</w:t>
        </w:r>
        <w:r w:rsidR="00F758D4">
          <w:rPr>
            <w:noProof/>
            <w:webHidden/>
          </w:rPr>
          <w:fldChar w:fldCharType="end"/>
        </w:r>
      </w:hyperlink>
    </w:p>
    <w:p w14:paraId="777B33B9" w14:textId="443F545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2" w:history="1">
        <w:r w:rsidR="00F758D4" w:rsidRPr="00C24B66">
          <w:rPr>
            <w:rStyle w:val="Hyperlink"/>
            <w:noProof/>
          </w:rPr>
          <w:t>9.5.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Post-Petition Interest under § 506(b)</w:t>
        </w:r>
        <w:r w:rsidR="00F758D4">
          <w:rPr>
            <w:noProof/>
            <w:webHidden/>
          </w:rPr>
          <w:tab/>
        </w:r>
        <w:r w:rsidR="00F758D4">
          <w:rPr>
            <w:noProof/>
            <w:webHidden/>
          </w:rPr>
          <w:fldChar w:fldCharType="begin"/>
        </w:r>
        <w:r w:rsidR="00F758D4">
          <w:rPr>
            <w:noProof/>
            <w:webHidden/>
          </w:rPr>
          <w:instrText xml:space="preserve"> PAGEREF _Toc90983722 \h </w:instrText>
        </w:r>
        <w:r w:rsidR="00F758D4">
          <w:rPr>
            <w:noProof/>
            <w:webHidden/>
          </w:rPr>
        </w:r>
        <w:r w:rsidR="00F758D4">
          <w:rPr>
            <w:noProof/>
            <w:webHidden/>
          </w:rPr>
          <w:fldChar w:fldCharType="separate"/>
        </w:r>
        <w:r w:rsidR="00F758D4">
          <w:rPr>
            <w:noProof/>
            <w:webHidden/>
          </w:rPr>
          <w:t>264</w:t>
        </w:r>
        <w:r w:rsidR="00F758D4">
          <w:rPr>
            <w:noProof/>
            <w:webHidden/>
          </w:rPr>
          <w:fldChar w:fldCharType="end"/>
        </w:r>
      </w:hyperlink>
    </w:p>
    <w:p w14:paraId="4C7C3BD7" w14:textId="714F0D8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23" w:history="1">
        <w:r w:rsidR="00F758D4" w:rsidRPr="00C24B66">
          <w:rPr>
            <w:rStyle w:val="Hyperlink"/>
            <w:noProof/>
          </w:rPr>
          <w:t>9.5.1.</w:t>
        </w:r>
        <w:r w:rsidR="00F758D4">
          <w:rPr>
            <w:rFonts w:asciiTheme="minorHAnsi" w:eastAsiaTheme="minorEastAsia" w:hAnsiTheme="minorHAnsi" w:cstheme="minorBidi"/>
            <w:noProof/>
            <w:color w:val="auto"/>
            <w:sz w:val="22"/>
            <w:szCs w:val="22"/>
          </w:rPr>
          <w:tab/>
        </w:r>
        <w:r w:rsidR="00F758D4" w:rsidRPr="00C24B66">
          <w:rPr>
            <w:rStyle w:val="Hyperlink"/>
            <w:noProof/>
          </w:rPr>
          <w:t>IN RE RESIDENTIAL CAPITAL, INC., 508 B.R. 851 (Bankr. S.D.N.Y. 2014)</w:t>
        </w:r>
        <w:r w:rsidR="00F758D4">
          <w:rPr>
            <w:noProof/>
            <w:webHidden/>
          </w:rPr>
          <w:tab/>
        </w:r>
        <w:r w:rsidR="00F758D4">
          <w:rPr>
            <w:noProof/>
            <w:webHidden/>
          </w:rPr>
          <w:fldChar w:fldCharType="begin"/>
        </w:r>
        <w:r w:rsidR="00F758D4">
          <w:rPr>
            <w:noProof/>
            <w:webHidden/>
          </w:rPr>
          <w:instrText xml:space="preserve"> PAGEREF _Toc90983723 \h </w:instrText>
        </w:r>
        <w:r w:rsidR="00F758D4">
          <w:rPr>
            <w:noProof/>
            <w:webHidden/>
          </w:rPr>
        </w:r>
        <w:r w:rsidR="00F758D4">
          <w:rPr>
            <w:noProof/>
            <w:webHidden/>
          </w:rPr>
          <w:fldChar w:fldCharType="separate"/>
        </w:r>
        <w:r w:rsidR="00F758D4">
          <w:rPr>
            <w:noProof/>
            <w:webHidden/>
          </w:rPr>
          <w:t>264</w:t>
        </w:r>
        <w:r w:rsidR="00F758D4">
          <w:rPr>
            <w:noProof/>
            <w:webHidden/>
          </w:rPr>
          <w:fldChar w:fldCharType="end"/>
        </w:r>
      </w:hyperlink>
    </w:p>
    <w:p w14:paraId="551075DB" w14:textId="14ACCE9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4" w:history="1">
        <w:r w:rsidR="00F758D4" w:rsidRPr="00C24B66">
          <w:rPr>
            <w:rStyle w:val="Hyperlink"/>
            <w:noProof/>
          </w:rPr>
          <w:t>9.6.</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Section 506(c) Surcharge</w:t>
        </w:r>
        <w:r w:rsidR="00F758D4">
          <w:rPr>
            <w:noProof/>
            <w:webHidden/>
          </w:rPr>
          <w:tab/>
        </w:r>
        <w:r w:rsidR="00F758D4">
          <w:rPr>
            <w:noProof/>
            <w:webHidden/>
          </w:rPr>
          <w:fldChar w:fldCharType="begin"/>
        </w:r>
        <w:r w:rsidR="00F758D4">
          <w:rPr>
            <w:noProof/>
            <w:webHidden/>
          </w:rPr>
          <w:instrText xml:space="preserve"> PAGEREF _Toc90983724 \h </w:instrText>
        </w:r>
        <w:r w:rsidR="00F758D4">
          <w:rPr>
            <w:noProof/>
            <w:webHidden/>
          </w:rPr>
        </w:r>
        <w:r w:rsidR="00F758D4">
          <w:rPr>
            <w:noProof/>
            <w:webHidden/>
          </w:rPr>
          <w:fldChar w:fldCharType="separate"/>
        </w:r>
        <w:r w:rsidR="00F758D4">
          <w:rPr>
            <w:noProof/>
            <w:webHidden/>
          </w:rPr>
          <w:t>269</w:t>
        </w:r>
        <w:r w:rsidR="00F758D4">
          <w:rPr>
            <w:noProof/>
            <w:webHidden/>
          </w:rPr>
          <w:fldChar w:fldCharType="end"/>
        </w:r>
      </w:hyperlink>
    </w:p>
    <w:p w14:paraId="738628B9" w14:textId="33A3F3D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5" w:history="1">
        <w:r w:rsidR="00F758D4" w:rsidRPr="00C24B66">
          <w:rPr>
            <w:rStyle w:val="Hyperlink"/>
            <w:noProof/>
          </w:rPr>
          <w:t>9.7.</w:t>
        </w:r>
        <w:r w:rsidR="00F758D4">
          <w:rPr>
            <w:rFonts w:asciiTheme="minorHAnsi" w:eastAsiaTheme="minorEastAsia" w:hAnsiTheme="minorHAnsi" w:cstheme="minorBidi"/>
            <w:iCs w:val="0"/>
            <w:noProof/>
            <w:color w:val="auto"/>
            <w:sz w:val="22"/>
            <w:szCs w:val="22"/>
          </w:rPr>
          <w:tab/>
        </w:r>
        <w:r w:rsidR="00F758D4" w:rsidRPr="00C24B66">
          <w:rPr>
            <w:rStyle w:val="Hyperlink"/>
            <w:noProof/>
          </w:rPr>
          <w:t>Section 506(d) and Striping-Down or Striping-Off Liens</w:t>
        </w:r>
        <w:r w:rsidR="00F758D4">
          <w:rPr>
            <w:noProof/>
            <w:webHidden/>
          </w:rPr>
          <w:tab/>
        </w:r>
        <w:r w:rsidR="00F758D4">
          <w:rPr>
            <w:noProof/>
            <w:webHidden/>
          </w:rPr>
          <w:fldChar w:fldCharType="begin"/>
        </w:r>
        <w:r w:rsidR="00F758D4">
          <w:rPr>
            <w:noProof/>
            <w:webHidden/>
          </w:rPr>
          <w:instrText xml:space="preserve"> PAGEREF _Toc90983725 \h </w:instrText>
        </w:r>
        <w:r w:rsidR="00F758D4">
          <w:rPr>
            <w:noProof/>
            <w:webHidden/>
          </w:rPr>
        </w:r>
        <w:r w:rsidR="00F758D4">
          <w:rPr>
            <w:noProof/>
            <w:webHidden/>
          </w:rPr>
          <w:fldChar w:fldCharType="separate"/>
        </w:r>
        <w:r w:rsidR="00F758D4">
          <w:rPr>
            <w:noProof/>
            <w:webHidden/>
          </w:rPr>
          <w:t>269</w:t>
        </w:r>
        <w:r w:rsidR="00F758D4">
          <w:rPr>
            <w:noProof/>
            <w:webHidden/>
          </w:rPr>
          <w:fldChar w:fldCharType="end"/>
        </w:r>
      </w:hyperlink>
    </w:p>
    <w:p w14:paraId="7CD53D0F" w14:textId="3E89B22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6" w:history="1">
        <w:r w:rsidR="00F758D4" w:rsidRPr="00C24B66">
          <w:rPr>
            <w:rStyle w:val="Hyperlink"/>
            <w:noProof/>
          </w:rPr>
          <w:t>9.8.</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Stripping Liens under Section 506(d)</w:t>
        </w:r>
        <w:r w:rsidR="00F758D4">
          <w:rPr>
            <w:noProof/>
            <w:webHidden/>
          </w:rPr>
          <w:tab/>
        </w:r>
        <w:r w:rsidR="00F758D4">
          <w:rPr>
            <w:noProof/>
            <w:webHidden/>
          </w:rPr>
          <w:fldChar w:fldCharType="begin"/>
        </w:r>
        <w:r w:rsidR="00F758D4">
          <w:rPr>
            <w:noProof/>
            <w:webHidden/>
          </w:rPr>
          <w:instrText xml:space="preserve"> PAGEREF _Toc90983726 \h </w:instrText>
        </w:r>
        <w:r w:rsidR="00F758D4">
          <w:rPr>
            <w:noProof/>
            <w:webHidden/>
          </w:rPr>
        </w:r>
        <w:r w:rsidR="00F758D4">
          <w:rPr>
            <w:noProof/>
            <w:webHidden/>
          </w:rPr>
          <w:fldChar w:fldCharType="separate"/>
        </w:r>
        <w:r w:rsidR="00F758D4">
          <w:rPr>
            <w:noProof/>
            <w:webHidden/>
          </w:rPr>
          <w:t>270</w:t>
        </w:r>
        <w:r w:rsidR="00F758D4">
          <w:rPr>
            <w:noProof/>
            <w:webHidden/>
          </w:rPr>
          <w:fldChar w:fldCharType="end"/>
        </w:r>
      </w:hyperlink>
    </w:p>
    <w:p w14:paraId="1B947265" w14:textId="3F12CA6E"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27" w:history="1">
        <w:r w:rsidR="00F758D4" w:rsidRPr="00C24B66">
          <w:rPr>
            <w:rStyle w:val="Hyperlink"/>
            <w:noProof/>
          </w:rPr>
          <w:t>9.8.1.</w:t>
        </w:r>
        <w:r w:rsidR="00F758D4">
          <w:rPr>
            <w:rFonts w:asciiTheme="minorHAnsi" w:eastAsiaTheme="minorEastAsia" w:hAnsiTheme="minorHAnsi" w:cstheme="minorBidi"/>
            <w:noProof/>
            <w:color w:val="auto"/>
            <w:sz w:val="22"/>
            <w:szCs w:val="22"/>
          </w:rPr>
          <w:tab/>
        </w:r>
        <w:r w:rsidR="00F758D4" w:rsidRPr="00C24B66">
          <w:rPr>
            <w:rStyle w:val="Hyperlink"/>
            <w:noProof/>
          </w:rPr>
          <w:t>DEWSNUP v. TIMM, 502 U.S. 410 (1992)</w:t>
        </w:r>
        <w:r w:rsidR="00F758D4">
          <w:rPr>
            <w:noProof/>
            <w:webHidden/>
          </w:rPr>
          <w:tab/>
        </w:r>
        <w:r w:rsidR="00F758D4">
          <w:rPr>
            <w:noProof/>
            <w:webHidden/>
          </w:rPr>
          <w:fldChar w:fldCharType="begin"/>
        </w:r>
        <w:r w:rsidR="00F758D4">
          <w:rPr>
            <w:noProof/>
            <w:webHidden/>
          </w:rPr>
          <w:instrText xml:space="preserve"> PAGEREF _Toc90983727 \h </w:instrText>
        </w:r>
        <w:r w:rsidR="00F758D4">
          <w:rPr>
            <w:noProof/>
            <w:webHidden/>
          </w:rPr>
        </w:r>
        <w:r w:rsidR="00F758D4">
          <w:rPr>
            <w:noProof/>
            <w:webHidden/>
          </w:rPr>
          <w:fldChar w:fldCharType="separate"/>
        </w:r>
        <w:r w:rsidR="00F758D4">
          <w:rPr>
            <w:noProof/>
            <w:webHidden/>
          </w:rPr>
          <w:t>270</w:t>
        </w:r>
        <w:r w:rsidR="00F758D4">
          <w:rPr>
            <w:noProof/>
            <w:webHidden/>
          </w:rPr>
          <w:fldChar w:fldCharType="end"/>
        </w:r>
      </w:hyperlink>
    </w:p>
    <w:p w14:paraId="28F54F9B" w14:textId="7AE4803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8" w:history="1">
        <w:r w:rsidR="00F758D4" w:rsidRPr="00C24B66">
          <w:rPr>
            <w:rStyle w:val="Hyperlink"/>
            <w:noProof/>
          </w:rPr>
          <w:t>9.9.</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Stripping Wholly Unsecured Liens in Chapter 7</w:t>
        </w:r>
        <w:r w:rsidR="00F758D4">
          <w:rPr>
            <w:noProof/>
            <w:webHidden/>
          </w:rPr>
          <w:tab/>
        </w:r>
        <w:r w:rsidR="00F758D4">
          <w:rPr>
            <w:noProof/>
            <w:webHidden/>
          </w:rPr>
          <w:fldChar w:fldCharType="begin"/>
        </w:r>
        <w:r w:rsidR="00F758D4">
          <w:rPr>
            <w:noProof/>
            <w:webHidden/>
          </w:rPr>
          <w:instrText xml:space="preserve"> PAGEREF _Toc90983728 \h </w:instrText>
        </w:r>
        <w:r w:rsidR="00F758D4">
          <w:rPr>
            <w:noProof/>
            <w:webHidden/>
          </w:rPr>
        </w:r>
        <w:r w:rsidR="00F758D4">
          <w:rPr>
            <w:noProof/>
            <w:webHidden/>
          </w:rPr>
          <w:fldChar w:fldCharType="separate"/>
        </w:r>
        <w:r w:rsidR="00F758D4">
          <w:rPr>
            <w:noProof/>
            <w:webHidden/>
          </w:rPr>
          <w:t>273</w:t>
        </w:r>
        <w:r w:rsidR="00F758D4">
          <w:rPr>
            <w:noProof/>
            <w:webHidden/>
          </w:rPr>
          <w:fldChar w:fldCharType="end"/>
        </w:r>
      </w:hyperlink>
    </w:p>
    <w:p w14:paraId="65FBA8A6" w14:textId="39858F8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29" w:history="1">
        <w:r w:rsidR="00F758D4" w:rsidRPr="00C24B66">
          <w:rPr>
            <w:rStyle w:val="Hyperlink"/>
            <w:noProof/>
          </w:rPr>
          <w:t>9.10.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Redemption – 11 U.S.C. § 722</w:t>
        </w:r>
        <w:r w:rsidR="00F758D4">
          <w:rPr>
            <w:noProof/>
            <w:webHidden/>
          </w:rPr>
          <w:tab/>
        </w:r>
        <w:r w:rsidR="00F758D4">
          <w:rPr>
            <w:noProof/>
            <w:webHidden/>
          </w:rPr>
          <w:fldChar w:fldCharType="begin"/>
        </w:r>
        <w:r w:rsidR="00F758D4">
          <w:rPr>
            <w:noProof/>
            <w:webHidden/>
          </w:rPr>
          <w:instrText xml:space="preserve"> PAGEREF _Toc90983729 \h </w:instrText>
        </w:r>
        <w:r w:rsidR="00F758D4">
          <w:rPr>
            <w:noProof/>
            <w:webHidden/>
          </w:rPr>
        </w:r>
        <w:r w:rsidR="00F758D4">
          <w:rPr>
            <w:noProof/>
            <w:webHidden/>
          </w:rPr>
          <w:fldChar w:fldCharType="separate"/>
        </w:r>
        <w:r w:rsidR="00F758D4">
          <w:rPr>
            <w:noProof/>
            <w:webHidden/>
          </w:rPr>
          <w:t>274</w:t>
        </w:r>
        <w:r w:rsidR="00F758D4">
          <w:rPr>
            <w:noProof/>
            <w:webHidden/>
          </w:rPr>
          <w:fldChar w:fldCharType="end"/>
        </w:r>
      </w:hyperlink>
    </w:p>
    <w:p w14:paraId="0281E31E" w14:textId="10F5F0A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0" w:history="1">
        <w:r w:rsidR="00F758D4" w:rsidRPr="00C24B66">
          <w:rPr>
            <w:rStyle w:val="Hyperlink"/>
            <w:noProof/>
          </w:rPr>
          <w:t>9.11.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Debtor’s Treatment of Secured Claims in Chapter 7: Surrender, Redeem or Reinstate – or Maybe “Ride Through”</w:t>
        </w:r>
        <w:r w:rsidR="00F758D4">
          <w:rPr>
            <w:noProof/>
            <w:webHidden/>
          </w:rPr>
          <w:tab/>
        </w:r>
        <w:r w:rsidR="00F758D4">
          <w:rPr>
            <w:noProof/>
            <w:webHidden/>
          </w:rPr>
          <w:fldChar w:fldCharType="begin"/>
        </w:r>
        <w:r w:rsidR="00F758D4">
          <w:rPr>
            <w:noProof/>
            <w:webHidden/>
          </w:rPr>
          <w:instrText xml:space="preserve"> PAGEREF _Toc90983730 \h </w:instrText>
        </w:r>
        <w:r w:rsidR="00F758D4">
          <w:rPr>
            <w:noProof/>
            <w:webHidden/>
          </w:rPr>
        </w:r>
        <w:r w:rsidR="00F758D4">
          <w:rPr>
            <w:noProof/>
            <w:webHidden/>
          </w:rPr>
          <w:fldChar w:fldCharType="separate"/>
        </w:r>
        <w:r w:rsidR="00F758D4">
          <w:rPr>
            <w:noProof/>
            <w:webHidden/>
          </w:rPr>
          <w:t>274</w:t>
        </w:r>
        <w:r w:rsidR="00F758D4">
          <w:rPr>
            <w:noProof/>
            <w:webHidden/>
          </w:rPr>
          <w:fldChar w:fldCharType="end"/>
        </w:r>
      </w:hyperlink>
    </w:p>
    <w:p w14:paraId="4BF29E36" w14:textId="29E3EEE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1" w:history="1">
        <w:r w:rsidR="00F758D4" w:rsidRPr="00C24B66">
          <w:rPr>
            <w:rStyle w:val="Hyperlink"/>
            <w:noProof/>
          </w:rPr>
          <w:t>9.12.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Post-Petition Effect of Security Interests – Section 552</w:t>
        </w:r>
        <w:r w:rsidR="00F758D4">
          <w:rPr>
            <w:noProof/>
            <w:webHidden/>
          </w:rPr>
          <w:tab/>
        </w:r>
        <w:r w:rsidR="00F758D4">
          <w:rPr>
            <w:noProof/>
            <w:webHidden/>
          </w:rPr>
          <w:fldChar w:fldCharType="begin"/>
        </w:r>
        <w:r w:rsidR="00F758D4">
          <w:rPr>
            <w:noProof/>
            <w:webHidden/>
          </w:rPr>
          <w:instrText xml:space="preserve"> PAGEREF _Toc90983731 \h </w:instrText>
        </w:r>
        <w:r w:rsidR="00F758D4">
          <w:rPr>
            <w:noProof/>
            <w:webHidden/>
          </w:rPr>
        </w:r>
        <w:r w:rsidR="00F758D4">
          <w:rPr>
            <w:noProof/>
            <w:webHidden/>
          </w:rPr>
          <w:fldChar w:fldCharType="separate"/>
        </w:r>
        <w:r w:rsidR="00F758D4">
          <w:rPr>
            <w:noProof/>
            <w:webHidden/>
          </w:rPr>
          <w:t>276</w:t>
        </w:r>
        <w:r w:rsidR="00F758D4">
          <w:rPr>
            <w:noProof/>
            <w:webHidden/>
          </w:rPr>
          <w:fldChar w:fldCharType="end"/>
        </w:r>
      </w:hyperlink>
    </w:p>
    <w:p w14:paraId="35AC4CD2" w14:textId="43877E2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2" w:history="1">
        <w:r w:rsidR="00F758D4" w:rsidRPr="00C24B66">
          <w:rPr>
            <w:rStyle w:val="Hyperlink"/>
            <w:noProof/>
          </w:rPr>
          <w:t>9.13.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Floating Liens in Bankruptcy</w:t>
        </w:r>
        <w:r w:rsidR="00F758D4">
          <w:rPr>
            <w:noProof/>
            <w:webHidden/>
          </w:rPr>
          <w:tab/>
        </w:r>
        <w:r w:rsidR="00F758D4">
          <w:rPr>
            <w:noProof/>
            <w:webHidden/>
          </w:rPr>
          <w:fldChar w:fldCharType="begin"/>
        </w:r>
        <w:r w:rsidR="00F758D4">
          <w:rPr>
            <w:noProof/>
            <w:webHidden/>
          </w:rPr>
          <w:instrText xml:space="preserve"> PAGEREF _Toc90983732 \h </w:instrText>
        </w:r>
        <w:r w:rsidR="00F758D4">
          <w:rPr>
            <w:noProof/>
            <w:webHidden/>
          </w:rPr>
        </w:r>
        <w:r w:rsidR="00F758D4">
          <w:rPr>
            <w:noProof/>
            <w:webHidden/>
          </w:rPr>
          <w:fldChar w:fldCharType="separate"/>
        </w:r>
        <w:r w:rsidR="00F758D4">
          <w:rPr>
            <w:noProof/>
            <w:webHidden/>
          </w:rPr>
          <w:t>277</w:t>
        </w:r>
        <w:r w:rsidR="00F758D4">
          <w:rPr>
            <w:noProof/>
            <w:webHidden/>
          </w:rPr>
          <w:fldChar w:fldCharType="end"/>
        </w:r>
      </w:hyperlink>
    </w:p>
    <w:p w14:paraId="2E0BDE8B" w14:textId="5F83667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3" w:history="1">
        <w:r w:rsidR="00F758D4" w:rsidRPr="00C24B66">
          <w:rPr>
            <w:rStyle w:val="Hyperlink"/>
            <w:noProof/>
          </w:rPr>
          <w:t>9.14.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Relief from Stay and Adequate Protection</w:t>
        </w:r>
        <w:r w:rsidR="00F758D4">
          <w:rPr>
            <w:noProof/>
            <w:webHidden/>
          </w:rPr>
          <w:tab/>
        </w:r>
        <w:r w:rsidR="00F758D4">
          <w:rPr>
            <w:noProof/>
            <w:webHidden/>
          </w:rPr>
          <w:fldChar w:fldCharType="begin"/>
        </w:r>
        <w:r w:rsidR="00F758D4">
          <w:rPr>
            <w:noProof/>
            <w:webHidden/>
          </w:rPr>
          <w:instrText xml:space="preserve"> PAGEREF _Toc90983733 \h </w:instrText>
        </w:r>
        <w:r w:rsidR="00F758D4">
          <w:rPr>
            <w:noProof/>
            <w:webHidden/>
          </w:rPr>
        </w:r>
        <w:r w:rsidR="00F758D4">
          <w:rPr>
            <w:noProof/>
            <w:webHidden/>
          </w:rPr>
          <w:fldChar w:fldCharType="separate"/>
        </w:r>
        <w:r w:rsidR="00F758D4">
          <w:rPr>
            <w:noProof/>
            <w:webHidden/>
          </w:rPr>
          <w:t>277</w:t>
        </w:r>
        <w:r w:rsidR="00F758D4">
          <w:rPr>
            <w:noProof/>
            <w:webHidden/>
          </w:rPr>
          <w:fldChar w:fldCharType="end"/>
        </w:r>
      </w:hyperlink>
    </w:p>
    <w:p w14:paraId="18655490" w14:textId="4137064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4" w:history="1">
        <w:r w:rsidR="00F758D4" w:rsidRPr="00C24B66">
          <w:rPr>
            <w:rStyle w:val="Hyperlink"/>
            <w:noProof/>
          </w:rPr>
          <w:t>9.15.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Relief from Stay</w:t>
        </w:r>
        <w:r w:rsidR="00F758D4">
          <w:rPr>
            <w:noProof/>
            <w:webHidden/>
          </w:rPr>
          <w:tab/>
        </w:r>
        <w:r w:rsidR="00F758D4">
          <w:rPr>
            <w:noProof/>
            <w:webHidden/>
          </w:rPr>
          <w:fldChar w:fldCharType="begin"/>
        </w:r>
        <w:r w:rsidR="00F758D4">
          <w:rPr>
            <w:noProof/>
            <w:webHidden/>
          </w:rPr>
          <w:instrText xml:space="preserve"> PAGEREF _Toc90983734 \h </w:instrText>
        </w:r>
        <w:r w:rsidR="00F758D4">
          <w:rPr>
            <w:noProof/>
            <w:webHidden/>
          </w:rPr>
        </w:r>
        <w:r w:rsidR="00F758D4">
          <w:rPr>
            <w:noProof/>
            <w:webHidden/>
          </w:rPr>
          <w:fldChar w:fldCharType="separate"/>
        </w:r>
        <w:r w:rsidR="00F758D4">
          <w:rPr>
            <w:noProof/>
            <w:webHidden/>
          </w:rPr>
          <w:t>279</w:t>
        </w:r>
        <w:r w:rsidR="00F758D4">
          <w:rPr>
            <w:noProof/>
            <w:webHidden/>
          </w:rPr>
          <w:fldChar w:fldCharType="end"/>
        </w:r>
      </w:hyperlink>
    </w:p>
    <w:p w14:paraId="0269D888" w14:textId="53C9F02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35" w:history="1">
        <w:r w:rsidR="00F758D4" w:rsidRPr="00C24B66">
          <w:rPr>
            <w:rStyle w:val="Hyperlink"/>
            <w:noProof/>
          </w:rPr>
          <w:t>9.15.1.</w:t>
        </w:r>
        <w:r w:rsidR="00F758D4">
          <w:rPr>
            <w:rFonts w:asciiTheme="minorHAnsi" w:eastAsiaTheme="minorEastAsia" w:hAnsiTheme="minorHAnsi" w:cstheme="minorBidi"/>
            <w:noProof/>
            <w:color w:val="auto"/>
            <w:sz w:val="22"/>
            <w:szCs w:val="22"/>
          </w:rPr>
          <w:tab/>
        </w:r>
        <w:r w:rsidR="00F758D4" w:rsidRPr="00C24B66">
          <w:rPr>
            <w:rStyle w:val="Hyperlink"/>
            <w:noProof/>
          </w:rPr>
          <w:t>UNITED SAVINGS v. TIMBERS OF INWOOD FOREST, 484 U.S. 365 (1988)</w:t>
        </w:r>
        <w:r w:rsidR="00F758D4">
          <w:rPr>
            <w:noProof/>
            <w:webHidden/>
          </w:rPr>
          <w:tab/>
        </w:r>
        <w:r w:rsidR="00F758D4">
          <w:rPr>
            <w:noProof/>
            <w:webHidden/>
          </w:rPr>
          <w:fldChar w:fldCharType="begin"/>
        </w:r>
        <w:r w:rsidR="00F758D4">
          <w:rPr>
            <w:noProof/>
            <w:webHidden/>
          </w:rPr>
          <w:instrText xml:space="preserve"> PAGEREF _Toc90983735 \h </w:instrText>
        </w:r>
        <w:r w:rsidR="00F758D4">
          <w:rPr>
            <w:noProof/>
            <w:webHidden/>
          </w:rPr>
        </w:r>
        <w:r w:rsidR="00F758D4">
          <w:rPr>
            <w:noProof/>
            <w:webHidden/>
          </w:rPr>
          <w:fldChar w:fldCharType="separate"/>
        </w:r>
        <w:r w:rsidR="00F758D4">
          <w:rPr>
            <w:noProof/>
            <w:webHidden/>
          </w:rPr>
          <w:t>279</w:t>
        </w:r>
        <w:r w:rsidR="00F758D4">
          <w:rPr>
            <w:noProof/>
            <w:webHidden/>
          </w:rPr>
          <w:fldChar w:fldCharType="end"/>
        </w:r>
      </w:hyperlink>
    </w:p>
    <w:p w14:paraId="31A48012" w14:textId="45AAEF7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36" w:history="1">
        <w:r w:rsidR="00F758D4" w:rsidRPr="00C24B66">
          <w:rPr>
            <w:rStyle w:val="Hyperlink"/>
            <w:noProof/>
          </w:rPr>
          <w:t>9.15.2.</w:t>
        </w:r>
        <w:r w:rsidR="00F758D4">
          <w:rPr>
            <w:rFonts w:asciiTheme="minorHAnsi" w:eastAsiaTheme="minorEastAsia" w:hAnsiTheme="minorHAnsi" w:cstheme="minorBidi"/>
            <w:noProof/>
            <w:color w:val="auto"/>
            <w:sz w:val="22"/>
            <w:szCs w:val="22"/>
          </w:rPr>
          <w:tab/>
        </w:r>
        <w:r w:rsidR="00F758D4" w:rsidRPr="00C24B66">
          <w:rPr>
            <w:rStyle w:val="Hyperlink"/>
            <w:noProof/>
          </w:rPr>
          <w:t>BANKERS LIFE INS. CO., v. ALYUCAN INTERSTATE CORP., 12 B.R. 803 (Bankr. D. Utah 1981)</w:t>
        </w:r>
        <w:r w:rsidR="00F758D4">
          <w:rPr>
            <w:noProof/>
            <w:webHidden/>
          </w:rPr>
          <w:tab/>
        </w:r>
        <w:r w:rsidR="00F758D4">
          <w:rPr>
            <w:noProof/>
            <w:webHidden/>
          </w:rPr>
          <w:fldChar w:fldCharType="begin"/>
        </w:r>
        <w:r w:rsidR="00F758D4">
          <w:rPr>
            <w:noProof/>
            <w:webHidden/>
          </w:rPr>
          <w:instrText xml:space="preserve"> PAGEREF _Toc90983736 \h </w:instrText>
        </w:r>
        <w:r w:rsidR="00F758D4">
          <w:rPr>
            <w:noProof/>
            <w:webHidden/>
          </w:rPr>
        </w:r>
        <w:r w:rsidR="00F758D4">
          <w:rPr>
            <w:noProof/>
            <w:webHidden/>
          </w:rPr>
          <w:fldChar w:fldCharType="separate"/>
        </w:r>
        <w:r w:rsidR="00F758D4">
          <w:rPr>
            <w:noProof/>
            <w:webHidden/>
          </w:rPr>
          <w:t>282</w:t>
        </w:r>
        <w:r w:rsidR="00F758D4">
          <w:rPr>
            <w:noProof/>
            <w:webHidden/>
          </w:rPr>
          <w:fldChar w:fldCharType="end"/>
        </w:r>
      </w:hyperlink>
    </w:p>
    <w:p w14:paraId="0ED201E5" w14:textId="3D15CCA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37" w:history="1">
        <w:r w:rsidR="00F758D4" w:rsidRPr="00C24B66">
          <w:rPr>
            <w:rStyle w:val="Hyperlink"/>
            <w:noProof/>
          </w:rPr>
          <w:t>9.15.3.</w:t>
        </w:r>
        <w:r w:rsidR="00F758D4">
          <w:rPr>
            <w:rFonts w:asciiTheme="minorHAnsi" w:eastAsiaTheme="minorEastAsia" w:hAnsiTheme="minorHAnsi" w:cstheme="minorBidi"/>
            <w:noProof/>
            <w:color w:val="auto"/>
            <w:sz w:val="22"/>
            <w:szCs w:val="22"/>
          </w:rPr>
          <w:tab/>
        </w:r>
        <w:r w:rsidR="00F758D4" w:rsidRPr="00C24B66">
          <w:rPr>
            <w:rStyle w:val="Hyperlink"/>
            <w:noProof/>
          </w:rPr>
          <w:t>FORD MOTOR CREDIT COMPANY v. DOBBINS, 35 F.3d 860 (4th Cir. 1994)</w:t>
        </w:r>
        <w:r w:rsidR="00F758D4">
          <w:rPr>
            <w:noProof/>
            <w:webHidden/>
          </w:rPr>
          <w:tab/>
        </w:r>
        <w:r w:rsidR="00F758D4">
          <w:rPr>
            <w:noProof/>
            <w:webHidden/>
          </w:rPr>
          <w:fldChar w:fldCharType="begin"/>
        </w:r>
        <w:r w:rsidR="00F758D4">
          <w:rPr>
            <w:noProof/>
            <w:webHidden/>
          </w:rPr>
          <w:instrText xml:space="preserve"> PAGEREF _Toc90983737 \h </w:instrText>
        </w:r>
        <w:r w:rsidR="00F758D4">
          <w:rPr>
            <w:noProof/>
            <w:webHidden/>
          </w:rPr>
        </w:r>
        <w:r w:rsidR="00F758D4">
          <w:rPr>
            <w:noProof/>
            <w:webHidden/>
          </w:rPr>
          <w:fldChar w:fldCharType="separate"/>
        </w:r>
        <w:r w:rsidR="00F758D4">
          <w:rPr>
            <w:noProof/>
            <w:webHidden/>
          </w:rPr>
          <w:t>283</w:t>
        </w:r>
        <w:r w:rsidR="00F758D4">
          <w:rPr>
            <w:noProof/>
            <w:webHidden/>
          </w:rPr>
          <w:fldChar w:fldCharType="end"/>
        </w:r>
      </w:hyperlink>
    </w:p>
    <w:p w14:paraId="299F6005" w14:textId="3BFF913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38" w:history="1">
        <w:r w:rsidR="00F758D4" w:rsidRPr="00C24B66">
          <w:rPr>
            <w:rStyle w:val="Hyperlink"/>
            <w:noProof/>
          </w:rPr>
          <w:t>9.16.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Relief from Stay</w:t>
        </w:r>
        <w:r w:rsidR="00F758D4">
          <w:rPr>
            <w:noProof/>
            <w:webHidden/>
          </w:rPr>
          <w:tab/>
        </w:r>
        <w:r w:rsidR="00F758D4">
          <w:rPr>
            <w:noProof/>
            <w:webHidden/>
          </w:rPr>
          <w:fldChar w:fldCharType="begin"/>
        </w:r>
        <w:r w:rsidR="00F758D4">
          <w:rPr>
            <w:noProof/>
            <w:webHidden/>
          </w:rPr>
          <w:instrText xml:space="preserve"> PAGEREF _Toc90983738 \h </w:instrText>
        </w:r>
        <w:r w:rsidR="00F758D4">
          <w:rPr>
            <w:noProof/>
            <w:webHidden/>
          </w:rPr>
        </w:r>
        <w:r w:rsidR="00F758D4">
          <w:rPr>
            <w:noProof/>
            <w:webHidden/>
          </w:rPr>
          <w:fldChar w:fldCharType="separate"/>
        </w:r>
        <w:r w:rsidR="00F758D4">
          <w:rPr>
            <w:noProof/>
            <w:webHidden/>
          </w:rPr>
          <w:t>287</w:t>
        </w:r>
        <w:r w:rsidR="00F758D4">
          <w:rPr>
            <w:noProof/>
            <w:webHidden/>
          </w:rPr>
          <w:fldChar w:fldCharType="end"/>
        </w:r>
      </w:hyperlink>
    </w:p>
    <w:p w14:paraId="623371A3" w14:textId="7BF55DA0"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739" w:history="1">
        <w:r w:rsidR="00F758D4" w:rsidRPr="00C24B66">
          <w:rPr>
            <w:rStyle w:val="Hyperlink"/>
            <w:noProof/>
          </w:rPr>
          <w:t>Chapter 10.</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Unsecured Claims in Bankruptcy</w:t>
        </w:r>
        <w:r w:rsidR="00F758D4">
          <w:rPr>
            <w:noProof/>
            <w:webHidden/>
          </w:rPr>
          <w:tab/>
        </w:r>
        <w:r w:rsidR="00F758D4">
          <w:rPr>
            <w:noProof/>
            <w:webHidden/>
          </w:rPr>
          <w:fldChar w:fldCharType="begin"/>
        </w:r>
        <w:r w:rsidR="00F758D4">
          <w:rPr>
            <w:noProof/>
            <w:webHidden/>
          </w:rPr>
          <w:instrText xml:space="preserve"> PAGEREF _Toc90983739 \h </w:instrText>
        </w:r>
        <w:r w:rsidR="00F758D4">
          <w:rPr>
            <w:noProof/>
            <w:webHidden/>
          </w:rPr>
        </w:r>
        <w:r w:rsidR="00F758D4">
          <w:rPr>
            <w:noProof/>
            <w:webHidden/>
          </w:rPr>
          <w:fldChar w:fldCharType="separate"/>
        </w:r>
        <w:r w:rsidR="00F758D4">
          <w:rPr>
            <w:noProof/>
            <w:webHidden/>
          </w:rPr>
          <w:t>289</w:t>
        </w:r>
        <w:r w:rsidR="00F758D4">
          <w:rPr>
            <w:noProof/>
            <w:webHidden/>
          </w:rPr>
          <w:fldChar w:fldCharType="end"/>
        </w:r>
      </w:hyperlink>
    </w:p>
    <w:p w14:paraId="6A9B618A" w14:textId="56BBAC1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40" w:history="1">
        <w:r w:rsidR="00F758D4" w:rsidRPr="00C24B66">
          <w:rPr>
            <w:rStyle w:val="Hyperlink"/>
            <w:noProof/>
          </w:rPr>
          <w:t>10.1.</w:t>
        </w:r>
        <w:r w:rsidR="00F758D4">
          <w:rPr>
            <w:rFonts w:asciiTheme="minorHAnsi" w:eastAsiaTheme="minorEastAsia" w:hAnsiTheme="minorHAnsi" w:cstheme="minorBidi"/>
            <w:iCs w:val="0"/>
            <w:noProof/>
            <w:color w:val="auto"/>
            <w:sz w:val="22"/>
            <w:szCs w:val="22"/>
          </w:rPr>
          <w:tab/>
        </w:r>
        <w:r w:rsidR="00F758D4" w:rsidRPr="00C24B66">
          <w:rPr>
            <w:rStyle w:val="Hyperlink"/>
            <w:noProof/>
          </w:rPr>
          <w:t>What is a “Claim”?</w:t>
        </w:r>
        <w:r w:rsidR="00F758D4">
          <w:rPr>
            <w:noProof/>
            <w:webHidden/>
          </w:rPr>
          <w:tab/>
        </w:r>
        <w:r w:rsidR="00F758D4">
          <w:rPr>
            <w:noProof/>
            <w:webHidden/>
          </w:rPr>
          <w:fldChar w:fldCharType="begin"/>
        </w:r>
        <w:r w:rsidR="00F758D4">
          <w:rPr>
            <w:noProof/>
            <w:webHidden/>
          </w:rPr>
          <w:instrText xml:space="preserve"> PAGEREF _Toc90983740 \h </w:instrText>
        </w:r>
        <w:r w:rsidR="00F758D4">
          <w:rPr>
            <w:noProof/>
            <w:webHidden/>
          </w:rPr>
        </w:r>
        <w:r w:rsidR="00F758D4">
          <w:rPr>
            <w:noProof/>
            <w:webHidden/>
          </w:rPr>
          <w:fldChar w:fldCharType="separate"/>
        </w:r>
        <w:r w:rsidR="00F758D4">
          <w:rPr>
            <w:noProof/>
            <w:webHidden/>
          </w:rPr>
          <w:t>289</w:t>
        </w:r>
        <w:r w:rsidR="00F758D4">
          <w:rPr>
            <w:noProof/>
            <w:webHidden/>
          </w:rPr>
          <w:fldChar w:fldCharType="end"/>
        </w:r>
      </w:hyperlink>
    </w:p>
    <w:p w14:paraId="65F9D77A" w14:textId="0AD92AB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41" w:history="1">
        <w:r w:rsidR="00F758D4" w:rsidRPr="00C24B66">
          <w:rPr>
            <w:rStyle w:val="Hyperlink"/>
            <w:noProof/>
          </w:rPr>
          <w:t>10.2.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Claims and Due Process</w:t>
        </w:r>
        <w:r w:rsidR="00F758D4">
          <w:rPr>
            <w:noProof/>
            <w:webHidden/>
          </w:rPr>
          <w:tab/>
        </w:r>
        <w:r w:rsidR="00F758D4">
          <w:rPr>
            <w:noProof/>
            <w:webHidden/>
          </w:rPr>
          <w:fldChar w:fldCharType="begin"/>
        </w:r>
        <w:r w:rsidR="00F758D4">
          <w:rPr>
            <w:noProof/>
            <w:webHidden/>
          </w:rPr>
          <w:instrText xml:space="preserve"> PAGEREF _Toc90983741 \h </w:instrText>
        </w:r>
        <w:r w:rsidR="00F758D4">
          <w:rPr>
            <w:noProof/>
            <w:webHidden/>
          </w:rPr>
        </w:r>
        <w:r w:rsidR="00F758D4">
          <w:rPr>
            <w:noProof/>
            <w:webHidden/>
          </w:rPr>
          <w:fldChar w:fldCharType="separate"/>
        </w:r>
        <w:r w:rsidR="00F758D4">
          <w:rPr>
            <w:noProof/>
            <w:webHidden/>
          </w:rPr>
          <w:t>289</w:t>
        </w:r>
        <w:r w:rsidR="00F758D4">
          <w:rPr>
            <w:noProof/>
            <w:webHidden/>
          </w:rPr>
          <w:fldChar w:fldCharType="end"/>
        </w:r>
      </w:hyperlink>
    </w:p>
    <w:p w14:paraId="3CCC5630" w14:textId="20CCC95D"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2" w:history="1">
        <w:r w:rsidR="00F758D4" w:rsidRPr="00C24B66">
          <w:rPr>
            <w:rStyle w:val="Hyperlink"/>
            <w:noProof/>
          </w:rPr>
          <w:t>10.2.1.</w:t>
        </w:r>
        <w:r w:rsidR="00F758D4">
          <w:rPr>
            <w:rFonts w:asciiTheme="minorHAnsi" w:eastAsiaTheme="minorEastAsia" w:hAnsiTheme="minorHAnsi" w:cstheme="minorBidi"/>
            <w:noProof/>
            <w:color w:val="auto"/>
            <w:sz w:val="22"/>
            <w:szCs w:val="22"/>
          </w:rPr>
          <w:tab/>
        </w:r>
        <w:r w:rsidR="00F758D4" w:rsidRPr="00C24B66">
          <w:rPr>
            <w:rStyle w:val="Hyperlink"/>
            <w:noProof/>
          </w:rPr>
          <w:t>MULLANE v. CENTRAL HANOVER BANK &amp; TRUST CO., 339 U.S. 306 (1950)</w:t>
        </w:r>
        <w:r w:rsidR="00F758D4">
          <w:rPr>
            <w:noProof/>
            <w:webHidden/>
          </w:rPr>
          <w:tab/>
        </w:r>
        <w:r w:rsidR="00F758D4">
          <w:rPr>
            <w:noProof/>
            <w:webHidden/>
          </w:rPr>
          <w:fldChar w:fldCharType="begin"/>
        </w:r>
        <w:r w:rsidR="00F758D4">
          <w:rPr>
            <w:noProof/>
            <w:webHidden/>
          </w:rPr>
          <w:instrText xml:space="preserve"> PAGEREF _Toc90983742 \h </w:instrText>
        </w:r>
        <w:r w:rsidR="00F758D4">
          <w:rPr>
            <w:noProof/>
            <w:webHidden/>
          </w:rPr>
        </w:r>
        <w:r w:rsidR="00F758D4">
          <w:rPr>
            <w:noProof/>
            <w:webHidden/>
          </w:rPr>
          <w:fldChar w:fldCharType="separate"/>
        </w:r>
        <w:r w:rsidR="00F758D4">
          <w:rPr>
            <w:noProof/>
            <w:webHidden/>
          </w:rPr>
          <w:t>289</w:t>
        </w:r>
        <w:r w:rsidR="00F758D4">
          <w:rPr>
            <w:noProof/>
            <w:webHidden/>
          </w:rPr>
          <w:fldChar w:fldCharType="end"/>
        </w:r>
      </w:hyperlink>
    </w:p>
    <w:p w14:paraId="06133460" w14:textId="7B54C07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3" w:history="1">
        <w:r w:rsidR="00F758D4" w:rsidRPr="00C24B66">
          <w:rPr>
            <w:rStyle w:val="Hyperlink"/>
            <w:noProof/>
          </w:rPr>
          <w:t>10.2.2.</w:t>
        </w:r>
        <w:r w:rsidR="00F758D4">
          <w:rPr>
            <w:rFonts w:asciiTheme="minorHAnsi" w:eastAsiaTheme="minorEastAsia" w:hAnsiTheme="minorHAnsi" w:cstheme="minorBidi"/>
            <w:noProof/>
            <w:color w:val="auto"/>
            <w:sz w:val="22"/>
            <w:szCs w:val="22"/>
          </w:rPr>
          <w:tab/>
        </w:r>
        <w:r w:rsidR="00F758D4" w:rsidRPr="00C24B66">
          <w:rPr>
            <w:rStyle w:val="Hyperlink"/>
            <w:noProof/>
          </w:rPr>
          <w:t>A.H. ROBINS CO. v. GRADY, 839 F.2d 198 (4th Cir. 1988)</w:t>
        </w:r>
        <w:r w:rsidR="00F758D4">
          <w:rPr>
            <w:noProof/>
            <w:webHidden/>
          </w:rPr>
          <w:tab/>
        </w:r>
        <w:r w:rsidR="00F758D4">
          <w:rPr>
            <w:noProof/>
            <w:webHidden/>
          </w:rPr>
          <w:fldChar w:fldCharType="begin"/>
        </w:r>
        <w:r w:rsidR="00F758D4">
          <w:rPr>
            <w:noProof/>
            <w:webHidden/>
          </w:rPr>
          <w:instrText xml:space="preserve"> PAGEREF _Toc90983743 \h </w:instrText>
        </w:r>
        <w:r w:rsidR="00F758D4">
          <w:rPr>
            <w:noProof/>
            <w:webHidden/>
          </w:rPr>
        </w:r>
        <w:r w:rsidR="00F758D4">
          <w:rPr>
            <w:noProof/>
            <w:webHidden/>
          </w:rPr>
          <w:fldChar w:fldCharType="separate"/>
        </w:r>
        <w:r w:rsidR="00F758D4">
          <w:rPr>
            <w:noProof/>
            <w:webHidden/>
          </w:rPr>
          <w:t>294</w:t>
        </w:r>
        <w:r w:rsidR="00F758D4">
          <w:rPr>
            <w:noProof/>
            <w:webHidden/>
          </w:rPr>
          <w:fldChar w:fldCharType="end"/>
        </w:r>
      </w:hyperlink>
    </w:p>
    <w:p w14:paraId="29CCFE8C" w14:textId="26A61233"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4" w:history="1">
        <w:r w:rsidR="00F758D4" w:rsidRPr="00C24B66">
          <w:rPr>
            <w:rStyle w:val="Hyperlink"/>
            <w:noProof/>
          </w:rPr>
          <w:t>10.2.3.</w:t>
        </w:r>
        <w:r w:rsidR="00F758D4">
          <w:rPr>
            <w:rFonts w:asciiTheme="minorHAnsi" w:eastAsiaTheme="minorEastAsia" w:hAnsiTheme="minorHAnsi" w:cstheme="minorBidi"/>
            <w:noProof/>
            <w:color w:val="auto"/>
            <w:sz w:val="22"/>
            <w:szCs w:val="22"/>
          </w:rPr>
          <w:tab/>
        </w:r>
        <w:r w:rsidR="00F758D4" w:rsidRPr="00C24B66">
          <w:rPr>
            <w:rStyle w:val="Hyperlink"/>
            <w:noProof/>
          </w:rPr>
          <w:t>IN RE JOHNS-MANVILLE CORP., 36 B.R. 743 (Bankr. S.D.N.Y. 1984)</w:t>
        </w:r>
        <w:r w:rsidR="00F758D4">
          <w:rPr>
            <w:noProof/>
            <w:webHidden/>
          </w:rPr>
          <w:tab/>
        </w:r>
        <w:r w:rsidR="00F758D4">
          <w:rPr>
            <w:noProof/>
            <w:webHidden/>
          </w:rPr>
          <w:fldChar w:fldCharType="begin"/>
        </w:r>
        <w:r w:rsidR="00F758D4">
          <w:rPr>
            <w:noProof/>
            <w:webHidden/>
          </w:rPr>
          <w:instrText xml:space="preserve"> PAGEREF _Toc90983744 \h </w:instrText>
        </w:r>
        <w:r w:rsidR="00F758D4">
          <w:rPr>
            <w:noProof/>
            <w:webHidden/>
          </w:rPr>
        </w:r>
        <w:r w:rsidR="00F758D4">
          <w:rPr>
            <w:noProof/>
            <w:webHidden/>
          </w:rPr>
          <w:fldChar w:fldCharType="separate"/>
        </w:r>
        <w:r w:rsidR="00F758D4">
          <w:rPr>
            <w:noProof/>
            <w:webHidden/>
          </w:rPr>
          <w:t>296</w:t>
        </w:r>
        <w:r w:rsidR="00F758D4">
          <w:rPr>
            <w:noProof/>
            <w:webHidden/>
          </w:rPr>
          <w:fldChar w:fldCharType="end"/>
        </w:r>
      </w:hyperlink>
    </w:p>
    <w:p w14:paraId="384E1920" w14:textId="64ECAA6D"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5" w:history="1">
        <w:r w:rsidR="00F758D4" w:rsidRPr="00C24B66">
          <w:rPr>
            <w:rStyle w:val="Hyperlink"/>
            <w:noProof/>
          </w:rPr>
          <w:t>10.2.4.</w:t>
        </w:r>
        <w:r w:rsidR="00F758D4">
          <w:rPr>
            <w:rFonts w:asciiTheme="minorHAnsi" w:eastAsiaTheme="minorEastAsia" w:hAnsiTheme="minorHAnsi" w:cstheme="minorBidi"/>
            <w:noProof/>
            <w:color w:val="auto"/>
            <w:sz w:val="22"/>
            <w:szCs w:val="22"/>
          </w:rPr>
          <w:tab/>
        </w:r>
        <w:r w:rsidR="00F758D4" w:rsidRPr="00C24B66">
          <w:rPr>
            <w:rStyle w:val="Hyperlink"/>
            <w:noProof/>
          </w:rPr>
          <w:t>KANE v. MANVILLE, 843 F.2d 636 (2d Cir. 1988)</w:t>
        </w:r>
        <w:r w:rsidR="00F758D4">
          <w:rPr>
            <w:noProof/>
            <w:webHidden/>
          </w:rPr>
          <w:tab/>
        </w:r>
        <w:r w:rsidR="00F758D4">
          <w:rPr>
            <w:noProof/>
            <w:webHidden/>
          </w:rPr>
          <w:fldChar w:fldCharType="begin"/>
        </w:r>
        <w:r w:rsidR="00F758D4">
          <w:rPr>
            <w:noProof/>
            <w:webHidden/>
          </w:rPr>
          <w:instrText xml:space="preserve"> PAGEREF _Toc90983745 \h </w:instrText>
        </w:r>
        <w:r w:rsidR="00F758D4">
          <w:rPr>
            <w:noProof/>
            <w:webHidden/>
          </w:rPr>
        </w:r>
        <w:r w:rsidR="00F758D4">
          <w:rPr>
            <w:noProof/>
            <w:webHidden/>
          </w:rPr>
          <w:fldChar w:fldCharType="separate"/>
        </w:r>
        <w:r w:rsidR="00F758D4">
          <w:rPr>
            <w:noProof/>
            <w:webHidden/>
          </w:rPr>
          <w:t>298</w:t>
        </w:r>
        <w:r w:rsidR="00F758D4">
          <w:rPr>
            <w:noProof/>
            <w:webHidden/>
          </w:rPr>
          <w:fldChar w:fldCharType="end"/>
        </w:r>
      </w:hyperlink>
    </w:p>
    <w:p w14:paraId="2726B96B" w14:textId="11593BF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6" w:history="1">
        <w:r w:rsidR="00F758D4" w:rsidRPr="00C24B66">
          <w:rPr>
            <w:rStyle w:val="Hyperlink"/>
            <w:noProof/>
          </w:rPr>
          <w:t>10.2.5.</w:t>
        </w:r>
        <w:r w:rsidR="00F758D4">
          <w:rPr>
            <w:rFonts w:asciiTheme="minorHAnsi" w:eastAsiaTheme="minorEastAsia" w:hAnsiTheme="minorHAnsi" w:cstheme="minorBidi"/>
            <w:noProof/>
            <w:color w:val="auto"/>
            <w:sz w:val="22"/>
            <w:szCs w:val="22"/>
          </w:rPr>
          <w:tab/>
        </w:r>
        <w:r w:rsidR="00F758D4" w:rsidRPr="00C24B66">
          <w:rPr>
            <w:rStyle w:val="Hyperlink"/>
            <w:noProof/>
          </w:rPr>
          <w:t>EPSTEIN v. PIPER AIRCRAFT, 58 F.3d 1573 (11th Cir. 1995)</w:t>
        </w:r>
        <w:r w:rsidR="00F758D4">
          <w:rPr>
            <w:noProof/>
            <w:webHidden/>
          </w:rPr>
          <w:tab/>
        </w:r>
        <w:r w:rsidR="00F758D4">
          <w:rPr>
            <w:noProof/>
            <w:webHidden/>
          </w:rPr>
          <w:fldChar w:fldCharType="begin"/>
        </w:r>
        <w:r w:rsidR="00F758D4">
          <w:rPr>
            <w:noProof/>
            <w:webHidden/>
          </w:rPr>
          <w:instrText xml:space="preserve"> PAGEREF _Toc90983746 \h </w:instrText>
        </w:r>
        <w:r w:rsidR="00F758D4">
          <w:rPr>
            <w:noProof/>
            <w:webHidden/>
          </w:rPr>
        </w:r>
        <w:r w:rsidR="00F758D4">
          <w:rPr>
            <w:noProof/>
            <w:webHidden/>
          </w:rPr>
          <w:fldChar w:fldCharType="separate"/>
        </w:r>
        <w:r w:rsidR="00F758D4">
          <w:rPr>
            <w:noProof/>
            <w:webHidden/>
          </w:rPr>
          <w:t>304</w:t>
        </w:r>
        <w:r w:rsidR="00F758D4">
          <w:rPr>
            <w:noProof/>
            <w:webHidden/>
          </w:rPr>
          <w:fldChar w:fldCharType="end"/>
        </w:r>
      </w:hyperlink>
    </w:p>
    <w:p w14:paraId="13A3FAB7" w14:textId="1A6789F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7" w:history="1">
        <w:r w:rsidR="00F758D4" w:rsidRPr="00C24B66">
          <w:rPr>
            <w:rStyle w:val="Hyperlink"/>
            <w:noProof/>
          </w:rPr>
          <w:t>10.2.6.</w:t>
        </w:r>
        <w:r w:rsidR="00F758D4">
          <w:rPr>
            <w:rFonts w:asciiTheme="minorHAnsi" w:eastAsiaTheme="minorEastAsia" w:hAnsiTheme="minorHAnsi" w:cstheme="minorBidi"/>
            <w:noProof/>
            <w:color w:val="auto"/>
            <w:sz w:val="22"/>
            <w:szCs w:val="22"/>
          </w:rPr>
          <w:tab/>
        </w:r>
        <w:r w:rsidR="00F758D4" w:rsidRPr="00C24B66">
          <w:rPr>
            <w:rStyle w:val="Hyperlink"/>
            <w:noProof/>
          </w:rPr>
          <w:t>IN RE FAIRCHILD AIRCRAFT CORP., 184 B.R. 910 (Bankr. W.D. Tex. 1995)</w:t>
        </w:r>
        <w:r w:rsidR="00F758D4">
          <w:rPr>
            <w:noProof/>
            <w:webHidden/>
          </w:rPr>
          <w:tab/>
        </w:r>
        <w:r w:rsidR="00F758D4">
          <w:rPr>
            <w:noProof/>
            <w:webHidden/>
          </w:rPr>
          <w:fldChar w:fldCharType="begin"/>
        </w:r>
        <w:r w:rsidR="00F758D4">
          <w:rPr>
            <w:noProof/>
            <w:webHidden/>
          </w:rPr>
          <w:instrText xml:space="preserve"> PAGEREF _Toc90983747 \h </w:instrText>
        </w:r>
        <w:r w:rsidR="00F758D4">
          <w:rPr>
            <w:noProof/>
            <w:webHidden/>
          </w:rPr>
        </w:r>
        <w:r w:rsidR="00F758D4">
          <w:rPr>
            <w:noProof/>
            <w:webHidden/>
          </w:rPr>
          <w:fldChar w:fldCharType="separate"/>
        </w:r>
        <w:r w:rsidR="00F758D4">
          <w:rPr>
            <w:noProof/>
            <w:webHidden/>
          </w:rPr>
          <w:t>306</w:t>
        </w:r>
        <w:r w:rsidR="00F758D4">
          <w:rPr>
            <w:noProof/>
            <w:webHidden/>
          </w:rPr>
          <w:fldChar w:fldCharType="end"/>
        </w:r>
      </w:hyperlink>
    </w:p>
    <w:p w14:paraId="14D604D7" w14:textId="5436B92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8" w:history="1">
        <w:r w:rsidR="00F758D4" w:rsidRPr="00C24B66">
          <w:rPr>
            <w:rStyle w:val="Hyperlink"/>
            <w:noProof/>
          </w:rPr>
          <w:t>10.2.7.</w:t>
        </w:r>
        <w:r w:rsidR="00F758D4">
          <w:rPr>
            <w:rFonts w:asciiTheme="minorHAnsi" w:eastAsiaTheme="minorEastAsia" w:hAnsiTheme="minorHAnsi" w:cstheme="minorBidi"/>
            <w:noProof/>
            <w:color w:val="auto"/>
            <w:sz w:val="22"/>
            <w:szCs w:val="22"/>
          </w:rPr>
          <w:tab/>
        </w:r>
        <w:r w:rsidR="00F758D4" w:rsidRPr="00C24B66">
          <w:rPr>
            <w:rStyle w:val="Hyperlink"/>
            <w:noProof/>
          </w:rPr>
          <w:t>IN RE GROSSMAN’S INC., 607 F.3d 114 (3d Cir. 2010)</w:t>
        </w:r>
        <w:r w:rsidR="00F758D4">
          <w:rPr>
            <w:noProof/>
            <w:webHidden/>
          </w:rPr>
          <w:tab/>
        </w:r>
        <w:r w:rsidR="00F758D4">
          <w:rPr>
            <w:noProof/>
            <w:webHidden/>
          </w:rPr>
          <w:fldChar w:fldCharType="begin"/>
        </w:r>
        <w:r w:rsidR="00F758D4">
          <w:rPr>
            <w:noProof/>
            <w:webHidden/>
          </w:rPr>
          <w:instrText xml:space="preserve"> PAGEREF _Toc90983748 \h </w:instrText>
        </w:r>
        <w:r w:rsidR="00F758D4">
          <w:rPr>
            <w:noProof/>
            <w:webHidden/>
          </w:rPr>
        </w:r>
        <w:r w:rsidR="00F758D4">
          <w:rPr>
            <w:noProof/>
            <w:webHidden/>
          </w:rPr>
          <w:fldChar w:fldCharType="separate"/>
        </w:r>
        <w:r w:rsidR="00F758D4">
          <w:rPr>
            <w:noProof/>
            <w:webHidden/>
          </w:rPr>
          <w:t>315</w:t>
        </w:r>
        <w:r w:rsidR="00F758D4">
          <w:rPr>
            <w:noProof/>
            <w:webHidden/>
          </w:rPr>
          <w:fldChar w:fldCharType="end"/>
        </w:r>
      </w:hyperlink>
    </w:p>
    <w:p w14:paraId="71847515" w14:textId="16BE4376"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49" w:history="1">
        <w:r w:rsidR="00F758D4" w:rsidRPr="00C24B66">
          <w:rPr>
            <w:rStyle w:val="Hyperlink"/>
            <w:noProof/>
          </w:rPr>
          <w:t>10.2.8.</w:t>
        </w:r>
        <w:r w:rsidR="00F758D4">
          <w:rPr>
            <w:rFonts w:asciiTheme="minorHAnsi" w:eastAsiaTheme="minorEastAsia" w:hAnsiTheme="minorHAnsi" w:cstheme="minorBidi"/>
            <w:noProof/>
            <w:color w:val="auto"/>
            <w:sz w:val="22"/>
            <w:szCs w:val="22"/>
          </w:rPr>
          <w:tab/>
        </w:r>
        <w:r w:rsidR="00F758D4" w:rsidRPr="00C24B66">
          <w:rPr>
            <w:rStyle w:val="Hyperlink"/>
            <w:noProof/>
          </w:rPr>
          <w:t>MAIDS INTERNATIONAL, INC. v. WARD, 194 B.R. 703 (Bankr. D. Mass. 1996)</w:t>
        </w:r>
        <w:r w:rsidR="00F758D4">
          <w:rPr>
            <w:noProof/>
            <w:webHidden/>
          </w:rPr>
          <w:tab/>
        </w:r>
        <w:r w:rsidR="00F758D4">
          <w:rPr>
            <w:noProof/>
            <w:webHidden/>
          </w:rPr>
          <w:fldChar w:fldCharType="begin"/>
        </w:r>
        <w:r w:rsidR="00F758D4">
          <w:rPr>
            <w:noProof/>
            <w:webHidden/>
          </w:rPr>
          <w:instrText xml:space="preserve"> PAGEREF _Toc90983749 \h </w:instrText>
        </w:r>
        <w:r w:rsidR="00F758D4">
          <w:rPr>
            <w:noProof/>
            <w:webHidden/>
          </w:rPr>
        </w:r>
        <w:r w:rsidR="00F758D4">
          <w:rPr>
            <w:noProof/>
            <w:webHidden/>
          </w:rPr>
          <w:fldChar w:fldCharType="separate"/>
        </w:r>
        <w:r w:rsidR="00F758D4">
          <w:rPr>
            <w:noProof/>
            <w:webHidden/>
          </w:rPr>
          <w:t>320</w:t>
        </w:r>
        <w:r w:rsidR="00F758D4">
          <w:rPr>
            <w:noProof/>
            <w:webHidden/>
          </w:rPr>
          <w:fldChar w:fldCharType="end"/>
        </w:r>
      </w:hyperlink>
    </w:p>
    <w:p w14:paraId="018CA3B0" w14:textId="3261E72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0" w:history="1">
        <w:r w:rsidR="00F758D4" w:rsidRPr="00C24B66">
          <w:rPr>
            <w:rStyle w:val="Hyperlink"/>
            <w:noProof/>
          </w:rPr>
          <w:t>10.3.</w:t>
        </w:r>
        <w:r w:rsidR="00F758D4">
          <w:rPr>
            <w:rFonts w:asciiTheme="minorHAnsi" w:eastAsiaTheme="minorEastAsia" w:hAnsiTheme="minorHAnsi" w:cstheme="minorBidi"/>
            <w:iCs w:val="0"/>
            <w:noProof/>
            <w:color w:val="auto"/>
            <w:sz w:val="22"/>
            <w:szCs w:val="22"/>
          </w:rPr>
          <w:tab/>
        </w:r>
        <w:r w:rsidR="00F758D4" w:rsidRPr="00C24B66">
          <w:rPr>
            <w:rStyle w:val="Hyperlink"/>
            <w:noProof/>
          </w:rPr>
          <w:t>Claim Procedures</w:t>
        </w:r>
        <w:r w:rsidR="00F758D4">
          <w:rPr>
            <w:noProof/>
            <w:webHidden/>
          </w:rPr>
          <w:tab/>
        </w:r>
        <w:r w:rsidR="00F758D4">
          <w:rPr>
            <w:noProof/>
            <w:webHidden/>
          </w:rPr>
          <w:fldChar w:fldCharType="begin"/>
        </w:r>
        <w:r w:rsidR="00F758D4">
          <w:rPr>
            <w:noProof/>
            <w:webHidden/>
          </w:rPr>
          <w:instrText xml:space="preserve"> PAGEREF _Toc90983750 \h </w:instrText>
        </w:r>
        <w:r w:rsidR="00F758D4">
          <w:rPr>
            <w:noProof/>
            <w:webHidden/>
          </w:rPr>
        </w:r>
        <w:r w:rsidR="00F758D4">
          <w:rPr>
            <w:noProof/>
            <w:webHidden/>
          </w:rPr>
          <w:fldChar w:fldCharType="separate"/>
        </w:r>
        <w:r w:rsidR="00F758D4">
          <w:rPr>
            <w:noProof/>
            <w:webHidden/>
          </w:rPr>
          <w:t>327</w:t>
        </w:r>
        <w:r w:rsidR="00F758D4">
          <w:rPr>
            <w:noProof/>
            <w:webHidden/>
          </w:rPr>
          <w:fldChar w:fldCharType="end"/>
        </w:r>
      </w:hyperlink>
    </w:p>
    <w:p w14:paraId="0B705090" w14:textId="525C430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1" w:history="1">
        <w:r w:rsidR="00F758D4" w:rsidRPr="00C24B66">
          <w:rPr>
            <w:rStyle w:val="Hyperlink"/>
            <w:noProof/>
          </w:rPr>
          <w:t>10.4.</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Landlord, Employer and Certain Contingent Claims</w:t>
        </w:r>
        <w:r w:rsidR="00F758D4">
          <w:rPr>
            <w:noProof/>
            <w:webHidden/>
          </w:rPr>
          <w:tab/>
        </w:r>
        <w:r w:rsidR="00F758D4">
          <w:rPr>
            <w:noProof/>
            <w:webHidden/>
          </w:rPr>
          <w:fldChar w:fldCharType="begin"/>
        </w:r>
        <w:r w:rsidR="00F758D4">
          <w:rPr>
            <w:noProof/>
            <w:webHidden/>
          </w:rPr>
          <w:instrText xml:space="preserve"> PAGEREF _Toc90983751 \h </w:instrText>
        </w:r>
        <w:r w:rsidR="00F758D4">
          <w:rPr>
            <w:noProof/>
            <w:webHidden/>
          </w:rPr>
        </w:r>
        <w:r w:rsidR="00F758D4">
          <w:rPr>
            <w:noProof/>
            <w:webHidden/>
          </w:rPr>
          <w:fldChar w:fldCharType="separate"/>
        </w:r>
        <w:r w:rsidR="00F758D4">
          <w:rPr>
            <w:noProof/>
            <w:webHidden/>
          </w:rPr>
          <w:t>328</w:t>
        </w:r>
        <w:r w:rsidR="00F758D4">
          <w:rPr>
            <w:noProof/>
            <w:webHidden/>
          </w:rPr>
          <w:fldChar w:fldCharType="end"/>
        </w:r>
      </w:hyperlink>
    </w:p>
    <w:p w14:paraId="6ECF4B93" w14:textId="7309305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2" w:history="1">
        <w:r w:rsidR="00F758D4" w:rsidRPr="00C24B66">
          <w:rPr>
            <w:rStyle w:val="Hyperlink"/>
            <w:noProof/>
          </w:rPr>
          <w:t>10.5.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Claim Estimation and Limitations</w:t>
        </w:r>
        <w:r w:rsidR="00F758D4">
          <w:rPr>
            <w:noProof/>
            <w:webHidden/>
          </w:rPr>
          <w:tab/>
        </w:r>
        <w:r w:rsidR="00F758D4">
          <w:rPr>
            <w:noProof/>
            <w:webHidden/>
          </w:rPr>
          <w:fldChar w:fldCharType="begin"/>
        </w:r>
        <w:r w:rsidR="00F758D4">
          <w:rPr>
            <w:noProof/>
            <w:webHidden/>
          </w:rPr>
          <w:instrText xml:space="preserve"> PAGEREF _Toc90983752 \h </w:instrText>
        </w:r>
        <w:r w:rsidR="00F758D4">
          <w:rPr>
            <w:noProof/>
            <w:webHidden/>
          </w:rPr>
        </w:r>
        <w:r w:rsidR="00F758D4">
          <w:rPr>
            <w:noProof/>
            <w:webHidden/>
          </w:rPr>
          <w:fldChar w:fldCharType="separate"/>
        </w:r>
        <w:r w:rsidR="00F758D4">
          <w:rPr>
            <w:noProof/>
            <w:webHidden/>
          </w:rPr>
          <w:t>329</w:t>
        </w:r>
        <w:r w:rsidR="00F758D4">
          <w:rPr>
            <w:noProof/>
            <w:webHidden/>
          </w:rPr>
          <w:fldChar w:fldCharType="end"/>
        </w:r>
      </w:hyperlink>
    </w:p>
    <w:p w14:paraId="219332A3" w14:textId="7D6FB2D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53" w:history="1">
        <w:r w:rsidR="00F758D4" w:rsidRPr="00C24B66">
          <w:rPr>
            <w:rStyle w:val="Hyperlink"/>
            <w:noProof/>
          </w:rPr>
          <w:t>10.5.1.</w:t>
        </w:r>
        <w:r w:rsidR="00F758D4">
          <w:rPr>
            <w:rFonts w:asciiTheme="minorHAnsi" w:eastAsiaTheme="minorEastAsia" w:hAnsiTheme="minorHAnsi" w:cstheme="minorBidi"/>
            <w:noProof/>
            <w:color w:val="auto"/>
            <w:sz w:val="22"/>
            <w:szCs w:val="22"/>
          </w:rPr>
          <w:tab/>
        </w:r>
        <w:r w:rsidR="00F758D4" w:rsidRPr="00C24B66">
          <w:rPr>
            <w:rStyle w:val="Hyperlink"/>
            <w:noProof/>
          </w:rPr>
          <w:t>IN RE RADIO-KEITH-ORPHEUM CORPORATION, 106 F.2d 22 (2d Cir. 1939)</w:t>
        </w:r>
        <w:r w:rsidR="00F758D4">
          <w:rPr>
            <w:noProof/>
            <w:webHidden/>
          </w:rPr>
          <w:tab/>
        </w:r>
        <w:r w:rsidR="00F758D4">
          <w:rPr>
            <w:noProof/>
            <w:webHidden/>
          </w:rPr>
          <w:fldChar w:fldCharType="begin"/>
        </w:r>
        <w:r w:rsidR="00F758D4">
          <w:rPr>
            <w:noProof/>
            <w:webHidden/>
          </w:rPr>
          <w:instrText xml:space="preserve"> PAGEREF _Toc90983753 \h </w:instrText>
        </w:r>
        <w:r w:rsidR="00F758D4">
          <w:rPr>
            <w:noProof/>
            <w:webHidden/>
          </w:rPr>
        </w:r>
        <w:r w:rsidR="00F758D4">
          <w:rPr>
            <w:noProof/>
            <w:webHidden/>
          </w:rPr>
          <w:fldChar w:fldCharType="separate"/>
        </w:r>
        <w:r w:rsidR="00F758D4">
          <w:rPr>
            <w:noProof/>
            <w:webHidden/>
          </w:rPr>
          <w:t>329</w:t>
        </w:r>
        <w:r w:rsidR="00F758D4">
          <w:rPr>
            <w:noProof/>
            <w:webHidden/>
          </w:rPr>
          <w:fldChar w:fldCharType="end"/>
        </w:r>
      </w:hyperlink>
    </w:p>
    <w:p w14:paraId="270A6C8F" w14:textId="5D4C5758"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54" w:history="1">
        <w:r w:rsidR="00F758D4" w:rsidRPr="00C24B66">
          <w:rPr>
            <w:rStyle w:val="Hyperlink"/>
            <w:noProof/>
          </w:rPr>
          <w:t>10.5.2.</w:t>
        </w:r>
        <w:r w:rsidR="00F758D4">
          <w:rPr>
            <w:rFonts w:asciiTheme="minorHAnsi" w:eastAsiaTheme="minorEastAsia" w:hAnsiTheme="minorHAnsi" w:cstheme="minorBidi"/>
            <w:noProof/>
            <w:color w:val="auto"/>
            <w:sz w:val="22"/>
            <w:szCs w:val="22"/>
          </w:rPr>
          <w:tab/>
        </w:r>
        <w:r w:rsidR="00F758D4" w:rsidRPr="00C24B66">
          <w:rPr>
            <w:rStyle w:val="Hyperlink"/>
            <w:noProof/>
          </w:rPr>
          <w:t>IN RE EL TORO MATERIALS COMPANY, INC., 504 F.3d 978 (9th Cir. 2007)</w:t>
        </w:r>
        <w:r w:rsidR="00F758D4">
          <w:rPr>
            <w:noProof/>
            <w:webHidden/>
          </w:rPr>
          <w:tab/>
        </w:r>
        <w:r w:rsidR="00F758D4">
          <w:rPr>
            <w:noProof/>
            <w:webHidden/>
          </w:rPr>
          <w:fldChar w:fldCharType="begin"/>
        </w:r>
        <w:r w:rsidR="00F758D4">
          <w:rPr>
            <w:noProof/>
            <w:webHidden/>
          </w:rPr>
          <w:instrText xml:space="preserve"> PAGEREF _Toc90983754 \h </w:instrText>
        </w:r>
        <w:r w:rsidR="00F758D4">
          <w:rPr>
            <w:noProof/>
            <w:webHidden/>
          </w:rPr>
        </w:r>
        <w:r w:rsidR="00F758D4">
          <w:rPr>
            <w:noProof/>
            <w:webHidden/>
          </w:rPr>
          <w:fldChar w:fldCharType="separate"/>
        </w:r>
        <w:r w:rsidR="00F758D4">
          <w:rPr>
            <w:noProof/>
            <w:webHidden/>
          </w:rPr>
          <w:t>330</w:t>
        </w:r>
        <w:r w:rsidR="00F758D4">
          <w:rPr>
            <w:noProof/>
            <w:webHidden/>
          </w:rPr>
          <w:fldChar w:fldCharType="end"/>
        </w:r>
      </w:hyperlink>
    </w:p>
    <w:p w14:paraId="55F37F84" w14:textId="0F817E6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5" w:history="1">
        <w:r w:rsidR="00F758D4" w:rsidRPr="00C24B66">
          <w:rPr>
            <w:rStyle w:val="Hyperlink"/>
            <w:noProof/>
          </w:rPr>
          <w:t>10.6.</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Priority Claims – 11 U.S.C. § 507</w:t>
        </w:r>
        <w:r w:rsidR="00F758D4">
          <w:rPr>
            <w:noProof/>
            <w:webHidden/>
          </w:rPr>
          <w:tab/>
        </w:r>
        <w:r w:rsidR="00F758D4">
          <w:rPr>
            <w:noProof/>
            <w:webHidden/>
          </w:rPr>
          <w:fldChar w:fldCharType="begin"/>
        </w:r>
        <w:r w:rsidR="00F758D4">
          <w:rPr>
            <w:noProof/>
            <w:webHidden/>
          </w:rPr>
          <w:instrText xml:space="preserve"> PAGEREF _Toc90983755 \h </w:instrText>
        </w:r>
        <w:r w:rsidR="00F758D4">
          <w:rPr>
            <w:noProof/>
            <w:webHidden/>
          </w:rPr>
        </w:r>
        <w:r w:rsidR="00F758D4">
          <w:rPr>
            <w:noProof/>
            <w:webHidden/>
          </w:rPr>
          <w:fldChar w:fldCharType="separate"/>
        </w:r>
        <w:r w:rsidR="00F758D4">
          <w:rPr>
            <w:noProof/>
            <w:webHidden/>
          </w:rPr>
          <w:t>333</w:t>
        </w:r>
        <w:r w:rsidR="00F758D4">
          <w:rPr>
            <w:noProof/>
            <w:webHidden/>
          </w:rPr>
          <w:fldChar w:fldCharType="end"/>
        </w:r>
      </w:hyperlink>
    </w:p>
    <w:p w14:paraId="796FD56C" w14:textId="1ACED08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6" w:history="1">
        <w:r w:rsidR="00F758D4" w:rsidRPr="00C24B66">
          <w:rPr>
            <w:rStyle w:val="Hyperlink"/>
            <w:noProof/>
          </w:rPr>
          <w:t>10.7.</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Priority Claims</w:t>
        </w:r>
        <w:r w:rsidR="00F758D4">
          <w:rPr>
            <w:noProof/>
            <w:webHidden/>
          </w:rPr>
          <w:tab/>
        </w:r>
        <w:r w:rsidR="00F758D4">
          <w:rPr>
            <w:noProof/>
            <w:webHidden/>
          </w:rPr>
          <w:fldChar w:fldCharType="begin"/>
        </w:r>
        <w:r w:rsidR="00F758D4">
          <w:rPr>
            <w:noProof/>
            <w:webHidden/>
          </w:rPr>
          <w:instrText xml:space="preserve"> PAGEREF _Toc90983756 \h </w:instrText>
        </w:r>
        <w:r w:rsidR="00F758D4">
          <w:rPr>
            <w:noProof/>
            <w:webHidden/>
          </w:rPr>
        </w:r>
        <w:r w:rsidR="00F758D4">
          <w:rPr>
            <w:noProof/>
            <w:webHidden/>
          </w:rPr>
          <w:fldChar w:fldCharType="separate"/>
        </w:r>
        <w:r w:rsidR="00F758D4">
          <w:rPr>
            <w:noProof/>
            <w:webHidden/>
          </w:rPr>
          <w:t>334</w:t>
        </w:r>
        <w:r w:rsidR="00F758D4">
          <w:rPr>
            <w:noProof/>
            <w:webHidden/>
          </w:rPr>
          <w:fldChar w:fldCharType="end"/>
        </w:r>
      </w:hyperlink>
    </w:p>
    <w:p w14:paraId="525B94B5" w14:textId="495E198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7" w:history="1">
        <w:r w:rsidR="00F758D4" w:rsidRPr="00C24B66">
          <w:rPr>
            <w:rStyle w:val="Hyperlink"/>
            <w:noProof/>
          </w:rPr>
          <w:t>10.8.</w:t>
        </w:r>
        <w:r w:rsidR="00F758D4">
          <w:rPr>
            <w:rFonts w:asciiTheme="minorHAnsi" w:eastAsiaTheme="minorEastAsia" w:hAnsiTheme="minorHAnsi" w:cstheme="minorBidi"/>
            <w:iCs w:val="0"/>
            <w:noProof/>
            <w:color w:val="auto"/>
            <w:sz w:val="22"/>
            <w:szCs w:val="22"/>
          </w:rPr>
          <w:tab/>
        </w:r>
        <w:r w:rsidR="00F758D4" w:rsidRPr="00C24B66">
          <w:rPr>
            <w:rStyle w:val="Hyperlink"/>
            <w:noProof/>
          </w:rPr>
          <w:t>Subordination – 11 U.S.C. § 510</w:t>
        </w:r>
        <w:r w:rsidR="00F758D4">
          <w:rPr>
            <w:noProof/>
            <w:webHidden/>
          </w:rPr>
          <w:tab/>
        </w:r>
        <w:r w:rsidR="00F758D4">
          <w:rPr>
            <w:noProof/>
            <w:webHidden/>
          </w:rPr>
          <w:fldChar w:fldCharType="begin"/>
        </w:r>
        <w:r w:rsidR="00F758D4">
          <w:rPr>
            <w:noProof/>
            <w:webHidden/>
          </w:rPr>
          <w:instrText xml:space="preserve"> PAGEREF _Toc90983757 \h </w:instrText>
        </w:r>
        <w:r w:rsidR="00F758D4">
          <w:rPr>
            <w:noProof/>
            <w:webHidden/>
          </w:rPr>
        </w:r>
        <w:r w:rsidR="00F758D4">
          <w:rPr>
            <w:noProof/>
            <w:webHidden/>
          </w:rPr>
          <w:fldChar w:fldCharType="separate"/>
        </w:r>
        <w:r w:rsidR="00F758D4">
          <w:rPr>
            <w:noProof/>
            <w:webHidden/>
          </w:rPr>
          <w:t>335</w:t>
        </w:r>
        <w:r w:rsidR="00F758D4">
          <w:rPr>
            <w:noProof/>
            <w:webHidden/>
          </w:rPr>
          <w:fldChar w:fldCharType="end"/>
        </w:r>
      </w:hyperlink>
    </w:p>
    <w:p w14:paraId="1E64C2FD" w14:textId="5250DA6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8" w:history="1">
        <w:r w:rsidR="00F758D4" w:rsidRPr="00C24B66">
          <w:rPr>
            <w:rStyle w:val="Hyperlink"/>
            <w:noProof/>
          </w:rPr>
          <w:t>10.9.</w:t>
        </w:r>
        <w:r w:rsidR="00F758D4">
          <w:rPr>
            <w:rFonts w:asciiTheme="minorHAnsi" w:eastAsiaTheme="minorEastAsia" w:hAnsiTheme="minorHAnsi" w:cstheme="minorBidi"/>
            <w:iCs w:val="0"/>
            <w:noProof/>
            <w:color w:val="auto"/>
            <w:sz w:val="22"/>
            <w:szCs w:val="22"/>
          </w:rPr>
          <w:tab/>
        </w:r>
        <w:r w:rsidR="00F758D4" w:rsidRPr="00C24B66">
          <w:rPr>
            <w:rStyle w:val="Hyperlink"/>
            <w:noProof/>
          </w:rPr>
          <w:t>Abandonment – 11 U.S.C. § 554</w:t>
        </w:r>
        <w:r w:rsidR="00F758D4">
          <w:rPr>
            <w:noProof/>
            <w:webHidden/>
          </w:rPr>
          <w:tab/>
        </w:r>
        <w:r w:rsidR="00F758D4">
          <w:rPr>
            <w:noProof/>
            <w:webHidden/>
          </w:rPr>
          <w:fldChar w:fldCharType="begin"/>
        </w:r>
        <w:r w:rsidR="00F758D4">
          <w:rPr>
            <w:noProof/>
            <w:webHidden/>
          </w:rPr>
          <w:instrText xml:space="preserve"> PAGEREF _Toc90983758 \h </w:instrText>
        </w:r>
        <w:r w:rsidR="00F758D4">
          <w:rPr>
            <w:noProof/>
            <w:webHidden/>
          </w:rPr>
        </w:r>
        <w:r w:rsidR="00F758D4">
          <w:rPr>
            <w:noProof/>
            <w:webHidden/>
          </w:rPr>
          <w:fldChar w:fldCharType="separate"/>
        </w:r>
        <w:r w:rsidR="00F758D4">
          <w:rPr>
            <w:noProof/>
            <w:webHidden/>
          </w:rPr>
          <w:t>335</w:t>
        </w:r>
        <w:r w:rsidR="00F758D4">
          <w:rPr>
            <w:noProof/>
            <w:webHidden/>
          </w:rPr>
          <w:fldChar w:fldCharType="end"/>
        </w:r>
      </w:hyperlink>
    </w:p>
    <w:p w14:paraId="1A993895" w14:textId="0261545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59" w:history="1">
        <w:r w:rsidR="00F758D4" w:rsidRPr="00C24B66">
          <w:rPr>
            <w:rStyle w:val="Hyperlink"/>
            <w:noProof/>
          </w:rPr>
          <w:t>10.10.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Abandonment of Property in Bankruptcy</w:t>
        </w:r>
        <w:r w:rsidR="00F758D4">
          <w:rPr>
            <w:noProof/>
            <w:webHidden/>
          </w:rPr>
          <w:tab/>
        </w:r>
        <w:r w:rsidR="00F758D4">
          <w:rPr>
            <w:noProof/>
            <w:webHidden/>
          </w:rPr>
          <w:fldChar w:fldCharType="begin"/>
        </w:r>
        <w:r w:rsidR="00F758D4">
          <w:rPr>
            <w:noProof/>
            <w:webHidden/>
          </w:rPr>
          <w:instrText xml:space="preserve"> PAGEREF _Toc90983759 \h </w:instrText>
        </w:r>
        <w:r w:rsidR="00F758D4">
          <w:rPr>
            <w:noProof/>
            <w:webHidden/>
          </w:rPr>
        </w:r>
        <w:r w:rsidR="00F758D4">
          <w:rPr>
            <w:noProof/>
            <w:webHidden/>
          </w:rPr>
          <w:fldChar w:fldCharType="separate"/>
        </w:r>
        <w:r w:rsidR="00F758D4">
          <w:rPr>
            <w:noProof/>
            <w:webHidden/>
          </w:rPr>
          <w:t>336</w:t>
        </w:r>
        <w:r w:rsidR="00F758D4">
          <w:rPr>
            <w:noProof/>
            <w:webHidden/>
          </w:rPr>
          <w:fldChar w:fldCharType="end"/>
        </w:r>
      </w:hyperlink>
    </w:p>
    <w:p w14:paraId="031C6959" w14:textId="1441035A"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760" w:history="1">
        <w:r w:rsidR="00F758D4" w:rsidRPr="00C24B66">
          <w:rPr>
            <w:rStyle w:val="Hyperlink"/>
            <w:noProof/>
          </w:rPr>
          <w:t>10.10.1.</w:t>
        </w:r>
        <w:r w:rsidR="00F758D4">
          <w:rPr>
            <w:rFonts w:asciiTheme="minorHAnsi" w:eastAsiaTheme="minorEastAsia" w:hAnsiTheme="minorHAnsi" w:cstheme="minorBidi"/>
            <w:noProof/>
            <w:color w:val="auto"/>
            <w:sz w:val="22"/>
            <w:szCs w:val="22"/>
          </w:rPr>
          <w:tab/>
        </w:r>
        <w:r w:rsidR="00F758D4" w:rsidRPr="00C24B66">
          <w:rPr>
            <w:rStyle w:val="Hyperlink"/>
            <w:noProof/>
          </w:rPr>
          <w:t>MIDLANTIC NAT’L BANK v. NJDEP, 474 U.S. 494 (1986)</w:t>
        </w:r>
        <w:r w:rsidR="00F758D4">
          <w:rPr>
            <w:noProof/>
            <w:webHidden/>
          </w:rPr>
          <w:tab/>
        </w:r>
        <w:r w:rsidR="00F758D4">
          <w:rPr>
            <w:noProof/>
            <w:webHidden/>
          </w:rPr>
          <w:fldChar w:fldCharType="begin"/>
        </w:r>
        <w:r w:rsidR="00F758D4">
          <w:rPr>
            <w:noProof/>
            <w:webHidden/>
          </w:rPr>
          <w:instrText xml:space="preserve"> PAGEREF _Toc90983760 \h </w:instrText>
        </w:r>
        <w:r w:rsidR="00F758D4">
          <w:rPr>
            <w:noProof/>
            <w:webHidden/>
          </w:rPr>
        </w:r>
        <w:r w:rsidR="00F758D4">
          <w:rPr>
            <w:noProof/>
            <w:webHidden/>
          </w:rPr>
          <w:fldChar w:fldCharType="separate"/>
        </w:r>
        <w:r w:rsidR="00F758D4">
          <w:rPr>
            <w:noProof/>
            <w:webHidden/>
          </w:rPr>
          <w:t>336</w:t>
        </w:r>
        <w:r w:rsidR="00F758D4">
          <w:rPr>
            <w:noProof/>
            <w:webHidden/>
          </w:rPr>
          <w:fldChar w:fldCharType="end"/>
        </w:r>
      </w:hyperlink>
    </w:p>
    <w:p w14:paraId="74023E2A" w14:textId="0E24D26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1" w:history="1">
        <w:r w:rsidR="00F758D4" w:rsidRPr="00C24B66">
          <w:rPr>
            <w:rStyle w:val="Hyperlink"/>
            <w:noProof/>
          </w:rPr>
          <w:t>10.11.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Estimation of Claims</w:t>
        </w:r>
        <w:r w:rsidR="00F758D4">
          <w:rPr>
            <w:noProof/>
            <w:webHidden/>
          </w:rPr>
          <w:tab/>
        </w:r>
        <w:r w:rsidR="00F758D4">
          <w:rPr>
            <w:noProof/>
            <w:webHidden/>
          </w:rPr>
          <w:fldChar w:fldCharType="begin"/>
        </w:r>
        <w:r w:rsidR="00F758D4">
          <w:rPr>
            <w:noProof/>
            <w:webHidden/>
          </w:rPr>
          <w:instrText xml:space="preserve"> PAGEREF _Toc90983761 \h </w:instrText>
        </w:r>
        <w:r w:rsidR="00F758D4">
          <w:rPr>
            <w:noProof/>
            <w:webHidden/>
          </w:rPr>
        </w:r>
        <w:r w:rsidR="00F758D4">
          <w:rPr>
            <w:noProof/>
            <w:webHidden/>
          </w:rPr>
          <w:fldChar w:fldCharType="separate"/>
        </w:r>
        <w:r w:rsidR="00F758D4">
          <w:rPr>
            <w:noProof/>
            <w:webHidden/>
          </w:rPr>
          <w:t>339</w:t>
        </w:r>
        <w:r w:rsidR="00F758D4">
          <w:rPr>
            <w:noProof/>
            <w:webHidden/>
          </w:rPr>
          <w:fldChar w:fldCharType="end"/>
        </w:r>
      </w:hyperlink>
    </w:p>
    <w:p w14:paraId="1517D25D" w14:textId="0063643F"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762" w:history="1">
        <w:r w:rsidR="00F758D4" w:rsidRPr="00C24B66">
          <w:rPr>
            <w:rStyle w:val="Hyperlink"/>
            <w:noProof/>
          </w:rPr>
          <w:t>10.11.1.</w:t>
        </w:r>
        <w:r w:rsidR="00F758D4">
          <w:rPr>
            <w:rFonts w:asciiTheme="minorHAnsi" w:eastAsiaTheme="minorEastAsia" w:hAnsiTheme="minorHAnsi" w:cstheme="minorBidi"/>
            <w:noProof/>
            <w:color w:val="auto"/>
            <w:sz w:val="22"/>
            <w:szCs w:val="22"/>
          </w:rPr>
          <w:tab/>
        </w:r>
        <w:r w:rsidR="00F758D4" w:rsidRPr="00C24B66">
          <w:rPr>
            <w:rStyle w:val="Hyperlink"/>
            <w:noProof/>
          </w:rPr>
          <w:t>BITTNER v. BORNE CHEMICAL COMPANY, INC., 691 F.2d 134 (3d Cir. 1982)</w:t>
        </w:r>
        <w:r w:rsidR="00F758D4">
          <w:rPr>
            <w:noProof/>
            <w:webHidden/>
          </w:rPr>
          <w:tab/>
        </w:r>
        <w:r w:rsidR="00F758D4">
          <w:rPr>
            <w:noProof/>
            <w:webHidden/>
          </w:rPr>
          <w:fldChar w:fldCharType="begin"/>
        </w:r>
        <w:r w:rsidR="00F758D4">
          <w:rPr>
            <w:noProof/>
            <w:webHidden/>
          </w:rPr>
          <w:instrText xml:space="preserve"> PAGEREF _Toc90983762 \h </w:instrText>
        </w:r>
        <w:r w:rsidR="00F758D4">
          <w:rPr>
            <w:noProof/>
            <w:webHidden/>
          </w:rPr>
        </w:r>
        <w:r w:rsidR="00F758D4">
          <w:rPr>
            <w:noProof/>
            <w:webHidden/>
          </w:rPr>
          <w:fldChar w:fldCharType="separate"/>
        </w:r>
        <w:r w:rsidR="00F758D4">
          <w:rPr>
            <w:noProof/>
            <w:webHidden/>
          </w:rPr>
          <w:t>339</w:t>
        </w:r>
        <w:r w:rsidR="00F758D4">
          <w:rPr>
            <w:noProof/>
            <w:webHidden/>
          </w:rPr>
          <w:fldChar w:fldCharType="end"/>
        </w:r>
      </w:hyperlink>
    </w:p>
    <w:p w14:paraId="4DEE02FD" w14:textId="1479463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3" w:history="1">
        <w:r w:rsidR="00F758D4" w:rsidRPr="00C24B66">
          <w:rPr>
            <w:rStyle w:val="Hyperlink"/>
            <w:noProof/>
          </w:rPr>
          <w:t>10.12.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Distribution to Creditors – 11 U.S.C. § 726</w:t>
        </w:r>
        <w:r w:rsidR="00F758D4">
          <w:rPr>
            <w:noProof/>
            <w:webHidden/>
          </w:rPr>
          <w:tab/>
        </w:r>
        <w:r w:rsidR="00F758D4">
          <w:rPr>
            <w:noProof/>
            <w:webHidden/>
          </w:rPr>
          <w:fldChar w:fldCharType="begin"/>
        </w:r>
        <w:r w:rsidR="00F758D4">
          <w:rPr>
            <w:noProof/>
            <w:webHidden/>
          </w:rPr>
          <w:instrText xml:space="preserve"> PAGEREF _Toc90983763 \h </w:instrText>
        </w:r>
        <w:r w:rsidR="00F758D4">
          <w:rPr>
            <w:noProof/>
            <w:webHidden/>
          </w:rPr>
        </w:r>
        <w:r w:rsidR="00F758D4">
          <w:rPr>
            <w:noProof/>
            <w:webHidden/>
          </w:rPr>
          <w:fldChar w:fldCharType="separate"/>
        </w:r>
        <w:r w:rsidR="00F758D4">
          <w:rPr>
            <w:noProof/>
            <w:webHidden/>
          </w:rPr>
          <w:t>342</w:t>
        </w:r>
        <w:r w:rsidR="00F758D4">
          <w:rPr>
            <w:noProof/>
            <w:webHidden/>
          </w:rPr>
          <w:fldChar w:fldCharType="end"/>
        </w:r>
      </w:hyperlink>
    </w:p>
    <w:p w14:paraId="3EF58F82" w14:textId="0F9985EE"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764" w:history="1">
        <w:r w:rsidR="00F758D4" w:rsidRPr="00C24B66">
          <w:rPr>
            <w:rStyle w:val="Hyperlink"/>
            <w:noProof/>
          </w:rPr>
          <w:t>Chapter 11.</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The Discharge</w:t>
        </w:r>
        <w:r w:rsidR="00F758D4">
          <w:rPr>
            <w:noProof/>
            <w:webHidden/>
          </w:rPr>
          <w:tab/>
        </w:r>
        <w:r w:rsidR="00F758D4">
          <w:rPr>
            <w:noProof/>
            <w:webHidden/>
          </w:rPr>
          <w:fldChar w:fldCharType="begin"/>
        </w:r>
        <w:r w:rsidR="00F758D4">
          <w:rPr>
            <w:noProof/>
            <w:webHidden/>
          </w:rPr>
          <w:instrText xml:space="preserve"> PAGEREF _Toc90983764 \h </w:instrText>
        </w:r>
        <w:r w:rsidR="00F758D4">
          <w:rPr>
            <w:noProof/>
            <w:webHidden/>
          </w:rPr>
        </w:r>
        <w:r w:rsidR="00F758D4">
          <w:rPr>
            <w:noProof/>
            <w:webHidden/>
          </w:rPr>
          <w:fldChar w:fldCharType="separate"/>
        </w:r>
        <w:r w:rsidR="00F758D4">
          <w:rPr>
            <w:noProof/>
            <w:webHidden/>
          </w:rPr>
          <w:t>343</w:t>
        </w:r>
        <w:r w:rsidR="00F758D4">
          <w:rPr>
            <w:noProof/>
            <w:webHidden/>
          </w:rPr>
          <w:fldChar w:fldCharType="end"/>
        </w:r>
      </w:hyperlink>
    </w:p>
    <w:p w14:paraId="6D8F41C5" w14:textId="05484AF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5" w:history="1">
        <w:r w:rsidR="00F758D4" w:rsidRPr="00C24B66">
          <w:rPr>
            <w:rStyle w:val="Hyperlink"/>
            <w:noProof/>
          </w:rPr>
          <w:t>11.1.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Discharge Order</w:t>
        </w:r>
        <w:r w:rsidR="00F758D4">
          <w:rPr>
            <w:noProof/>
            <w:webHidden/>
          </w:rPr>
          <w:tab/>
        </w:r>
        <w:r w:rsidR="00F758D4">
          <w:rPr>
            <w:noProof/>
            <w:webHidden/>
          </w:rPr>
          <w:fldChar w:fldCharType="begin"/>
        </w:r>
        <w:r w:rsidR="00F758D4">
          <w:rPr>
            <w:noProof/>
            <w:webHidden/>
          </w:rPr>
          <w:instrText xml:space="preserve"> PAGEREF _Toc90983765 \h </w:instrText>
        </w:r>
        <w:r w:rsidR="00F758D4">
          <w:rPr>
            <w:noProof/>
            <w:webHidden/>
          </w:rPr>
        </w:r>
        <w:r w:rsidR="00F758D4">
          <w:rPr>
            <w:noProof/>
            <w:webHidden/>
          </w:rPr>
          <w:fldChar w:fldCharType="separate"/>
        </w:r>
        <w:r w:rsidR="00F758D4">
          <w:rPr>
            <w:noProof/>
            <w:webHidden/>
          </w:rPr>
          <w:t>343</w:t>
        </w:r>
        <w:r w:rsidR="00F758D4">
          <w:rPr>
            <w:noProof/>
            <w:webHidden/>
          </w:rPr>
          <w:fldChar w:fldCharType="end"/>
        </w:r>
      </w:hyperlink>
    </w:p>
    <w:p w14:paraId="2BDB10B6" w14:textId="320F6EA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6" w:history="1">
        <w:r w:rsidR="00F758D4" w:rsidRPr="00C24B66">
          <w:rPr>
            <w:rStyle w:val="Hyperlink"/>
            <w:noProof/>
          </w:rPr>
          <w:t>11.2.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Violation of the Discharge Order</w:t>
        </w:r>
        <w:r w:rsidR="00F758D4">
          <w:rPr>
            <w:noProof/>
            <w:webHidden/>
          </w:rPr>
          <w:tab/>
        </w:r>
        <w:r w:rsidR="00F758D4">
          <w:rPr>
            <w:noProof/>
            <w:webHidden/>
          </w:rPr>
          <w:fldChar w:fldCharType="begin"/>
        </w:r>
        <w:r w:rsidR="00F758D4">
          <w:rPr>
            <w:noProof/>
            <w:webHidden/>
          </w:rPr>
          <w:instrText xml:space="preserve"> PAGEREF _Toc90983766 \h </w:instrText>
        </w:r>
        <w:r w:rsidR="00F758D4">
          <w:rPr>
            <w:noProof/>
            <w:webHidden/>
          </w:rPr>
        </w:r>
        <w:r w:rsidR="00F758D4">
          <w:rPr>
            <w:noProof/>
            <w:webHidden/>
          </w:rPr>
          <w:fldChar w:fldCharType="separate"/>
        </w:r>
        <w:r w:rsidR="00F758D4">
          <w:rPr>
            <w:noProof/>
            <w:webHidden/>
          </w:rPr>
          <w:t>343</w:t>
        </w:r>
        <w:r w:rsidR="00F758D4">
          <w:rPr>
            <w:noProof/>
            <w:webHidden/>
          </w:rPr>
          <w:fldChar w:fldCharType="end"/>
        </w:r>
      </w:hyperlink>
    </w:p>
    <w:p w14:paraId="0E1CF08F" w14:textId="54E96A0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67" w:history="1">
        <w:r w:rsidR="00F758D4" w:rsidRPr="00C24B66">
          <w:rPr>
            <w:rStyle w:val="Hyperlink"/>
            <w:noProof/>
          </w:rPr>
          <w:t>11.2.1.</w:t>
        </w:r>
        <w:r w:rsidR="00F758D4">
          <w:rPr>
            <w:rFonts w:asciiTheme="minorHAnsi" w:eastAsiaTheme="minorEastAsia" w:hAnsiTheme="minorHAnsi" w:cstheme="minorBidi"/>
            <w:noProof/>
            <w:color w:val="auto"/>
            <w:sz w:val="22"/>
            <w:szCs w:val="22"/>
          </w:rPr>
          <w:tab/>
        </w:r>
        <w:r w:rsidR="00F758D4" w:rsidRPr="00C24B66">
          <w:rPr>
            <w:rStyle w:val="Hyperlink"/>
            <w:noProof/>
          </w:rPr>
          <w:t>IN RE ANDRUS, 189 B.R. 413 (N.D. Ill. 1995)</w:t>
        </w:r>
        <w:r w:rsidR="00F758D4">
          <w:rPr>
            <w:noProof/>
            <w:webHidden/>
          </w:rPr>
          <w:tab/>
        </w:r>
        <w:r w:rsidR="00F758D4">
          <w:rPr>
            <w:noProof/>
            <w:webHidden/>
          </w:rPr>
          <w:fldChar w:fldCharType="begin"/>
        </w:r>
        <w:r w:rsidR="00F758D4">
          <w:rPr>
            <w:noProof/>
            <w:webHidden/>
          </w:rPr>
          <w:instrText xml:space="preserve"> PAGEREF _Toc90983767 \h </w:instrText>
        </w:r>
        <w:r w:rsidR="00F758D4">
          <w:rPr>
            <w:noProof/>
            <w:webHidden/>
          </w:rPr>
        </w:r>
        <w:r w:rsidR="00F758D4">
          <w:rPr>
            <w:noProof/>
            <w:webHidden/>
          </w:rPr>
          <w:fldChar w:fldCharType="separate"/>
        </w:r>
        <w:r w:rsidR="00F758D4">
          <w:rPr>
            <w:noProof/>
            <w:webHidden/>
          </w:rPr>
          <w:t>343</w:t>
        </w:r>
        <w:r w:rsidR="00F758D4">
          <w:rPr>
            <w:noProof/>
            <w:webHidden/>
          </w:rPr>
          <w:fldChar w:fldCharType="end"/>
        </w:r>
      </w:hyperlink>
    </w:p>
    <w:p w14:paraId="07455AA5" w14:textId="13AF3BC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8" w:history="1">
        <w:r w:rsidR="00F758D4" w:rsidRPr="00C24B66">
          <w:rPr>
            <w:rStyle w:val="Hyperlink"/>
            <w:noProof/>
          </w:rPr>
          <w:t>11.3.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Denial of Discharge</w:t>
        </w:r>
        <w:r w:rsidR="00F758D4">
          <w:rPr>
            <w:noProof/>
            <w:webHidden/>
          </w:rPr>
          <w:tab/>
        </w:r>
        <w:r w:rsidR="00F758D4">
          <w:rPr>
            <w:noProof/>
            <w:webHidden/>
          </w:rPr>
          <w:fldChar w:fldCharType="begin"/>
        </w:r>
        <w:r w:rsidR="00F758D4">
          <w:rPr>
            <w:noProof/>
            <w:webHidden/>
          </w:rPr>
          <w:instrText xml:space="preserve"> PAGEREF _Toc90983768 \h </w:instrText>
        </w:r>
        <w:r w:rsidR="00F758D4">
          <w:rPr>
            <w:noProof/>
            <w:webHidden/>
          </w:rPr>
        </w:r>
        <w:r w:rsidR="00F758D4">
          <w:rPr>
            <w:noProof/>
            <w:webHidden/>
          </w:rPr>
          <w:fldChar w:fldCharType="separate"/>
        </w:r>
        <w:r w:rsidR="00F758D4">
          <w:rPr>
            <w:noProof/>
            <w:webHidden/>
          </w:rPr>
          <w:t>345</w:t>
        </w:r>
        <w:r w:rsidR="00F758D4">
          <w:rPr>
            <w:noProof/>
            <w:webHidden/>
          </w:rPr>
          <w:fldChar w:fldCharType="end"/>
        </w:r>
      </w:hyperlink>
    </w:p>
    <w:p w14:paraId="0AB3245E" w14:textId="39F5C6A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69" w:history="1">
        <w:r w:rsidR="00F758D4" w:rsidRPr="00C24B66">
          <w:rPr>
            <w:rStyle w:val="Hyperlink"/>
            <w:noProof/>
          </w:rPr>
          <w:t>11.4.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Denial of Discharge</w:t>
        </w:r>
        <w:r w:rsidR="00F758D4">
          <w:rPr>
            <w:noProof/>
            <w:webHidden/>
          </w:rPr>
          <w:tab/>
        </w:r>
        <w:r w:rsidR="00F758D4">
          <w:rPr>
            <w:noProof/>
            <w:webHidden/>
          </w:rPr>
          <w:fldChar w:fldCharType="begin"/>
        </w:r>
        <w:r w:rsidR="00F758D4">
          <w:rPr>
            <w:noProof/>
            <w:webHidden/>
          </w:rPr>
          <w:instrText xml:space="preserve"> PAGEREF _Toc90983769 \h </w:instrText>
        </w:r>
        <w:r w:rsidR="00F758D4">
          <w:rPr>
            <w:noProof/>
            <w:webHidden/>
          </w:rPr>
        </w:r>
        <w:r w:rsidR="00F758D4">
          <w:rPr>
            <w:noProof/>
            <w:webHidden/>
          </w:rPr>
          <w:fldChar w:fldCharType="separate"/>
        </w:r>
        <w:r w:rsidR="00F758D4">
          <w:rPr>
            <w:noProof/>
            <w:webHidden/>
          </w:rPr>
          <w:t>347</w:t>
        </w:r>
        <w:r w:rsidR="00F758D4">
          <w:rPr>
            <w:noProof/>
            <w:webHidden/>
          </w:rPr>
          <w:fldChar w:fldCharType="end"/>
        </w:r>
      </w:hyperlink>
    </w:p>
    <w:p w14:paraId="1586D503" w14:textId="75A1CF7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0" w:history="1">
        <w:r w:rsidR="00F758D4" w:rsidRPr="00C24B66">
          <w:rPr>
            <w:rStyle w:val="Hyperlink"/>
            <w:noProof/>
          </w:rPr>
          <w:t>11.4.1.</w:t>
        </w:r>
        <w:r w:rsidR="00F758D4">
          <w:rPr>
            <w:rFonts w:asciiTheme="minorHAnsi" w:eastAsiaTheme="minorEastAsia" w:hAnsiTheme="minorHAnsi" w:cstheme="minorBidi"/>
            <w:noProof/>
            <w:color w:val="auto"/>
            <w:sz w:val="22"/>
            <w:szCs w:val="22"/>
          </w:rPr>
          <w:tab/>
        </w:r>
        <w:r w:rsidR="00F758D4" w:rsidRPr="00C24B66">
          <w:rPr>
            <w:rStyle w:val="Hyperlink"/>
            <w:noProof/>
          </w:rPr>
          <w:t>DAVIS v. DAVIS, 911 F.2d 560 (11th Cir. 1990)</w:t>
        </w:r>
        <w:r w:rsidR="00F758D4">
          <w:rPr>
            <w:noProof/>
            <w:webHidden/>
          </w:rPr>
          <w:tab/>
        </w:r>
        <w:r w:rsidR="00F758D4">
          <w:rPr>
            <w:noProof/>
            <w:webHidden/>
          </w:rPr>
          <w:fldChar w:fldCharType="begin"/>
        </w:r>
        <w:r w:rsidR="00F758D4">
          <w:rPr>
            <w:noProof/>
            <w:webHidden/>
          </w:rPr>
          <w:instrText xml:space="preserve"> PAGEREF _Toc90983770 \h </w:instrText>
        </w:r>
        <w:r w:rsidR="00F758D4">
          <w:rPr>
            <w:noProof/>
            <w:webHidden/>
          </w:rPr>
        </w:r>
        <w:r w:rsidR="00F758D4">
          <w:rPr>
            <w:noProof/>
            <w:webHidden/>
          </w:rPr>
          <w:fldChar w:fldCharType="separate"/>
        </w:r>
        <w:r w:rsidR="00F758D4">
          <w:rPr>
            <w:noProof/>
            <w:webHidden/>
          </w:rPr>
          <w:t>347</w:t>
        </w:r>
        <w:r w:rsidR="00F758D4">
          <w:rPr>
            <w:noProof/>
            <w:webHidden/>
          </w:rPr>
          <w:fldChar w:fldCharType="end"/>
        </w:r>
      </w:hyperlink>
    </w:p>
    <w:p w14:paraId="70A683AB" w14:textId="1AFF8A3B"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1" w:history="1">
        <w:r w:rsidR="00F758D4" w:rsidRPr="00C24B66">
          <w:rPr>
            <w:rStyle w:val="Hyperlink"/>
            <w:noProof/>
          </w:rPr>
          <w:t>11.4.2.</w:t>
        </w:r>
        <w:r w:rsidR="00F758D4">
          <w:rPr>
            <w:rFonts w:asciiTheme="minorHAnsi" w:eastAsiaTheme="minorEastAsia" w:hAnsiTheme="minorHAnsi" w:cstheme="minorBidi"/>
            <w:noProof/>
            <w:color w:val="auto"/>
            <w:sz w:val="22"/>
            <w:szCs w:val="22"/>
          </w:rPr>
          <w:tab/>
        </w:r>
        <w:r w:rsidR="00F758D4" w:rsidRPr="00C24B66">
          <w:rPr>
            <w:rStyle w:val="Hyperlink"/>
            <w:noProof/>
          </w:rPr>
          <w:t>IN RE BAJGAR, 104 F.3d 495 (1st Cir. 1997)</w:t>
        </w:r>
        <w:r w:rsidR="00F758D4">
          <w:rPr>
            <w:noProof/>
            <w:webHidden/>
          </w:rPr>
          <w:tab/>
        </w:r>
        <w:r w:rsidR="00F758D4">
          <w:rPr>
            <w:noProof/>
            <w:webHidden/>
          </w:rPr>
          <w:fldChar w:fldCharType="begin"/>
        </w:r>
        <w:r w:rsidR="00F758D4">
          <w:rPr>
            <w:noProof/>
            <w:webHidden/>
          </w:rPr>
          <w:instrText xml:space="preserve"> PAGEREF _Toc90983771 \h </w:instrText>
        </w:r>
        <w:r w:rsidR="00F758D4">
          <w:rPr>
            <w:noProof/>
            <w:webHidden/>
          </w:rPr>
        </w:r>
        <w:r w:rsidR="00F758D4">
          <w:rPr>
            <w:noProof/>
            <w:webHidden/>
          </w:rPr>
          <w:fldChar w:fldCharType="separate"/>
        </w:r>
        <w:r w:rsidR="00F758D4">
          <w:rPr>
            <w:noProof/>
            <w:webHidden/>
          </w:rPr>
          <w:t>348</w:t>
        </w:r>
        <w:r w:rsidR="00F758D4">
          <w:rPr>
            <w:noProof/>
            <w:webHidden/>
          </w:rPr>
          <w:fldChar w:fldCharType="end"/>
        </w:r>
      </w:hyperlink>
    </w:p>
    <w:p w14:paraId="3F161E13" w14:textId="7A4E620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72" w:history="1">
        <w:r w:rsidR="00F758D4" w:rsidRPr="00C24B66">
          <w:rPr>
            <w:rStyle w:val="Hyperlink"/>
            <w:noProof/>
          </w:rPr>
          <w:t>11.5.</w:t>
        </w:r>
        <w:r w:rsidR="00F758D4">
          <w:rPr>
            <w:rFonts w:asciiTheme="minorHAnsi" w:eastAsiaTheme="minorEastAsia" w:hAnsiTheme="minorHAnsi" w:cstheme="minorBidi"/>
            <w:iCs w:val="0"/>
            <w:noProof/>
            <w:color w:val="auto"/>
            <w:sz w:val="22"/>
            <w:szCs w:val="22"/>
          </w:rPr>
          <w:tab/>
        </w:r>
        <w:r w:rsidR="00F758D4" w:rsidRPr="00C24B66">
          <w:rPr>
            <w:rStyle w:val="Hyperlink"/>
            <w:noProof/>
          </w:rPr>
          <w:t>Exceptions to Discharge – 11 U.S.C. § 523</w:t>
        </w:r>
        <w:r w:rsidR="00F758D4">
          <w:rPr>
            <w:noProof/>
            <w:webHidden/>
          </w:rPr>
          <w:tab/>
        </w:r>
        <w:r w:rsidR="00F758D4">
          <w:rPr>
            <w:noProof/>
            <w:webHidden/>
          </w:rPr>
          <w:fldChar w:fldCharType="begin"/>
        </w:r>
        <w:r w:rsidR="00F758D4">
          <w:rPr>
            <w:noProof/>
            <w:webHidden/>
          </w:rPr>
          <w:instrText xml:space="preserve"> PAGEREF _Toc90983772 \h </w:instrText>
        </w:r>
        <w:r w:rsidR="00F758D4">
          <w:rPr>
            <w:noProof/>
            <w:webHidden/>
          </w:rPr>
        </w:r>
        <w:r w:rsidR="00F758D4">
          <w:rPr>
            <w:noProof/>
            <w:webHidden/>
          </w:rPr>
          <w:fldChar w:fldCharType="separate"/>
        </w:r>
        <w:r w:rsidR="00F758D4">
          <w:rPr>
            <w:noProof/>
            <w:webHidden/>
          </w:rPr>
          <w:t>350</w:t>
        </w:r>
        <w:r w:rsidR="00F758D4">
          <w:rPr>
            <w:noProof/>
            <w:webHidden/>
          </w:rPr>
          <w:fldChar w:fldCharType="end"/>
        </w:r>
      </w:hyperlink>
    </w:p>
    <w:p w14:paraId="4E8C888E" w14:textId="225533B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73" w:history="1">
        <w:r w:rsidR="00F758D4" w:rsidRPr="00C24B66">
          <w:rPr>
            <w:rStyle w:val="Hyperlink"/>
            <w:noProof/>
          </w:rPr>
          <w:t>11.6.</w:t>
        </w:r>
        <w:r w:rsidR="00F758D4">
          <w:rPr>
            <w:rFonts w:asciiTheme="minorHAnsi" w:eastAsiaTheme="minorEastAsia" w:hAnsiTheme="minorHAnsi" w:cstheme="minorBidi"/>
            <w:iCs w:val="0"/>
            <w:noProof/>
            <w:color w:val="auto"/>
            <w:sz w:val="22"/>
            <w:szCs w:val="22"/>
          </w:rPr>
          <w:tab/>
        </w:r>
        <w:r w:rsidR="00F758D4" w:rsidRPr="00C24B66">
          <w:rPr>
            <w:rStyle w:val="Hyperlink"/>
            <w:noProof/>
          </w:rPr>
          <w:t>Automatically Non-Dischargeable Debts</w:t>
        </w:r>
        <w:r w:rsidR="00F758D4">
          <w:rPr>
            <w:noProof/>
            <w:webHidden/>
          </w:rPr>
          <w:tab/>
        </w:r>
        <w:r w:rsidR="00F758D4">
          <w:rPr>
            <w:noProof/>
            <w:webHidden/>
          </w:rPr>
          <w:fldChar w:fldCharType="begin"/>
        </w:r>
        <w:r w:rsidR="00F758D4">
          <w:rPr>
            <w:noProof/>
            <w:webHidden/>
          </w:rPr>
          <w:instrText xml:space="preserve"> PAGEREF _Toc90983773 \h </w:instrText>
        </w:r>
        <w:r w:rsidR="00F758D4">
          <w:rPr>
            <w:noProof/>
            <w:webHidden/>
          </w:rPr>
        </w:r>
        <w:r w:rsidR="00F758D4">
          <w:rPr>
            <w:noProof/>
            <w:webHidden/>
          </w:rPr>
          <w:fldChar w:fldCharType="separate"/>
        </w:r>
        <w:r w:rsidR="00F758D4">
          <w:rPr>
            <w:noProof/>
            <w:webHidden/>
          </w:rPr>
          <w:t>351</w:t>
        </w:r>
        <w:r w:rsidR="00F758D4">
          <w:rPr>
            <w:noProof/>
            <w:webHidden/>
          </w:rPr>
          <w:fldChar w:fldCharType="end"/>
        </w:r>
      </w:hyperlink>
    </w:p>
    <w:p w14:paraId="005F9EA2" w14:textId="3FA1C2F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74" w:history="1">
        <w:r w:rsidR="00F758D4" w:rsidRPr="00C24B66">
          <w:rPr>
            <w:rStyle w:val="Hyperlink"/>
            <w:noProof/>
          </w:rPr>
          <w:t>11.7.</w:t>
        </w:r>
        <w:r w:rsidR="00F758D4">
          <w:rPr>
            <w:rFonts w:asciiTheme="minorHAnsi" w:eastAsiaTheme="minorEastAsia" w:hAnsiTheme="minorHAnsi" w:cstheme="minorBidi"/>
            <w:iCs w:val="0"/>
            <w:noProof/>
            <w:color w:val="auto"/>
            <w:sz w:val="22"/>
            <w:szCs w:val="22"/>
          </w:rPr>
          <w:tab/>
        </w:r>
        <w:r w:rsidR="00F758D4" w:rsidRPr="00C24B66">
          <w:rPr>
            <w:rStyle w:val="Hyperlink"/>
            <w:noProof/>
          </w:rPr>
          <w:t>Debts Non-Dischargeable Only On Timely Request of the Creditor</w:t>
        </w:r>
        <w:r w:rsidR="00F758D4">
          <w:rPr>
            <w:noProof/>
            <w:webHidden/>
          </w:rPr>
          <w:tab/>
        </w:r>
        <w:r w:rsidR="00F758D4">
          <w:rPr>
            <w:noProof/>
            <w:webHidden/>
          </w:rPr>
          <w:fldChar w:fldCharType="begin"/>
        </w:r>
        <w:r w:rsidR="00F758D4">
          <w:rPr>
            <w:noProof/>
            <w:webHidden/>
          </w:rPr>
          <w:instrText xml:space="preserve"> PAGEREF _Toc90983774 \h </w:instrText>
        </w:r>
        <w:r w:rsidR="00F758D4">
          <w:rPr>
            <w:noProof/>
            <w:webHidden/>
          </w:rPr>
        </w:r>
        <w:r w:rsidR="00F758D4">
          <w:rPr>
            <w:noProof/>
            <w:webHidden/>
          </w:rPr>
          <w:fldChar w:fldCharType="separate"/>
        </w:r>
        <w:r w:rsidR="00F758D4">
          <w:rPr>
            <w:noProof/>
            <w:webHidden/>
          </w:rPr>
          <w:t>353</w:t>
        </w:r>
        <w:r w:rsidR="00F758D4">
          <w:rPr>
            <w:noProof/>
            <w:webHidden/>
          </w:rPr>
          <w:fldChar w:fldCharType="end"/>
        </w:r>
      </w:hyperlink>
    </w:p>
    <w:p w14:paraId="6F5567AB" w14:textId="4E2E16A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75" w:history="1">
        <w:r w:rsidR="00F758D4" w:rsidRPr="00C24B66">
          <w:rPr>
            <w:rStyle w:val="Hyperlink"/>
            <w:noProof/>
          </w:rPr>
          <w:t>11.8.</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Exceptions to Discharge</w:t>
        </w:r>
        <w:r w:rsidR="00F758D4">
          <w:rPr>
            <w:noProof/>
            <w:webHidden/>
          </w:rPr>
          <w:tab/>
        </w:r>
        <w:r w:rsidR="00F758D4">
          <w:rPr>
            <w:noProof/>
            <w:webHidden/>
          </w:rPr>
          <w:fldChar w:fldCharType="begin"/>
        </w:r>
        <w:r w:rsidR="00F758D4">
          <w:rPr>
            <w:noProof/>
            <w:webHidden/>
          </w:rPr>
          <w:instrText xml:space="preserve"> PAGEREF _Toc90983775 \h </w:instrText>
        </w:r>
        <w:r w:rsidR="00F758D4">
          <w:rPr>
            <w:noProof/>
            <w:webHidden/>
          </w:rPr>
        </w:r>
        <w:r w:rsidR="00F758D4">
          <w:rPr>
            <w:noProof/>
            <w:webHidden/>
          </w:rPr>
          <w:fldChar w:fldCharType="separate"/>
        </w:r>
        <w:r w:rsidR="00F758D4">
          <w:rPr>
            <w:noProof/>
            <w:webHidden/>
          </w:rPr>
          <w:t>353</w:t>
        </w:r>
        <w:r w:rsidR="00F758D4">
          <w:rPr>
            <w:noProof/>
            <w:webHidden/>
          </w:rPr>
          <w:fldChar w:fldCharType="end"/>
        </w:r>
      </w:hyperlink>
    </w:p>
    <w:p w14:paraId="3A76FB84" w14:textId="4C4003D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6" w:history="1">
        <w:r w:rsidR="00F758D4" w:rsidRPr="00C24B66">
          <w:rPr>
            <w:rStyle w:val="Hyperlink"/>
            <w:noProof/>
          </w:rPr>
          <w:t>11.8.1.</w:t>
        </w:r>
        <w:r w:rsidR="00F758D4">
          <w:rPr>
            <w:rFonts w:asciiTheme="minorHAnsi" w:eastAsiaTheme="minorEastAsia" w:hAnsiTheme="minorHAnsi" w:cstheme="minorBidi"/>
            <w:noProof/>
            <w:color w:val="auto"/>
            <w:sz w:val="22"/>
            <w:szCs w:val="22"/>
          </w:rPr>
          <w:tab/>
        </w:r>
        <w:r w:rsidR="00F758D4" w:rsidRPr="00C24B66">
          <w:rPr>
            <w:rStyle w:val="Hyperlink"/>
            <w:noProof/>
          </w:rPr>
          <w:t>FAHEY v. MASS. DEP’T OF REVENUE, 2015 BL 41157 (1st Cir. 2015)</w:t>
        </w:r>
        <w:r w:rsidR="00F758D4">
          <w:rPr>
            <w:noProof/>
            <w:webHidden/>
          </w:rPr>
          <w:tab/>
        </w:r>
        <w:r w:rsidR="00F758D4">
          <w:rPr>
            <w:noProof/>
            <w:webHidden/>
          </w:rPr>
          <w:fldChar w:fldCharType="begin"/>
        </w:r>
        <w:r w:rsidR="00F758D4">
          <w:rPr>
            <w:noProof/>
            <w:webHidden/>
          </w:rPr>
          <w:instrText xml:space="preserve"> PAGEREF _Toc90983776 \h </w:instrText>
        </w:r>
        <w:r w:rsidR="00F758D4">
          <w:rPr>
            <w:noProof/>
            <w:webHidden/>
          </w:rPr>
        </w:r>
        <w:r w:rsidR="00F758D4">
          <w:rPr>
            <w:noProof/>
            <w:webHidden/>
          </w:rPr>
          <w:fldChar w:fldCharType="separate"/>
        </w:r>
        <w:r w:rsidR="00F758D4">
          <w:rPr>
            <w:noProof/>
            <w:webHidden/>
          </w:rPr>
          <w:t>353</w:t>
        </w:r>
        <w:r w:rsidR="00F758D4">
          <w:rPr>
            <w:noProof/>
            <w:webHidden/>
          </w:rPr>
          <w:fldChar w:fldCharType="end"/>
        </w:r>
      </w:hyperlink>
    </w:p>
    <w:p w14:paraId="019BCA81" w14:textId="13C7125D"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7" w:history="1">
        <w:r w:rsidR="00F758D4" w:rsidRPr="00C24B66">
          <w:rPr>
            <w:rStyle w:val="Hyperlink"/>
            <w:noProof/>
          </w:rPr>
          <w:t>11.8.2.</w:t>
        </w:r>
        <w:r w:rsidR="00F758D4">
          <w:rPr>
            <w:rFonts w:asciiTheme="minorHAnsi" w:eastAsiaTheme="minorEastAsia" w:hAnsiTheme="minorHAnsi" w:cstheme="minorBidi"/>
            <w:noProof/>
            <w:color w:val="auto"/>
            <w:sz w:val="22"/>
            <w:szCs w:val="22"/>
          </w:rPr>
          <w:tab/>
        </w:r>
        <w:r w:rsidR="00F758D4" w:rsidRPr="00C24B66">
          <w:rPr>
            <w:rStyle w:val="Hyperlink"/>
            <w:noProof/>
          </w:rPr>
          <w:t>BRUNNER v. NEW YORK STATE HIGHER EDUC. SERV. CORP., 831 F.2d 395 (2d Cir. 1987)</w:t>
        </w:r>
        <w:r w:rsidR="00F758D4">
          <w:rPr>
            <w:noProof/>
            <w:webHidden/>
          </w:rPr>
          <w:tab/>
        </w:r>
        <w:r w:rsidR="00F758D4">
          <w:rPr>
            <w:noProof/>
            <w:webHidden/>
          </w:rPr>
          <w:fldChar w:fldCharType="begin"/>
        </w:r>
        <w:r w:rsidR="00F758D4">
          <w:rPr>
            <w:noProof/>
            <w:webHidden/>
          </w:rPr>
          <w:instrText xml:space="preserve"> PAGEREF _Toc90983777 \h </w:instrText>
        </w:r>
        <w:r w:rsidR="00F758D4">
          <w:rPr>
            <w:noProof/>
            <w:webHidden/>
          </w:rPr>
        </w:r>
        <w:r w:rsidR="00F758D4">
          <w:rPr>
            <w:noProof/>
            <w:webHidden/>
          </w:rPr>
          <w:fldChar w:fldCharType="separate"/>
        </w:r>
        <w:r w:rsidR="00F758D4">
          <w:rPr>
            <w:noProof/>
            <w:webHidden/>
          </w:rPr>
          <w:t>357</w:t>
        </w:r>
        <w:r w:rsidR="00F758D4">
          <w:rPr>
            <w:noProof/>
            <w:webHidden/>
          </w:rPr>
          <w:fldChar w:fldCharType="end"/>
        </w:r>
      </w:hyperlink>
    </w:p>
    <w:p w14:paraId="50B45848" w14:textId="1F4DBA81"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8" w:history="1">
        <w:r w:rsidR="00F758D4" w:rsidRPr="00C24B66">
          <w:rPr>
            <w:rStyle w:val="Hyperlink"/>
            <w:noProof/>
          </w:rPr>
          <w:t>11.8.3.</w:t>
        </w:r>
        <w:r w:rsidR="00F758D4">
          <w:rPr>
            <w:rFonts w:asciiTheme="minorHAnsi" w:eastAsiaTheme="minorEastAsia" w:hAnsiTheme="minorHAnsi" w:cstheme="minorBidi"/>
            <w:noProof/>
            <w:color w:val="auto"/>
            <w:sz w:val="22"/>
            <w:szCs w:val="22"/>
          </w:rPr>
          <w:tab/>
        </w:r>
        <w:r w:rsidR="00F758D4" w:rsidRPr="00C24B66">
          <w:rPr>
            <w:rStyle w:val="Hyperlink"/>
            <w:noProof/>
          </w:rPr>
          <w:t>ELLINGSWORTH v. AT&amp;T UNIVERSAL CARD SERV., 212 B.R. 326 (Bankr. W.D. Mo. 1997)</w:t>
        </w:r>
        <w:r w:rsidR="00F758D4">
          <w:rPr>
            <w:noProof/>
            <w:webHidden/>
          </w:rPr>
          <w:tab/>
        </w:r>
        <w:r w:rsidR="00F758D4">
          <w:rPr>
            <w:noProof/>
            <w:webHidden/>
          </w:rPr>
          <w:fldChar w:fldCharType="begin"/>
        </w:r>
        <w:r w:rsidR="00F758D4">
          <w:rPr>
            <w:noProof/>
            <w:webHidden/>
          </w:rPr>
          <w:instrText xml:space="preserve"> PAGEREF _Toc90983778 \h </w:instrText>
        </w:r>
        <w:r w:rsidR="00F758D4">
          <w:rPr>
            <w:noProof/>
            <w:webHidden/>
          </w:rPr>
        </w:r>
        <w:r w:rsidR="00F758D4">
          <w:rPr>
            <w:noProof/>
            <w:webHidden/>
          </w:rPr>
          <w:fldChar w:fldCharType="separate"/>
        </w:r>
        <w:r w:rsidR="00F758D4">
          <w:rPr>
            <w:noProof/>
            <w:webHidden/>
          </w:rPr>
          <w:t>358</w:t>
        </w:r>
        <w:r w:rsidR="00F758D4">
          <w:rPr>
            <w:noProof/>
            <w:webHidden/>
          </w:rPr>
          <w:fldChar w:fldCharType="end"/>
        </w:r>
      </w:hyperlink>
    </w:p>
    <w:p w14:paraId="31AB9C72" w14:textId="4033D065"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79" w:history="1">
        <w:r w:rsidR="00F758D4" w:rsidRPr="00C24B66">
          <w:rPr>
            <w:rStyle w:val="Hyperlink"/>
            <w:noProof/>
          </w:rPr>
          <w:t>11.8.4.</w:t>
        </w:r>
        <w:r w:rsidR="00F758D4">
          <w:rPr>
            <w:rFonts w:asciiTheme="minorHAnsi" w:eastAsiaTheme="minorEastAsia" w:hAnsiTheme="minorHAnsi" w:cstheme="minorBidi"/>
            <w:noProof/>
            <w:color w:val="auto"/>
            <w:sz w:val="22"/>
            <w:szCs w:val="22"/>
          </w:rPr>
          <w:tab/>
        </w:r>
        <w:r w:rsidR="00F758D4" w:rsidRPr="00C24B66">
          <w:rPr>
            <w:rStyle w:val="Hyperlink"/>
            <w:noProof/>
          </w:rPr>
          <w:t>IN RE SHARPE, 351 B.R. 409 (Bankr. N.D. Tex. 2006)</w:t>
        </w:r>
        <w:r w:rsidR="00F758D4">
          <w:rPr>
            <w:noProof/>
            <w:webHidden/>
          </w:rPr>
          <w:tab/>
        </w:r>
        <w:r w:rsidR="00F758D4">
          <w:rPr>
            <w:noProof/>
            <w:webHidden/>
          </w:rPr>
          <w:fldChar w:fldCharType="begin"/>
        </w:r>
        <w:r w:rsidR="00F758D4">
          <w:rPr>
            <w:noProof/>
            <w:webHidden/>
          </w:rPr>
          <w:instrText xml:space="preserve"> PAGEREF _Toc90983779 \h </w:instrText>
        </w:r>
        <w:r w:rsidR="00F758D4">
          <w:rPr>
            <w:noProof/>
            <w:webHidden/>
          </w:rPr>
        </w:r>
        <w:r w:rsidR="00F758D4">
          <w:rPr>
            <w:noProof/>
            <w:webHidden/>
          </w:rPr>
          <w:fldChar w:fldCharType="separate"/>
        </w:r>
        <w:r w:rsidR="00F758D4">
          <w:rPr>
            <w:noProof/>
            <w:webHidden/>
          </w:rPr>
          <w:t>367</w:t>
        </w:r>
        <w:r w:rsidR="00F758D4">
          <w:rPr>
            <w:noProof/>
            <w:webHidden/>
          </w:rPr>
          <w:fldChar w:fldCharType="end"/>
        </w:r>
      </w:hyperlink>
    </w:p>
    <w:p w14:paraId="1F9DA200" w14:textId="343A37E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80" w:history="1">
        <w:r w:rsidR="00F758D4" w:rsidRPr="00C24B66">
          <w:rPr>
            <w:rStyle w:val="Hyperlink"/>
            <w:noProof/>
          </w:rPr>
          <w:t>11.8.5.</w:t>
        </w:r>
        <w:r w:rsidR="00F758D4">
          <w:rPr>
            <w:rFonts w:asciiTheme="minorHAnsi" w:eastAsiaTheme="minorEastAsia" w:hAnsiTheme="minorHAnsi" w:cstheme="minorBidi"/>
            <w:noProof/>
            <w:color w:val="auto"/>
            <w:sz w:val="22"/>
            <w:szCs w:val="22"/>
          </w:rPr>
          <w:tab/>
        </w:r>
        <w:r w:rsidR="00F758D4" w:rsidRPr="00C24B66">
          <w:rPr>
            <w:rStyle w:val="Hyperlink"/>
            <w:noProof/>
          </w:rPr>
          <w:t>ARCHER v. WARNER, 538 U.S. 314 (2003)</w:t>
        </w:r>
        <w:r w:rsidR="00F758D4">
          <w:rPr>
            <w:noProof/>
            <w:webHidden/>
          </w:rPr>
          <w:tab/>
        </w:r>
        <w:r w:rsidR="00F758D4">
          <w:rPr>
            <w:noProof/>
            <w:webHidden/>
          </w:rPr>
          <w:fldChar w:fldCharType="begin"/>
        </w:r>
        <w:r w:rsidR="00F758D4">
          <w:rPr>
            <w:noProof/>
            <w:webHidden/>
          </w:rPr>
          <w:instrText xml:space="preserve"> PAGEREF _Toc90983780 \h </w:instrText>
        </w:r>
        <w:r w:rsidR="00F758D4">
          <w:rPr>
            <w:noProof/>
            <w:webHidden/>
          </w:rPr>
        </w:r>
        <w:r w:rsidR="00F758D4">
          <w:rPr>
            <w:noProof/>
            <w:webHidden/>
          </w:rPr>
          <w:fldChar w:fldCharType="separate"/>
        </w:r>
        <w:r w:rsidR="00F758D4">
          <w:rPr>
            <w:noProof/>
            <w:webHidden/>
          </w:rPr>
          <w:t>371</w:t>
        </w:r>
        <w:r w:rsidR="00F758D4">
          <w:rPr>
            <w:noProof/>
            <w:webHidden/>
          </w:rPr>
          <w:fldChar w:fldCharType="end"/>
        </w:r>
      </w:hyperlink>
    </w:p>
    <w:p w14:paraId="7D5C92A4" w14:textId="28C0767C"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81" w:history="1">
        <w:r w:rsidR="00F758D4" w:rsidRPr="00C24B66">
          <w:rPr>
            <w:rStyle w:val="Hyperlink"/>
            <w:noProof/>
          </w:rPr>
          <w:t>11.8.6.</w:t>
        </w:r>
        <w:r w:rsidR="00F758D4">
          <w:rPr>
            <w:rFonts w:asciiTheme="minorHAnsi" w:eastAsiaTheme="minorEastAsia" w:hAnsiTheme="minorHAnsi" w:cstheme="minorBidi"/>
            <w:noProof/>
            <w:color w:val="auto"/>
            <w:sz w:val="22"/>
            <w:szCs w:val="22"/>
          </w:rPr>
          <w:tab/>
        </w:r>
        <w:r w:rsidR="00F758D4" w:rsidRPr="00C24B66">
          <w:rPr>
            <w:rStyle w:val="Hyperlink"/>
            <w:noProof/>
          </w:rPr>
          <w:t>KAWAAUHAU v. GEIGER, 523 U.S. 57 (1998)</w:t>
        </w:r>
        <w:r w:rsidR="00F758D4">
          <w:rPr>
            <w:noProof/>
            <w:webHidden/>
          </w:rPr>
          <w:tab/>
        </w:r>
        <w:r w:rsidR="00F758D4">
          <w:rPr>
            <w:noProof/>
            <w:webHidden/>
          </w:rPr>
          <w:fldChar w:fldCharType="begin"/>
        </w:r>
        <w:r w:rsidR="00F758D4">
          <w:rPr>
            <w:noProof/>
            <w:webHidden/>
          </w:rPr>
          <w:instrText xml:space="preserve"> PAGEREF _Toc90983781 \h </w:instrText>
        </w:r>
        <w:r w:rsidR="00F758D4">
          <w:rPr>
            <w:noProof/>
            <w:webHidden/>
          </w:rPr>
        </w:r>
        <w:r w:rsidR="00F758D4">
          <w:rPr>
            <w:noProof/>
            <w:webHidden/>
          </w:rPr>
          <w:fldChar w:fldCharType="separate"/>
        </w:r>
        <w:r w:rsidR="00F758D4">
          <w:rPr>
            <w:noProof/>
            <w:webHidden/>
          </w:rPr>
          <w:t>374</w:t>
        </w:r>
        <w:r w:rsidR="00F758D4">
          <w:rPr>
            <w:noProof/>
            <w:webHidden/>
          </w:rPr>
          <w:fldChar w:fldCharType="end"/>
        </w:r>
      </w:hyperlink>
    </w:p>
    <w:p w14:paraId="6372AA11" w14:textId="7EDCEE5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82" w:history="1">
        <w:r w:rsidR="00F758D4" w:rsidRPr="00C24B66">
          <w:rPr>
            <w:rStyle w:val="Hyperlink"/>
            <w:noProof/>
          </w:rPr>
          <w:t>11.8.7.</w:t>
        </w:r>
        <w:r w:rsidR="00F758D4">
          <w:rPr>
            <w:rFonts w:asciiTheme="minorHAnsi" w:eastAsiaTheme="minorEastAsia" w:hAnsiTheme="minorHAnsi" w:cstheme="minorBidi"/>
            <w:noProof/>
            <w:color w:val="auto"/>
            <w:sz w:val="22"/>
            <w:szCs w:val="22"/>
          </w:rPr>
          <w:tab/>
        </w:r>
        <w:r w:rsidR="00F758D4" w:rsidRPr="00C24B66">
          <w:rPr>
            <w:rStyle w:val="Hyperlink"/>
            <w:noProof/>
          </w:rPr>
          <w:t>BULLOCK v. BANKCHAMPAIGN, 133 S.Ct. 1754 (2013)</w:t>
        </w:r>
        <w:r w:rsidR="00F758D4">
          <w:rPr>
            <w:noProof/>
            <w:webHidden/>
          </w:rPr>
          <w:tab/>
        </w:r>
        <w:r w:rsidR="00F758D4">
          <w:rPr>
            <w:noProof/>
            <w:webHidden/>
          </w:rPr>
          <w:fldChar w:fldCharType="begin"/>
        </w:r>
        <w:r w:rsidR="00F758D4">
          <w:rPr>
            <w:noProof/>
            <w:webHidden/>
          </w:rPr>
          <w:instrText xml:space="preserve"> PAGEREF _Toc90983782 \h </w:instrText>
        </w:r>
        <w:r w:rsidR="00F758D4">
          <w:rPr>
            <w:noProof/>
            <w:webHidden/>
          </w:rPr>
        </w:r>
        <w:r w:rsidR="00F758D4">
          <w:rPr>
            <w:noProof/>
            <w:webHidden/>
          </w:rPr>
          <w:fldChar w:fldCharType="separate"/>
        </w:r>
        <w:r w:rsidR="00F758D4">
          <w:rPr>
            <w:noProof/>
            <w:webHidden/>
          </w:rPr>
          <w:t>376</w:t>
        </w:r>
        <w:r w:rsidR="00F758D4">
          <w:rPr>
            <w:noProof/>
            <w:webHidden/>
          </w:rPr>
          <w:fldChar w:fldCharType="end"/>
        </w:r>
      </w:hyperlink>
    </w:p>
    <w:p w14:paraId="40F33E32" w14:textId="7837DF5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3" w:history="1">
        <w:r w:rsidR="00F758D4" w:rsidRPr="00C24B66">
          <w:rPr>
            <w:rStyle w:val="Hyperlink"/>
            <w:noProof/>
          </w:rPr>
          <w:t>11.9.</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Reaffirmation – 11 U.S.C. § 524(c)</w:t>
        </w:r>
        <w:r w:rsidR="00F758D4">
          <w:rPr>
            <w:noProof/>
            <w:webHidden/>
          </w:rPr>
          <w:tab/>
        </w:r>
        <w:r w:rsidR="00F758D4">
          <w:rPr>
            <w:noProof/>
            <w:webHidden/>
          </w:rPr>
          <w:fldChar w:fldCharType="begin"/>
        </w:r>
        <w:r w:rsidR="00F758D4">
          <w:rPr>
            <w:noProof/>
            <w:webHidden/>
          </w:rPr>
          <w:instrText xml:space="preserve"> PAGEREF _Toc90983783 \h </w:instrText>
        </w:r>
        <w:r w:rsidR="00F758D4">
          <w:rPr>
            <w:noProof/>
            <w:webHidden/>
          </w:rPr>
        </w:r>
        <w:r w:rsidR="00F758D4">
          <w:rPr>
            <w:noProof/>
            <w:webHidden/>
          </w:rPr>
          <w:fldChar w:fldCharType="separate"/>
        </w:r>
        <w:r w:rsidR="00F758D4">
          <w:rPr>
            <w:noProof/>
            <w:webHidden/>
          </w:rPr>
          <w:t>377</w:t>
        </w:r>
        <w:r w:rsidR="00F758D4">
          <w:rPr>
            <w:noProof/>
            <w:webHidden/>
          </w:rPr>
          <w:fldChar w:fldCharType="end"/>
        </w:r>
      </w:hyperlink>
    </w:p>
    <w:p w14:paraId="4EA5CCD8" w14:textId="742E396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4" w:history="1">
        <w:r w:rsidR="00F758D4" w:rsidRPr="00C24B66">
          <w:rPr>
            <w:rStyle w:val="Hyperlink"/>
            <w:noProof/>
          </w:rPr>
          <w:t>11.10.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Protecting the Discharge</w:t>
        </w:r>
        <w:r w:rsidR="00F758D4">
          <w:rPr>
            <w:noProof/>
            <w:webHidden/>
          </w:rPr>
          <w:tab/>
        </w:r>
        <w:r w:rsidR="00F758D4">
          <w:rPr>
            <w:noProof/>
            <w:webHidden/>
          </w:rPr>
          <w:fldChar w:fldCharType="begin"/>
        </w:r>
        <w:r w:rsidR="00F758D4">
          <w:rPr>
            <w:noProof/>
            <w:webHidden/>
          </w:rPr>
          <w:instrText xml:space="preserve"> PAGEREF _Toc90983784 \h </w:instrText>
        </w:r>
        <w:r w:rsidR="00F758D4">
          <w:rPr>
            <w:noProof/>
            <w:webHidden/>
          </w:rPr>
        </w:r>
        <w:r w:rsidR="00F758D4">
          <w:rPr>
            <w:noProof/>
            <w:webHidden/>
          </w:rPr>
          <w:fldChar w:fldCharType="separate"/>
        </w:r>
        <w:r w:rsidR="00F758D4">
          <w:rPr>
            <w:noProof/>
            <w:webHidden/>
          </w:rPr>
          <w:t>378</w:t>
        </w:r>
        <w:r w:rsidR="00F758D4">
          <w:rPr>
            <w:noProof/>
            <w:webHidden/>
          </w:rPr>
          <w:fldChar w:fldCharType="end"/>
        </w:r>
      </w:hyperlink>
    </w:p>
    <w:p w14:paraId="49B05BA7" w14:textId="5F7FB393"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785" w:history="1">
        <w:r w:rsidR="00F758D4" w:rsidRPr="00C24B66">
          <w:rPr>
            <w:rStyle w:val="Hyperlink"/>
            <w:noProof/>
          </w:rPr>
          <w:t>Chapter 12.</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Wage Earner Reorganizations under Chapter 13</w:t>
        </w:r>
        <w:r w:rsidR="00F758D4">
          <w:rPr>
            <w:noProof/>
            <w:webHidden/>
          </w:rPr>
          <w:tab/>
        </w:r>
        <w:r w:rsidR="00F758D4">
          <w:rPr>
            <w:noProof/>
            <w:webHidden/>
          </w:rPr>
          <w:fldChar w:fldCharType="begin"/>
        </w:r>
        <w:r w:rsidR="00F758D4">
          <w:rPr>
            <w:noProof/>
            <w:webHidden/>
          </w:rPr>
          <w:instrText xml:space="preserve"> PAGEREF _Toc90983785 \h </w:instrText>
        </w:r>
        <w:r w:rsidR="00F758D4">
          <w:rPr>
            <w:noProof/>
            <w:webHidden/>
          </w:rPr>
        </w:r>
        <w:r w:rsidR="00F758D4">
          <w:rPr>
            <w:noProof/>
            <w:webHidden/>
          </w:rPr>
          <w:fldChar w:fldCharType="separate"/>
        </w:r>
        <w:r w:rsidR="00F758D4">
          <w:rPr>
            <w:noProof/>
            <w:webHidden/>
          </w:rPr>
          <w:t>380</w:t>
        </w:r>
        <w:r w:rsidR="00F758D4">
          <w:rPr>
            <w:noProof/>
            <w:webHidden/>
          </w:rPr>
          <w:fldChar w:fldCharType="end"/>
        </w:r>
      </w:hyperlink>
    </w:p>
    <w:p w14:paraId="0DB8DFB3" w14:textId="51A3194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6" w:history="1">
        <w:r w:rsidR="00F758D4" w:rsidRPr="00C24B66">
          <w:rPr>
            <w:rStyle w:val="Hyperlink"/>
            <w:noProof/>
          </w:rPr>
          <w:t>12.1.</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Introduction</w:t>
        </w:r>
        <w:r w:rsidR="00F758D4">
          <w:rPr>
            <w:noProof/>
            <w:webHidden/>
          </w:rPr>
          <w:tab/>
        </w:r>
        <w:r w:rsidR="00F758D4">
          <w:rPr>
            <w:noProof/>
            <w:webHidden/>
          </w:rPr>
          <w:fldChar w:fldCharType="begin"/>
        </w:r>
        <w:r w:rsidR="00F758D4">
          <w:rPr>
            <w:noProof/>
            <w:webHidden/>
          </w:rPr>
          <w:instrText xml:space="preserve"> PAGEREF _Toc90983786 \h </w:instrText>
        </w:r>
        <w:r w:rsidR="00F758D4">
          <w:rPr>
            <w:noProof/>
            <w:webHidden/>
          </w:rPr>
        </w:r>
        <w:r w:rsidR="00F758D4">
          <w:rPr>
            <w:noProof/>
            <w:webHidden/>
          </w:rPr>
          <w:fldChar w:fldCharType="separate"/>
        </w:r>
        <w:r w:rsidR="00F758D4">
          <w:rPr>
            <w:noProof/>
            <w:webHidden/>
          </w:rPr>
          <w:t>380</w:t>
        </w:r>
        <w:r w:rsidR="00F758D4">
          <w:rPr>
            <w:noProof/>
            <w:webHidden/>
          </w:rPr>
          <w:fldChar w:fldCharType="end"/>
        </w:r>
      </w:hyperlink>
    </w:p>
    <w:p w14:paraId="086A9B31" w14:textId="184A98C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7" w:history="1">
        <w:r w:rsidR="00F758D4" w:rsidRPr="00C24B66">
          <w:rPr>
            <w:rStyle w:val="Hyperlink"/>
            <w:noProof/>
          </w:rPr>
          <w:t>12.2.</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Reasons for Filing under Chapter 13</w:t>
        </w:r>
        <w:r w:rsidR="00F758D4">
          <w:rPr>
            <w:noProof/>
            <w:webHidden/>
          </w:rPr>
          <w:tab/>
        </w:r>
        <w:r w:rsidR="00F758D4">
          <w:rPr>
            <w:noProof/>
            <w:webHidden/>
          </w:rPr>
          <w:fldChar w:fldCharType="begin"/>
        </w:r>
        <w:r w:rsidR="00F758D4">
          <w:rPr>
            <w:noProof/>
            <w:webHidden/>
          </w:rPr>
          <w:instrText xml:space="preserve"> PAGEREF _Toc90983787 \h </w:instrText>
        </w:r>
        <w:r w:rsidR="00F758D4">
          <w:rPr>
            <w:noProof/>
            <w:webHidden/>
          </w:rPr>
        </w:r>
        <w:r w:rsidR="00F758D4">
          <w:rPr>
            <w:noProof/>
            <w:webHidden/>
          </w:rPr>
          <w:fldChar w:fldCharType="separate"/>
        </w:r>
        <w:r w:rsidR="00F758D4">
          <w:rPr>
            <w:noProof/>
            <w:webHidden/>
          </w:rPr>
          <w:t>380</w:t>
        </w:r>
        <w:r w:rsidR="00F758D4">
          <w:rPr>
            <w:noProof/>
            <w:webHidden/>
          </w:rPr>
          <w:fldChar w:fldCharType="end"/>
        </w:r>
      </w:hyperlink>
    </w:p>
    <w:p w14:paraId="7CD04D03" w14:textId="7C2E247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8" w:history="1">
        <w:r w:rsidR="00F758D4" w:rsidRPr="00C24B66">
          <w:rPr>
            <w:rStyle w:val="Hyperlink"/>
            <w:noProof/>
          </w:rPr>
          <w:t>12.3.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Chapter 13 Process</w:t>
        </w:r>
        <w:r w:rsidR="00F758D4">
          <w:rPr>
            <w:noProof/>
            <w:webHidden/>
          </w:rPr>
          <w:tab/>
        </w:r>
        <w:r w:rsidR="00F758D4">
          <w:rPr>
            <w:noProof/>
            <w:webHidden/>
          </w:rPr>
          <w:fldChar w:fldCharType="begin"/>
        </w:r>
        <w:r w:rsidR="00F758D4">
          <w:rPr>
            <w:noProof/>
            <w:webHidden/>
          </w:rPr>
          <w:instrText xml:space="preserve"> PAGEREF _Toc90983788 \h </w:instrText>
        </w:r>
        <w:r w:rsidR="00F758D4">
          <w:rPr>
            <w:noProof/>
            <w:webHidden/>
          </w:rPr>
        </w:r>
        <w:r w:rsidR="00F758D4">
          <w:rPr>
            <w:noProof/>
            <w:webHidden/>
          </w:rPr>
          <w:fldChar w:fldCharType="separate"/>
        </w:r>
        <w:r w:rsidR="00F758D4">
          <w:rPr>
            <w:noProof/>
            <w:webHidden/>
          </w:rPr>
          <w:t>380</w:t>
        </w:r>
        <w:r w:rsidR="00F758D4">
          <w:rPr>
            <w:noProof/>
            <w:webHidden/>
          </w:rPr>
          <w:fldChar w:fldCharType="end"/>
        </w:r>
      </w:hyperlink>
    </w:p>
    <w:p w14:paraId="5E275E5B" w14:textId="6F6BAF3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89" w:history="1">
        <w:r w:rsidR="00F758D4" w:rsidRPr="00C24B66">
          <w:rPr>
            <w:rStyle w:val="Hyperlink"/>
            <w:noProof/>
          </w:rPr>
          <w:t>12.4.</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Chapter 13 Plan Term (and “Commitment Period”)</w:t>
        </w:r>
        <w:r w:rsidR="00F758D4">
          <w:rPr>
            <w:noProof/>
            <w:webHidden/>
          </w:rPr>
          <w:tab/>
        </w:r>
        <w:r w:rsidR="00F758D4">
          <w:rPr>
            <w:noProof/>
            <w:webHidden/>
          </w:rPr>
          <w:fldChar w:fldCharType="begin"/>
        </w:r>
        <w:r w:rsidR="00F758D4">
          <w:rPr>
            <w:noProof/>
            <w:webHidden/>
          </w:rPr>
          <w:instrText xml:space="preserve"> PAGEREF _Toc90983789 \h </w:instrText>
        </w:r>
        <w:r w:rsidR="00F758D4">
          <w:rPr>
            <w:noProof/>
            <w:webHidden/>
          </w:rPr>
        </w:r>
        <w:r w:rsidR="00F758D4">
          <w:rPr>
            <w:noProof/>
            <w:webHidden/>
          </w:rPr>
          <w:fldChar w:fldCharType="separate"/>
        </w:r>
        <w:r w:rsidR="00F758D4">
          <w:rPr>
            <w:noProof/>
            <w:webHidden/>
          </w:rPr>
          <w:t>381</w:t>
        </w:r>
        <w:r w:rsidR="00F758D4">
          <w:rPr>
            <w:noProof/>
            <w:webHidden/>
          </w:rPr>
          <w:fldChar w:fldCharType="end"/>
        </w:r>
      </w:hyperlink>
    </w:p>
    <w:p w14:paraId="275BA30D" w14:textId="0ABEEDD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90" w:history="1">
        <w:r w:rsidR="00F758D4" w:rsidRPr="00C24B66">
          <w:rPr>
            <w:rStyle w:val="Hyperlink"/>
            <w:noProof/>
          </w:rPr>
          <w:t>12.5.</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Restructuring Secured Claims in a Chapter 13 Plan</w:t>
        </w:r>
        <w:r w:rsidR="00F758D4">
          <w:rPr>
            <w:noProof/>
            <w:webHidden/>
          </w:rPr>
          <w:tab/>
        </w:r>
        <w:r w:rsidR="00F758D4">
          <w:rPr>
            <w:noProof/>
            <w:webHidden/>
          </w:rPr>
          <w:fldChar w:fldCharType="begin"/>
        </w:r>
        <w:r w:rsidR="00F758D4">
          <w:rPr>
            <w:noProof/>
            <w:webHidden/>
          </w:rPr>
          <w:instrText xml:space="preserve"> PAGEREF _Toc90983790 \h </w:instrText>
        </w:r>
        <w:r w:rsidR="00F758D4">
          <w:rPr>
            <w:noProof/>
            <w:webHidden/>
          </w:rPr>
        </w:r>
        <w:r w:rsidR="00F758D4">
          <w:rPr>
            <w:noProof/>
            <w:webHidden/>
          </w:rPr>
          <w:fldChar w:fldCharType="separate"/>
        </w:r>
        <w:r w:rsidR="00F758D4">
          <w:rPr>
            <w:noProof/>
            <w:webHidden/>
          </w:rPr>
          <w:t>381</w:t>
        </w:r>
        <w:r w:rsidR="00F758D4">
          <w:rPr>
            <w:noProof/>
            <w:webHidden/>
          </w:rPr>
          <w:fldChar w:fldCharType="end"/>
        </w:r>
      </w:hyperlink>
    </w:p>
    <w:p w14:paraId="018AE2F9" w14:textId="7471D52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91" w:history="1">
        <w:r w:rsidR="00F758D4" w:rsidRPr="00C24B66">
          <w:rPr>
            <w:rStyle w:val="Hyperlink"/>
            <w:noProof/>
          </w:rPr>
          <w:t>12.6.</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Restructuring Secured Claims in Chapter 13</w:t>
        </w:r>
        <w:r w:rsidR="00F758D4">
          <w:rPr>
            <w:noProof/>
            <w:webHidden/>
          </w:rPr>
          <w:tab/>
        </w:r>
        <w:r w:rsidR="00F758D4">
          <w:rPr>
            <w:noProof/>
            <w:webHidden/>
          </w:rPr>
          <w:fldChar w:fldCharType="begin"/>
        </w:r>
        <w:r w:rsidR="00F758D4">
          <w:rPr>
            <w:noProof/>
            <w:webHidden/>
          </w:rPr>
          <w:instrText xml:space="preserve"> PAGEREF _Toc90983791 \h </w:instrText>
        </w:r>
        <w:r w:rsidR="00F758D4">
          <w:rPr>
            <w:noProof/>
            <w:webHidden/>
          </w:rPr>
        </w:r>
        <w:r w:rsidR="00F758D4">
          <w:rPr>
            <w:noProof/>
            <w:webHidden/>
          </w:rPr>
          <w:fldChar w:fldCharType="separate"/>
        </w:r>
        <w:r w:rsidR="00F758D4">
          <w:rPr>
            <w:noProof/>
            <w:webHidden/>
          </w:rPr>
          <w:t>384</w:t>
        </w:r>
        <w:r w:rsidR="00F758D4">
          <w:rPr>
            <w:noProof/>
            <w:webHidden/>
          </w:rPr>
          <w:fldChar w:fldCharType="end"/>
        </w:r>
      </w:hyperlink>
    </w:p>
    <w:p w14:paraId="4832153E" w14:textId="642C7CD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2" w:history="1">
        <w:r w:rsidR="00F758D4" w:rsidRPr="00C24B66">
          <w:rPr>
            <w:rStyle w:val="Hyperlink"/>
            <w:noProof/>
          </w:rPr>
          <w:t>12.6.1.</w:t>
        </w:r>
        <w:r w:rsidR="00F758D4">
          <w:rPr>
            <w:rFonts w:asciiTheme="minorHAnsi" w:eastAsiaTheme="minorEastAsia" w:hAnsiTheme="minorHAnsi" w:cstheme="minorBidi"/>
            <w:noProof/>
            <w:color w:val="auto"/>
            <w:sz w:val="22"/>
            <w:szCs w:val="22"/>
          </w:rPr>
          <w:tab/>
        </w:r>
        <w:r w:rsidR="00F758D4" w:rsidRPr="00C24B66">
          <w:rPr>
            <w:rStyle w:val="Hyperlink"/>
            <w:noProof/>
          </w:rPr>
          <w:t>TILL v. SCS CREDIT CORP., 541 U.S. 465 (2004)</w:t>
        </w:r>
        <w:r w:rsidR="00F758D4">
          <w:rPr>
            <w:noProof/>
            <w:webHidden/>
          </w:rPr>
          <w:tab/>
        </w:r>
        <w:r w:rsidR="00F758D4">
          <w:rPr>
            <w:noProof/>
            <w:webHidden/>
          </w:rPr>
          <w:fldChar w:fldCharType="begin"/>
        </w:r>
        <w:r w:rsidR="00F758D4">
          <w:rPr>
            <w:noProof/>
            <w:webHidden/>
          </w:rPr>
          <w:instrText xml:space="preserve"> PAGEREF _Toc90983792 \h </w:instrText>
        </w:r>
        <w:r w:rsidR="00F758D4">
          <w:rPr>
            <w:noProof/>
            <w:webHidden/>
          </w:rPr>
        </w:r>
        <w:r w:rsidR="00F758D4">
          <w:rPr>
            <w:noProof/>
            <w:webHidden/>
          </w:rPr>
          <w:fldChar w:fldCharType="separate"/>
        </w:r>
        <w:r w:rsidR="00F758D4">
          <w:rPr>
            <w:noProof/>
            <w:webHidden/>
          </w:rPr>
          <w:t>384</w:t>
        </w:r>
        <w:r w:rsidR="00F758D4">
          <w:rPr>
            <w:noProof/>
            <w:webHidden/>
          </w:rPr>
          <w:fldChar w:fldCharType="end"/>
        </w:r>
      </w:hyperlink>
    </w:p>
    <w:p w14:paraId="4465BA80" w14:textId="3430AC3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3" w:history="1">
        <w:r w:rsidR="00F758D4" w:rsidRPr="00C24B66">
          <w:rPr>
            <w:rStyle w:val="Hyperlink"/>
            <w:noProof/>
          </w:rPr>
          <w:t>12.6.2.</w:t>
        </w:r>
        <w:r w:rsidR="00F758D4">
          <w:rPr>
            <w:rFonts w:asciiTheme="minorHAnsi" w:eastAsiaTheme="minorEastAsia" w:hAnsiTheme="minorHAnsi" w:cstheme="minorBidi"/>
            <w:noProof/>
            <w:color w:val="auto"/>
            <w:sz w:val="22"/>
            <w:szCs w:val="22"/>
          </w:rPr>
          <w:tab/>
        </w:r>
        <w:r w:rsidR="00F758D4" w:rsidRPr="00C24B66">
          <w:rPr>
            <w:rStyle w:val="Hyperlink"/>
            <w:noProof/>
          </w:rPr>
          <w:t>NOBELMAN v. AMERICAN SAVINGS BANK, 508 U.S. 324 (1993)</w:t>
        </w:r>
        <w:r w:rsidR="00F758D4">
          <w:rPr>
            <w:noProof/>
            <w:webHidden/>
          </w:rPr>
          <w:tab/>
        </w:r>
        <w:r w:rsidR="00F758D4">
          <w:rPr>
            <w:noProof/>
            <w:webHidden/>
          </w:rPr>
          <w:fldChar w:fldCharType="begin"/>
        </w:r>
        <w:r w:rsidR="00F758D4">
          <w:rPr>
            <w:noProof/>
            <w:webHidden/>
          </w:rPr>
          <w:instrText xml:space="preserve"> PAGEREF _Toc90983793 \h </w:instrText>
        </w:r>
        <w:r w:rsidR="00F758D4">
          <w:rPr>
            <w:noProof/>
            <w:webHidden/>
          </w:rPr>
        </w:r>
        <w:r w:rsidR="00F758D4">
          <w:rPr>
            <w:noProof/>
            <w:webHidden/>
          </w:rPr>
          <w:fldChar w:fldCharType="separate"/>
        </w:r>
        <w:r w:rsidR="00F758D4">
          <w:rPr>
            <w:noProof/>
            <w:webHidden/>
          </w:rPr>
          <w:t>387</w:t>
        </w:r>
        <w:r w:rsidR="00F758D4">
          <w:rPr>
            <w:noProof/>
            <w:webHidden/>
          </w:rPr>
          <w:fldChar w:fldCharType="end"/>
        </w:r>
      </w:hyperlink>
    </w:p>
    <w:p w14:paraId="0DB090AD" w14:textId="2BD21094"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4" w:history="1">
        <w:r w:rsidR="00F758D4" w:rsidRPr="00C24B66">
          <w:rPr>
            <w:rStyle w:val="Hyperlink"/>
            <w:noProof/>
          </w:rPr>
          <w:t>12.6.3.</w:t>
        </w:r>
        <w:r w:rsidR="00F758D4">
          <w:rPr>
            <w:rFonts w:asciiTheme="minorHAnsi" w:eastAsiaTheme="minorEastAsia" w:hAnsiTheme="minorHAnsi" w:cstheme="minorBidi"/>
            <w:noProof/>
            <w:color w:val="auto"/>
            <w:sz w:val="22"/>
            <w:szCs w:val="22"/>
          </w:rPr>
          <w:tab/>
        </w:r>
        <w:r w:rsidR="00F758D4" w:rsidRPr="00C24B66">
          <w:rPr>
            <w:rStyle w:val="Hyperlink"/>
            <w:noProof/>
          </w:rPr>
          <w:t>IN RE POND, 252 F.3d 122 (2d Cir. 2001)</w:t>
        </w:r>
        <w:r w:rsidR="00F758D4">
          <w:rPr>
            <w:noProof/>
            <w:webHidden/>
          </w:rPr>
          <w:tab/>
        </w:r>
        <w:r w:rsidR="00F758D4">
          <w:rPr>
            <w:noProof/>
            <w:webHidden/>
          </w:rPr>
          <w:fldChar w:fldCharType="begin"/>
        </w:r>
        <w:r w:rsidR="00F758D4">
          <w:rPr>
            <w:noProof/>
            <w:webHidden/>
          </w:rPr>
          <w:instrText xml:space="preserve"> PAGEREF _Toc90983794 \h </w:instrText>
        </w:r>
        <w:r w:rsidR="00F758D4">
          <w:rPr>
            <w:noProof/>
            <w:webHidden/>
          </w:rPr>
        </w:r>
        <w:r w:rsidR="00F758D4">
          <w:rPr>
            <w:noProof/>
            <w:webHidden/>
          </w:rPr>
          <w:fldChar w:fldCharType="separate"/>
        </w:r>
        <w:r w:rsidR="00F758D4">
          <w:rPr>
            <w:noProof/>
            <w:webHidden/>
          </w:rPr>
          <w:t>388</w:t>
        </w:r>
        <w:r w:rsidR="00F758D4">
          <w:rPr>
            <w:noProof/>
            <w:webHidden/>
          </w:rPr>
          <w:fldChar w:fldCharType="end"/>
        </w:r>
      </w:hyperlink>
    </w:p>
    <w:p w14:paraId="49AAFDF6" w14:textId="5D341A70"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5" w:history="1">
        <w:r w:rsidR="00F758D4" w:rsidRPr="00C24B66">
          <w:rPr>
            <w:rStyle w:val="Hyperlink"/>
            <w:noProof/>
          </w:rPr>
          <w:t>12.6.4.</w:t>
        </w:r>
        <w:r w:rsidR="00F758D4">
          <w:rPr>
            <w:rFonts w:asciiTheme="minorHAnsi" w:eastAsiaTheme="minorEastAsia" w:hAnsiTheme="minorHAnsi" w:cstheme="minorBidi"/>
            <w:noProof/>
            <w:color w:val="auto"/>
            <w:sz w:val="22"/>
            <w:szCs w:val="22"/>
          </w:rPr>
          <w:tab/>
        </w:r>
        <w:r w:rsidR="00F758D4" w:rsidRPr="00C24B66">
          <w:rPr>
            <w:rStyle w:val="Hyperlink"/>
            <w:noProof/>
          </w:rPr>
          <w:t xml:space="preserve">Question: Is </w:t>
        </w:r>
        <w:r w:rsidR="00F758D4" w:rsidRPr="00C24B66">
          <w:rPr>
            <w:rStyle w:val="Hyperlink"/>
            <w:i/>
            <w:noProof/>
          </w:rPr>
          <w:t>IN RE POND</w:t>
        </w:r>
        <w:r w:rsidR="00F758D4" w:rsidRPr="00C24B66">
          <w:rPr>
            <w:rStyle w:val="Hyperlink"/>
            <w:noProof/>
          </w:rPr>
          <w:t xml:space="preserve"> Still Good Law?</w:t>
        </w:r>
        <w:r w:rsidR="00F758D4">
          <w:rPr>
            <w:noProof/>
            <w:webHidden/>
          </w:rPr>
          <w:tab/>
        </w:r>
        <w:r w:rsidR="00F758D4">
          <w:rPr>
            <w:noProof/>
            <w:webHidden/>
          </w:rPr>
          <w:fldChar w:fldCharType="begin"/>
        </w:r>
        <w:r w:rsidR="00F758D4">
          <w:rPr>
            <w:noProof/>
            <w:webHidden/>
          </w:rPr>
          <w:instrText xml:space="preserve"> PAGEREF _Toc90983795 \h </w:instrText>
        </w:r>
        <w:r w:rsidR="00F758D4">
          <w:rPr>
            <w:noProof/>
            <w:webHidden/>
          </w:rPr>
        </w:r>
        <w:r w:rsidR="00F758D4">
          <w:rPr>
            <w:noProof/>
            <w:webHidden/>
          </w:rPr>
          <w:fldChar w:fldCharType="separate"/>
        </w:r>
        <w:r w:rsidR="00F758D4">
          <w:rPr>
            <w:noProof/>
            <w:webHidden/>
          </w:rPr>
          <w:t>390</w:t>
        </w:r>
        <w:r w:rsidR="00F758D4">
          <w:rPr>
            <w:noProof/>
            <w:webHidden/>
          </w:rPr>
          <w:fldChar w:fldCharType="end"/>
        </w:r>
      </w:hyperlink>
    </w:p>
    <w:p w14:paraId="3FDD9A4A" w14:textId="6465FC3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96" w:history="1">
        <w:r w:rsidR="00F758D4" w:rsidRPr="00C24B66">
          <w:rPr>
            <w:rStyle w:val="Hyperlink"/>
            <w:noProof/>
          </w:rPr>
          <w:t>12.7.</w:t>
        </w:r>
        <w:r w:rsidR="00F758D4">
          <w:rPr>
            <w:rFonts w:asciiTheme="minorHAnsi" w:eastAsiaTheme="minorEastAsia" w:hAnsiTheme="minorHAnsi" w:cstheme="minorBidi"/>
            <w:iCs w:val="0"/>
            <w:noProof/>
            <w:color w:val="auto"/>
            <w:sz w:val="22"/>
            <w:szCs w:val="22"/>
          </w:rPr>
          <w:tab/>
        </w:r>
        <w:r w:rsidR="00F758D4" w:rsidRPr="00C24B66">
          <w:rPr>
            <w:rStyle w:val="Hyperlink"/>
            <w:noProof/>
          </w:rPr>
          <w:t>Unsecured Claims in Chapter 13</w:t>
        </w:r>
        <w:r w:rsidR="00F758D4">
          <w:rPr>
            <w:noProof/>
            <w:webHidden/>
          </w:rPr>
          <w:tab/>
        </w:r>
        <w:r w:rsidR="00F758D4">
          <w:rPr>
            <w:noProof/>
            <w:webHidden/>
          </w:rPr>
          <w:fldChar w:fldCharType="begin"/>
        </w:r>
        <w:r w:rsidR="00F758D4">
          <w:rPr>
            <w:noProof/>
            <w:webHidden/>
          </w:rPr>
          <w:instrText xml:space="preserve"> PAGEREF _Toc90983796 \h </w:instrText>
        </w:r>
        <w:r w:rsidR="00F758D4">
          <w:rPr>
            <w:noProof/>
            <w:webHidden/>
          </w:rPr>
        </w:r>
        <w:r w:rsidR="00F758D4">
          <w:rPr>
            <w:noProof/>
            <w:webHidden/>
          </w:rPr>
          <w:fldChar w:fldCharType="separate"/>
        </w:r>
        <w:r w:rsidR="00F758D4">
          <w:rPr>
            <w:noProof/>
            <w:webHidden/>
          </w:rPr>
          <w:t>390</w:t>
        </w:r>
        <w:r w:rsidR="00F758D4">
          <w:rPr>
            <w:noProof/>
            <w:webHidden/>
          </w:rPr>
          <w:fldChar w:fldCharType="end"/>
        </w:r>
      </w:hyperlink>
    </w:p>
    <w:p w14:paraId="3374CD25" w14:textId="034A58D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797" w:history="1">
        <w:r w:rsidR="00F758D4" w:rsidRPr="00C24B66">
          <w:rPr>
            <w:rStyle w:val="Hyperlink"/>
            <w:noProof/>
          </w:rPr>
          <w:t>12.8.</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Unsecured Claims in Chapter 13</w:t>
        </w:r>
        <w:r w:rsidR="00F758D4">
          <w:rPr>
            <w:noProof/>
            <w:webHidden/>
          </w:rPr>
          <w:tab/>
        </w:r>
        <w:r w:rsidR="00F758D4">
          <w:rPr>
            <w:noProof/>
            <w:webHidden/>
          </w:rPr>
          <w:fldChar w:fldCharType="begin"/>
        </w:r>
        <w:r w:rsidR="00F758D4">
          <w:rPr>
            <w:noProof/>
            <w:webHidden/>
          </w:rPr>
          <w:instrText xml:space="preserve"> PAGEREF _Toc90983797 \h </w:instrText>
        </w:r>
        <w:r w:rsidR="00F758D4">
          <w:rPr>
            <w:noProof/>
            <w:webHidden/>
          </w:rPr>
        </w:r>
        <w:r w:rsidR="00F758D4">
          <w:rPr>
            <w:noProof/>
            <w:webHidden/>
          </w:rPr>
          <w:fldChar w:fldCharType="separate"/>
        </w:r>
        <w:r w:rsidR="00F758D4">
          <w:rPr>
            <w:noProof/>
            <w:webHidden/>
          </w:rPr>
          <w:t>392</w:t>
        </w:r>
        <w:r w:rsidR="00F758D4">
          <w:rPr>
            <w:noProof/>
            <w:webHidden/>
          </w:rPr>
          <w:fldChar w:fldCharType="end"/>
        </w:r>
      </w:hyperlink>
    </w:p>
    <w:p w14:paraId="22EECA20" w14:textId="1E67E78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8" w:history="1">
        <w:r w:rsidR="00F758D4" w:rsidRPr="00C24B66">
          <w:rPr>
            <w:rStyle w:val="Hyperlink"/>
            <w:noProof/>
          </w:rPr>
          <w:t>12.8.1.</w:t>
        </w:r>
        <w:r w:rsidR="00F758D4">
          <w:rPr>
            <w:rFonts w:asciiTheme="minorHAnsi" w:eastAsiaTheme="minorEastAsia" w:hAnsiTheme="minorHAnsi" w:cstheme="minorBidi"/>
            <w:noProof/>
            <w:color w:val="auto"/>
            <w:sz w:val="22"/>
            <w:szCs w:val="22"/>
          </w:rPr>
          <w:tab/>
        </w:r>
        <w:r w:rsidR="00F758D4" w:rsidRPr="00C24B66">
          <w:rPr>
            <w:rStyle w:val="Hyperlink"/>
            <w:noProof/>
          </w:rPr>
          <w:t>HAMILTON v. LANNING, 560 U.S. 505 (2010)</w:t>
        </w:r>
        <w:r w:rsidR="00F758D4">
          <w:rPr>
            <w:noProof/>
            <w:webHidden/>
          </w:rPr>
          <w:tab/>
        </w:r>
        <w:r w:rsidR="00F758D4">
          <w:rPr>
            <w:noProof/>
            <w:webHidden/>
          </w:rPr>
          <w:fldChar w:fldCharType="begin"/>
        </w:r>
        <w:r w:rsidR="00F758D4">
          <w:rPr>
            <w:noProof/>
            <w:webHidden/>
          </w:rPr>
          <w:instrText xml:space="preserve"> PAGEREF _Toc90983798 \h </w:instrText>
        </w:r>
        <w:r w:rsidR="00F758D4">
          <w:rPr>
            <w:noProof/>
            <w:webHidden/>
          </w:rPr>
        </w:r>
        <w:r w:rsidR="00F758D4">
          <w:rPr>
            <w:noProof/>
            <w:webHidden/>
          </w:rPr>
          <w:fldChar w:fldCharType="separate"/>
        </w:r>
        <w:r w:rsidR="00F758D4">
          <w:rPr>
            <w:noProof/>
            <w:webHidden/>
          </w:rPr>
          <w:t>392</w:t>
        </w:r>
        <w:r w:rsidR="00F758D4">
          <w:rPr>
            <w:noProof/>
            <w:webHidden/>
          </w:rPr>
          <w:fldChar w:fldCharType="end"/>
        </w:r>
      </w:hyperlink>
    </w:p>
    <w:p w14:paraId="3DCD049E" w14:textId="78D25408"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799" w:history="1">
        <w:r w:rsidR="00F758D4" w:rsidRPr="00C24B66">
          <w:rPr>
            <w:rStyle w:val="Hyperlink"/>
            <w:noProof/>
          </w:rPr>
          <w:t>12.8.2.</w:t>
        </w:r>
        <w:r w:rsidR="00F758D4">
          <w:rPr>
            <w:rFonts w:asciiTheme="minorHAnsi" w:eastAsiaTheme="minorEastAsia" w:hAnsiTheme="minorHAnsi" w:cstheme="minorBidi"/>
            <w:noProof/>
            <w:color w:val="auto"/>
            <w:sz w:val="22"/>
            <w:szCs w:val="22"/>
          </w:rPr>
          <w:tab/>
        </w:r>
        <w:r w:rsidR="00F758D4" w:rsidRPr="00C24B66">
          <w:rPr>
            <w:rStyle w:val="Hyperlink"/>
            <w:noProof/>
          </w:rPr>
          <w:t>IN RE GAMBOA, 538 B.R. 53 (Bankr. S.D. Cal. 2013)</w:t>
        </w:r>
        <w:r w:rsidR="00F758D4">
          <w:rPr>
            <w:noProof/>
            <w:webHidden/>
          </w:rPr>
          <w:tab/>
        </w:r>
        <w:r w:rsidR="00F758D4">
          <w:rPr>
            <w:noProof/>
            <w:webHidden/>
          </w:rPr>
          <w:fldChar w:fldCharType="begin"/>
        </w:r>
        <w:r w:rsidR="00F758D4">
          <w:rPr>
            <w:noProof/>
            <w:webHidden/>
          </w:rPr>
          <w:instrText xml:space="preserve"> PAGEREF _Toc90983799 \h </w:instrText>
        </w:r>
        <w:r w:rsidR="00F758D4">
          <w:rPr>
            <w:noProof/>
            <w:webHidden/>
          </w:rPr>
        </w:r>
        <w:r w:rsidR="00F758D4">
          <w:rPr>
            <w:noProof/>
            <w:webHidden/>
          </w:rPr>
          <w:fldChar w:fldCharType="separate"/>
        </w:r>
        <w:r w:rsidR="00F758D4">
          <w:rPr>
            <w:noProof/>
            <w:webHidden/>
          </w:rPr>
          <w:t>395</w:t>
        </w:r>
        <w:r w:rsidR="00F758D4">
          <w:rPr>
            <w:noProof/>
            <w:webHidden/>
          </w:rPr>
          <w:fldChar w:fldCharType="end"/>
        </w:r>
      </w:hyperlink>
    </w:p>
    <w:p w14:paraId="7D36F6D0" w14:textId="2213F61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0" w:history="1">
        <w:r w:rsidR="00F758D4" w:rsidRPr="00C24B66">
          <w:rPr>
            <w:rStyle w:val="Hyperlink"/>
            <w:noProof/>
          </w:rPr>
          <w:t>12.9.</w:t>
        </w:r>
        <w:r w:rsidR="00F758D4">
          <w:rPr>
            <w:rFonts w:asciiTheme="minorHAnsi" w:eastAsiaTheme="minorEastAsia" w:hAnsiTheme="minorHAnsi" w:cstheme="minorBidi"/>
            <w:iCs w:val="0"/>
            <w:noProof/>
            <w:color w:val="auto"/>
            <w:sz w:val="22"/>
            <w:szCs w:val="22"/>
          </w:rPr>
          <w:tab/>
        </w:r>
        <w:r w:rsidR="00F758D4" w:rsidRPr="00C24B66">
          <w:rPr>
            <w:rStyle w:val="Hyperlink"/>
            <w:noProof/>
          </w:rPr>
          <w:t>Modification and Discharge. [12.10 – 12.11]</w:t>
        </w:r>
        <w:r w:rsidR="00F758D4">
          <w:rPr>
            <w:noProof/>
            <w:webHidden/>
          </w:rPr>
          <w:tab/>
        </w:r>
        <w:r w:rsidR="00F758D4">
          <w:rPr>
            <w:noProof/>
            <w:webHidden/>
          </w:rPr>
          <w:fldChar w:fldCharType="begin"/>
        </w:r>
        <w:r w:rsidR="00F758D4">
          <w:rPr>
            <w:noProof/>
            <w:webHidden/>
          </w:rPr>
          <w:instrText xml:space="preserve"> PAGEREF _Toc90983800 \h </w:instrText>
        </w:r>
        <w:r w:rsidR="00F758D4">
          <w:rPr>
            <w:noProof/>
            <w:webHidden/>
          </w:rPr>
        </w:r>
        <w:r w:rsidR="00F758D4">
          <w:rPr>
            <w:noProof/>
            <w:webHidden/>
          </w:rPr>
          <w:fldChar w:fldCharType="separate"/>
        </w:r>
        <w:r w:rsidR="00F758D4">
          <w:rPr>
            <w:noProof/>
            <w:webHidden/>
          </w:rPr>
          <w:t>397</w:t>
        </w:r>
        <w:r w:rsidR="00F758D4">
          <w:rPr>
            <w:noProof/>
            <w:webHidden/>
          </w:rPr>
          <w:fldChar w:fldCharType="end"/>
        </w:r>
      </w:hyperlink>
    </w:p>
    <w:p w14:paraId="40A78C76" w14:textId="0F03FE97"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1" w:history="1">
        <w:r w:rsidR="00F758D4" w:rsidRPr="00C24B66">
          <w:rPr>
            <w:rStyle w:val="Hyperlink"/>
            <w:noProof/>
          </w:rPr>
          <w:t>12.10.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Practice Problems: Developing a Chapter 13 Plan</w:t>
        </w:r>
        <w:r w:rsidR="00F758D4">
          <w:rPr>
            <w:noProof/>
            <w:webHidden/>
          </w:rPr>
          <w:tab/>
        </w:r>
        <w:r w:rsidR="00F758D4">
          <w:rPr>
            <w:noProof/>
            <w:webHidden/>
          </w:rPr>
          <w:fldChar w:fldCharType="begin"/>
        </w:r>
        <w:r w:rsidR="00F758D4">
          <w:rPr>
            <w:noProof/>
            <w:webHidden/>
          </w:rPr>
          <w:instrText xml:space="preserve"> PAGEREF _Toc90983801 \h </w:instrText>
        </w:r>
        <w:r w:rsidR="00F758D4">
          <w:rPr>
            <w:noProof/>
            <w:webHidden/>
          </w:rPr>
        </w:r>
        <w:r w:rsidR="00F758D4">
          <w:rPr>
            <w:noProof/>
            <w:webHidden/>
          </w:rPr>
          <w:fldChar w:fldCharType="separate"/>
        </w:r>
        <w:r w:rsidR="00F758D4">
          <w:rPr>
            <w:noProof/>
            <w:webHidden/>
          </w:rPr>
          <w:t>397</w:t>
        </w:r>
        <w:r w:rsidR="00F758D4">
          <w:rPr>
            <w:noProof/>
            <w:webHidden/>
          </w:rPr>
          <w:fldChar w:fldCharType="end"/>
        </w:r>
      </w:hyperlink>
    </w:p>
    <w:p w14:paraId="76C4714B" w14:textId="0897291F"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802" w:history="1">
        <w:r w:rsidR="00F758D4" w:rsidRPr="00C24B66">
          <w:rPr>
            <w:rStyle w:val="Hyperlink"/>
            <w:noProof/>
          </w:rPr>
          <w:t>Chapter 13.</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Business Reorganizations under Chapter 11</w:t>
        </w:r>
        <w:r w:rsidR="00F758D4">
          <w:rPr>
            <w:noProof/>
            <w:webHidden/>
          </w:rPr>
          <w:tab/>
        </w:r>
        <w:r w:rsidR="00F758D4">
          <w:rPr>
            <w:noProof/>
            <w:webHidden/>
          </w:rPr>
          <w:fldChar w:fldCharType="begin"/>
        </w:r>
        <w:r w:rsidR="00F758D4">
          <w:rPr>
            <w:noProof/>
            <w:webHidden/>
          </w:rPr>
          <w:instrText xml:space="preserve"> PAGEREF _Toc90983802 \h </w:instrText>
        </w:r>
        <w:r w:rsidR="00F758D4">
          <w:rPr>
            <w:noProof/>
            <w:webHidden/>
          </w:rPr>
        </w:r>
        <w:r w:rsidR="00F758D4">
          <w:rPr>
            <w:noProof/>
            <w:webHidden/>
          </w:rPr>
          <w:fldChar w:fldCharType="separate"/>
        </w:r>
        <w:r w:rsidR="00F758D4">
          <w:rPr>
            <w:noProof/>
            <w:webHidden/>
          </w:rPr>
          <w:t>400</w:t>
        </w:r>
        <w:r w:rsidR="00F758D4">
          <w:rPr>
            <w:noProof/>
            <w:webHidden/>
          </w:rPr>
          <w:fldChar w:fldCharType="end"/>
        </w:r>
      </w:hyperlink>
    </w:p>
    <w:p w14:paraId="693B2FB2" w14:textId="6F52C5B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3" w:history="1">
        <w:r w:rsidR="00F758D4" w:rsidRPr="00C24B66">
          <w:rPr>
            <w:rStyle w:val="Hyperlink"/>
            <w:noProof/>
          </w:rPr>
          <w:t>13.1.</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Introduction to Chapter 11 of the Bankruptcy Code</w:t>
        </w:r>
        <w:r w:rsidR="00F758D4">
          <w:rPr>
            <w:noProof/>
            <w:webHidden/>
          </w:rPr>
          <w:tab/>
        </w:r>
        <w:r w:rsidR="00F758D4">
          <w:rPr>
            <w:noProof/>
            <w:webHidden/>
          </w:rPr>
          <w:fldChar w:fldCharType="begin"/>
        </w:r>
        <w:r w:rsidR="00F758D4">
          <w:rPr>
            <w:noProof/>
            <w:webHidden/>
          </w:rPr>
          <w:instrText xml:space="preserve"> PAGEREF _Toc90983803 \h </w:instrText>
        </w:r>
        <w:r w:rsidR="00F758D4">
          <w:rPr>
            <w:noProof/>
            <w:webHidden/>
          </w:rPr>
        </w:r>
        <w:r w:rsidR="00F758D4">
          <w:rPr>
            <w:noProof/>
            <w:webHidden/>
          </w:rPr>
          <w:fldChar w:fldCharType="separate"/>
        </w:r>
        <w:r w:rsidR="00F758D4">
          <w:rPr>
            <w:noProof/>
            <w:webHidden/>
          </w:rPr>
          <w:t>400</w:t>
        </w:r>
        <w:r w:rsidR="00F758D4">
          <w:rPr>
            <w:noProof/>
            <w:webHidden/>
          </w:rPr>
          <w:fldChar w:fldCharType="end"/>
        </w:r>
      </w:hyperlink>
    </w:p>
    <w:p w14:paraId="1EA1BDC5" w14:textId="7750B161"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4" w:history="1">
        <w:r w:rsidR="00F758D4" w:rsidRPr="00C24B66">
          <w:rPr>
            <w:rStyle w:val="Hyperlink"/>
            <w:noProof/>
          </w:rPr>
          <w:t>13.2.</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Chapter 11 Process</w:t>
        </w:r>
        <w:r w:rsidR="00F758D4">
          <w:rPr>
            <w:noProof/>
            <w:webHidden/>
          </w:rPr>
          <w:tab/>
        </w:r>
        <w:r w:rsidR="00F758D4">
          <w:rPr>
            <w:noProof/>
            <w:webHidden/>
          </w:rPr>
          <w:fldChar w:fldCharType="begin"/>
        </w:r>
        <w:r w:rsidR="00F758D4">
          <w:rPr>
            <w:noProof/>
            <w:webHidden/>
          </w:rPr>
          <w:instrText xml:space="preserve"> PAGEREF _Toc90983804 \h </w:instrText>
        </w:r>
        <w:r w:rsidR="00F758D4">
          <w:rPr>
            <w:noProof/>
            <w:webHidden/>
          </w:rPr>
        </w:r>
        <w:r w:rsidR="00F758D4">
          <w:rPr>
            <w:noProof/>
            <w:webHidden/>
          </w:rPr>
          <w:fldChar w:fldCharType="separate"/>
        </w:r>
        <w:r w:rsidR="00F758D4">
          <w:rPr>
            <w:noProof/>
            <w:webHidden/>
          </w:rPr>
          <w:t>400</w:t>
        </w:r>
        <w:r w:rsidR="00F758D4">
          <w:rPr>
            <w:noProof/>
            <w:webHidden/>
          </w:rPr>
          <w:fldChar w:fldCharType="end"/>
        </w:r>
      </w:hyperlink>
    </w:p>
    <w:p w14:paraId="3DF9FCF1" w14:textId="27E8C26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5" w:history="1">
        <w:r w:rsidR="00F758D4" w:rsidRPr="00C24B66">
          <w:rPr>
            <w:rStyle w:val="Hyperlink"/>
            <w:noProof/>
          </w:rPr>
          <w:t>13.3.</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Exclusivity Period</w:t>
        </w:r>
        <w:r w:rsidR="00F758D4">
          <w:rPr>
            <w:noProof/>
            <w:webHidden/>
          </w:rPr>
          <w:tab/>
        </w:r>
        <w:r w:rsidR="00F758D4">
          <w:rPr>
            <w:noProof/>
            <w:webHidden/>
          </w:rPr>
          <w:fldChar w:fldCharType="begin"/>
        </w:r>
        <w:r w:rsidR="00F758D4">
          <w:rPr>
            <w:noProof/>
            <w:webHidden/>
          </w:rPr>
          <w:instrText xml:space="preserve"> PAGEREF _Toc90983805 \h </w:instrText>
        </w:r>
        <w:r w:rsidR="00F758D4">
          <w:rPr>
            <w:noProof/>
            <w:webHidden/>
          </w:rPr>
        </w:r>
        <w:r w:rsidR="00F758D4">
          <w:rPr>
            <w:noProof/>
            <w:webHidden/>
          </w:rPr>
          <w:fldChar w:fldCharType="separate"/>
        </w:r>
        <w:r w:rsidR="00F758D4">
          <w:rPr>
            <w:noProof/>
            <w:webHidden/>
          </w:rPr>
          <w:t>401</w:t>
        </w:r>
        <w:r w:rsidR="00F758D4">
          <w:rPr>
            <w:noProof/>
            <w:webHidden/>
          </w:rPr>
          <w:fldChar w:fldCharType="end"/>
        </w:r>
      </w:hyperlink>
    </w:p>
    <w:p w14:paraId="3A69833E" w14:textId="23BB3C1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6" w:history="1">
        <w:r w:rsidR="00F758D4" w:rsidRPr="00C24B66">
          <w:rPr>
            <w:rStyle w:val="Hyperlink"/>
            <w:noProof/>
          </w:rPr>
          <w:t>13.4.</w:t>
        </w:r>
        <w:r w:rsidR="00F758D4">
          <w:rPr>
            <w:rFonts w:asciiTheme="minorHAnsi" w:eastAsiaTheme="minorEastAsia" w:hAnsiTheme="minorHAnsi" w:cstheme="minorBidi"/>
            <w:iCs w:val="0"/>
            <w:noProof/>
            <w:color w:val="auto"/>
            <w:sz w:val="22"/>
            <w:szCs w:val="22"/>
          </w:rPr>
          <w:tab/>
        </w:r>
        <w:r w:rsidR="00F758D4" w:rsidRPr="00C24B66">
          <w:rPr>
            <w:rStyle w:val="Hyperlink"/>
            <w:noProof/>
          </w:rPr>
          <w:t>Negotiating a Plan and the Disclosure Statement</w:t>
        </w:r>
        <w:r w:rsidR="00F758D4">
          <w:rPr>
            <w:noProof/>
            <w:webHidden/>
          </w:rPr>
          <w:tab/>
        </w:r>
        <w:r w:rsidR="00F758D4">
          <w:rPr>
            <w:noProof/>
            <w:webHidden/>
          </w:rPr>
          <w:fldChar w:fldCharType="begin"/>
        </w:r>
        <w:r w:rsidR="00F758D4">
          <w:rPr>
            <w:noProof/>
            <w:webHidden/>
          </w:rPr>
          <w:instrText xml:space="preserve"> PAGEREF _Toc90983806 \h </w:instrText>
        </w:r>
        <w:r w:rsidR="00F758D4">
          <w:rPr>
            <w:noProof/>
            <w:webHidden/>
          </w:rPr>
        </w:r>
        <w:r w:rsidR="00F758D4">
          <w:rPr>
            <w:noProof/>
            <w:webHidden/>
          </w:rPr>
          <w:fldChar w:fldCharType="separate"/>
        </w:r>
        <w:r w:rsidR="00F758D4">
          <w:rPr>
            <w:noProof/>
            <w:webHidden/>
          </w:rPr>
          <w:t>401</w:t>
        </w:r>
        <w:r w:rsidR="00F758D4">
          <w:rPr>
            <w:noProof/>
            <w:webHidden/>
          </w:rPr>
          <w:fldChar w:fldCharType="end"/>
        </w:r>
      </w:hyperlink>
    </w:p>
    <w:p w14:paraId="7CDCA541" w14:textId="393A968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7" w:history="1">
        <w:r w:rsidR="00F758D4" w:rsidRPr="00C24B66">
          <w:rPr>
            <w:rStyle w:val="Hyperlink"/>
            <w:noProof/>
          </w:rPr>
          <w:t>13.5.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Classification</w:t>
        </w:r>
        <w:r w:rsidR="00F758D4">
          <w:rPr>
            <w:noProof/>
            <w:webHidden/>
          </w:rPr>
          <w:tab/>
        </w:r>
        <w:r w:rsidR="00F758D4">
          <w:rPr>
            <w:noProof/>
            <w:webHidden/>
          </w:rPr>
          <w:fldChar w:fldCharType="begin"/>
        </w:r>
        <w:r w:rsidR="00F758D4">
          <w:rPr>
            <w:noProof/>
            <w:webHidden/>
          </w:rPr>
          <w:instrText xml:space="preserve"> PAGEREF _Toc90983807 \h </w:instrText>
        </w:r>
        <w:r w:rsidR="00F758D4">
          <w:rPr>
            <w:noProof/>
            <w:webHidden/>
          </w:rPr>
        </w:r>
        <w:r w:rsidR="00F758D4">
          <w:rPr>
            <w:noProof/>
            <w:webHidden/>
          </w:rPr>
          <w:fldChar w:fldCharType="separate"/>
        </w:r>
        <w:r w:rsidR="00F758D4">
          <w:rPr>
            <w:noProof/>
            <w:webHidden/>
          </w:rPr>
          <w:t>403</w:t>
        </w:r>
        <w:r w:rsidR="00F758D4">
          <w:rPr>
            <w:noProof/>
            <w:webHidden/>
          </w:rPr>
          <w:fldChar w:fldCharType="end"/>
        </w:r>
      </w:hyperlink>
    </w:p>
    <w:p w14:paraId="37BCB69C" w14:textId="34418FB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8" w:history="1">
        <w:r w:rsidR="00F758D4" w:rsidRPr="00C24B66">
          <w:rPr>
            <w:rStyle w:val="Hyperlink"/>
            <w:noProof/>
          </w:rPr>
          <w:t>13.6.</w:t>
        </w:r>
        <w:r w:rsidR="00F758D4">
          <w:rPr>
            <w:rFonts w:asciiTheme="minorHAnsi" w:eastAsiaTheme="minorEastAsia" w:hAnsiTheme="minorHAnsi" w:cstheme="minorBidi"/>
            <w:iCs w:val="0"/>
            <w:noProof/>
            <w:color w:val="auto"/>
            <w:sz w:val="22"/>
            <w:szCs w:val="22"/>
          </w:rPr>
          <w:tab/>
        </w:r>
        <w:r w:rsidR="00F758D4" w:rsidRPr="00C24B66">
          <w:rPr>
            <w:rStyle w:val="Hyperlink"/>
            <w:noProof/>
          </w:rPr>
          <w:t>Voting and Impairment</w:t>
        </w:r>
        <w:r w:rsidR="00F758D4">
          <w:rPr>
            <w:noProof/>
            <w:webHidden/>
          </w:rPr>
          <w:tab/>
        </w:r>
        <w:r w:rsidR="00F758D4">
          <w:rPr>
            <w:noProof/>
            <w:webHidden/>
          </w:rPr>
          <w:fldChar w:fldCharType="begin"/>
        </w:r>
        <w:r w:rsidR="00F758D4">
          <w:rPr>
            <w:noProof/>
            <w:webHidden/>
          </w:rPr>
          <w:instrText xml:space="preserve"> PAGEREF _Toc90983808 \h </w:instrText>
        </w:r>
        <w:r w:rsidR="00F758D4">
          <w:rPr>
            <w:noProof/>
            <w:webHidden/>
          </w:rPr>
        </w:r>
        <w:r w:rsidR="00F758D4">
          <w:rPr>
            <w:noProof/>
            <w:webHidden/>
          </w:rPr>
          <w:fldChar w:fldCharType="separate"/>
        </w:r>
        <w:r w:rsidR="00F758D4">
          <w:rPr>
            <w:noProof/>
            <w:webHidden/>
          </w:rPr>
          <w:t>404</w:t>
        </w:r>
        <w:r w:rsidR="00F758D4">
          <w:rPr>
            <w:noProof/>
            <w:webHidden/>
          </w:rPr>
          <w:fldChar w:fldCharType="end"/>
        </w:r>
      </w:hyperlink>
    </w:p>
    <w:p w14:paraId="5DB64C39" w14:textId="29E20789"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09" w:history="1">
        <w:r w:rsidR="00F758D4" w:rsidRPr="00C24B66">
          <w:rPr>
            <w:rStyle w:val="Hyperlink"/>
            <w:noProof/>
          </w:rPr>
          <w:t>13.7.</w:t>
        </w:r>
        <w:r w:rsidR="00F758D4">
          <w:rPr>
            <w:rFonts w:asciiTheme="minorHAnsi" w:eastAsiaTheme="minorEastAsia" w:hAnsiTheme="minorHAnsi" w:cstheme="minorBidi"/>
            <w:iCs w:val="0"/>
            <w:noProof/>
            <w:color w:val="auto"/>
            <w:sz w:val="22"/>
            <w:szCs w:val="22"/>
          </w:rPr>
          <w:tab/>
        </w:r>
        <w:r w:rsidR="00F758D4" w:rsidRPr="00C24B66">
          <w:rPr>
            <w:rStyle w:val="Hyperlink"/>
            <w:noProof/>
          </w:rPr>
          <w:t>Non-Recourse Debt and the 1111(b) Election</w:t>
        </w:r>
        <w:r w:rsidR="00F758D4">
          <w:rPr>
            <w:noProof/>
            <w:webHidden/>
          </w:rPr>
          <w:tab/>
        </w:r>
        <w:r w:rsidR="00F758D4">
          <w:rPr>
            <w:noProof/>
            <w:webHidden/>
          </w:rPr>
          <w:fldChar w:fldCharType="begin"/>
        </w:r>
        <w:r w:rsidR="00F758D4">
          <w:rPr>
            <w:noProof/>
            <w:webHidden/>
          </w:rPr>
          <w:instrText xml:space="preserve"> PAGEREF _Toc90983809 \h </w:instrText>
        </w:r>
        <w:r w:rsidR="00F758D4">
          <w:rPr>
            <w:noProof/>
            <w:webHidden/>
          </w:rPr>
        </w:r>
        <w:r w:rsidR="00F758D4">
          <w:rPr>
            <w:noProof/>
            <w:webHidden/>
          </w:rPr>
          <w:fldChar w:fldCharType="separate"/>
        </w:r>
        <w:r w:rsidR="00F758D4">
          <w:rPr>
            <w:noProof/>
            <w:webHidden/>
          </w:rPr>
          <w:t>404</w:t>
        </w:r>
        <w:r w:rsidR="00F758D4">
          <w:rPr>
            <w:noProof/>
            <w:webHidden/>
          </w:rPr>
          <w:fldChar w:fldCharType="end"/>
        </w:r>
      </w:hyperlink>
    </w:p>
    <w:p w14:paraId="35970079" w14:textId="35289F08"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10" w:history="1">
        <w:r w:rsidR="00F758D4" w:rsidRPr="00C24B66">
          <w:rPr>
            <w:rStyle w:val="Hyperlink"/>
            <w:noProof/>
          </w:rPr>
          <w:t>13.8.</w:t>
        </w:r>
        <w:r w:rsidR="00F758D4">
          <w:rPr>
            <w:rFonts w:asciiTheme="minorHAnsi" w:eastAsiaTheme="minorEastAsia" w:hAnsiTheme="minorHAnsi" w:cstheme="minorBidi"/>
            <w:iCs w:val="0"/>
            <w:noProof/>
            <w:color w:val="auto"/>
            <w:sz w:val="22"/>
            <w:szCs w:val="22"/>
          </w:rPr>
          <w:tab/>
        </w:r>
        <w:r w:rsidR="00F758D4" w:rsidRPr="00C24B66">
          <w:rPr>
            <w:rStyle w:val="Hyperlink"/>
            <w:noProof/>
          </w:rPr>
          <w:t>Cases on Classifying Claims in Chapter 11 Reorganizations</w:t>
        </w:r>
        <w:r w:rsidR="00F758D4">
          <w:rPr>
            <w:noProof/>
            <w:webHidden/>
          </w:rPr>
          <w:tab/>
        </w:r>
        <w:r w:rsidR="00F758D4">
          <w:rPr>
            <w:noProof/>
            <w:webHidden/>
          </w:rPr>
          <w:fldChar w:fldCharType="begin"/>
        </w:r>
        <w:r w:rsidR="00F758D4">
          <w:rPr>
            <w:noProof/>
            <w:webHidden/>
          </w:rPr>
          <w:instrText xml:space="preserve"> PAGEREF _Toc90983810 \h </w:instrText>
        </w:r>
        <w:r w:rsidR="00F758D4">
          <w:rPr>
            <w:noProof/>
            <w:webHidden/>
          </w:rPr>
        </w:r>
        <w:r w:rsidR="00F758D4">
          <w:rPr>
            <w:noProof/>
            <w:webHidden/>
          </w:rPr>
          <w:fldChar w:fldCharType="separate"/>
        </w:r>
        <w:r w:rsidR="00F758D4">
          <w:rPr>
            <w:noProof/>
            <w:webHidden/>
          </w:rPr>
          <w:t>405</w:t>
        </w:r>
        <w:r w:rsidR="00F758D4">
          <w:rPr>
            <w:noProof/>
            <w:webHidden/>
          </w:rPr>
          <w:fldChar w:fldCharType="end"/>
        </w:r>
      </w:hyperlink>
    </w:p>
    <w:p w14:paraId="7CF9ECA8" w14:textId="045DDDD2"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11" w:history="1">
        <w:r w:rsidR="00F758D4" w:rsidRPr="00C24B66">
          <w:rPr>
            <w:rStyle w:val="Hyperlink"/>
            <w:noProof/>
          </w:rPr>
          <w:t>13.8.1.</w:t>
        </w:r>
        <w:r w:rsidR="00F758D4">
          <w:rPr>
            <w:rFonts w:asciiTheme="minorHAnsi" w:eastAsiaTheme="minorEastAsia" w:hAnsiTheme="minorHAnsi" w:cstheme="minorBidi"/>
            <w:noProof/>
            <w:color w:val="auto"/>
            <w:sz w:val="22"/>
            <w:szCs w:val="22"/>
          </w:rPr>
          <w:tab/>
        </w:r>
        <w:r w:rsidR="00F758D4" w:rsidRPr="00C24B66">
          <w:rPr>
            <w:rStyle w:val="Hyperlink"/>
            <w:noProof/>
          </w:rPr>
          <w:t>IN RE US TRUCK CO., 800 F.2d 581 (6th Cir. 1986)</w:t>
        </w:r>
        <w:r w:rsidR="00F758D4">
          <w:rPr>
            <w:noProof/>
            <w:webHidden/>
          </w:rPr>
          <w:tab/>
        </w:r>
        <w:r w:rsidR="00F758D4">
          <w:rPr>
            <w:noProof/>
            <w:webHidden/>
          </w:rPr>
          <w:fldChar w:fldCharType="begin"/>
        </w:r>
        <w:r w:rsidR="00F758D4">
          <w:rPr>
            <w:noProof/>
            <w:webHidden/>
          </w:rPr>
          <w:instrText xml:space="preserve"> PAGEREF _Toc90983811 \h </w:instrText>
        </w:r>
        <w:r w:rsidR="00F758D4">
          <w:rPr>
            <w:noProof/>
            <w:webHidden/>
          </w:rPr>
        </w:r>
        <w:r w:rsidR="00F758D4">
          <w:rPr>
            <w:noProof/>
            <w:webHidden/>
          </w:rPr>
          <w:fldChar w:fldCharType="separate"/>
        </w:r>
        <w:r w:rsidR="00F758D4">
          <w:rPr>
            <w:noProof/>
            <w:webHidden/>
          </w:rPr>
          <w:t>405</w:t>
        </w:r>
        <w:r w:rsidR="00F758D4">
          <w:rPr>
            <w:noProof/>
            <w:webHidden/>
          </w:rPr>
          <w:fldChar w:fldCharType="end"/>
        </w:r>
      </w:hyperlink>
    </w:p>
    <w:p w14:paraId="1AF8ECE8" w14:textId="081FFBE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12" w:history="1">
        <w:r w:rsidR="00F758D4" w:rsidRPr="00C24B66">
          <w:rPr>
            <w:rStyle w:val="Hyperlink"/>
            <w:noProof/>
          </w:rPr>
          <w:t>13.8.2.</w:t>
        </w:r>
        <w:r w:rsidR="00F758D4">
          <w:rPr>
            <w:rFonts w:asciiTheme="minorHAnsi" w:eastAsiaTheme="minorEastAsia" w:hAnsiTheme="minorHAnsi" w:cstheme="minorBidi"/>
            <w:noProof/>
            <w:color w:val="auto"/>
            <w:sz w:val="22"/>
            <w:szCs w:val="22"/>
          </w:rPr>
          <w:tab/>
        </w:r>
        <w:r w:rsidR="00F758D4" w:rsidRPr="00C24B66">
          <w:rPr>
            <w:rStyle w:val="Hyperlink"/>
            <w:noProof/>
          </w:rPr>
          <w:t>IN RE BERNHARD STEINER PIANOS USA, INC., 292 B.R. 109 (Bankr. N.D. Tex. 2002)</w:t>
        </w:r>
        <w:r w:rsidR="00F758D4">
          <w:rPr>
            <w:noProof/>
            <w:webHidden/>
          </w:rPr>
          <w:tab/>
        </w:r>
        <w:r w:rsidR="00F758D4">
          <w:rPr>
            <w:noProof/>
            <w:webHidden/>
          </w:rPr>
          <w:fldChar w:fldCharType="begin"/>
        </w:r>
        <w:r w:rsidR="00F758D4">
          <w:rPr>
            <w:noProof/>
            <w:webHidden/>
          </w:rPr>
          <w:instrText xml:space="preserve"> PAGEREF _Toc90983812 \h </w:instrText>
        </w:r>
        <w:r w:rsidR="00F758D4">
          <w:rPr>
            <w:noProof/>
            <w:webHidden/>
          </w:rPr>
        </w:r>
        <w:r w:rsidR="00F758D4">
          <w:rPr>
            <w:noProof/>
            <w:webHidden/>
          </w:rPr>
          <w:fldChar w:fldCharType="separate"/>
        </w:r>
        <w:r w:rsidR="00F758D4">
          <w:rPr>
            <w:noProof/>
            <w:webHidden/>
          </w:rPr>
          <w:t>407</w:t>
        </w:r>
        <w:r w:rsidR="00F758D4">
          <w:rPr>
            <w:noProof/>
            <w:webHidden/>
          </w:rPr>
          <w:fldChar w:fldCharType="end"/>
        </w:r>
      </w:hyperlink>
    </w:p>
    <w:p w14:paraId="5AA54E21" w14:textId="5AA132B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13" w:history="1">
        <w:r w:rsidR="00F758D4" w:rsidRPr="00C24B66">
          <w:rPr>
            <w:rStyle w:val="Hyperlink"/>
            <w:noProof/>
          </w:rPr>
          <w:t>13.8.3.</w:t>
        </w:r>
        <w:r w:rsidR="00F758D4">
          <w:rPr>
            <w:rFonts w:asciiTheme="minorHAnsi" w:eastAsiaTheme="minorEastAsia" w:hAnsiTheme="minorHAnsi" w:cstheme="minorBidi"/>
            <w:noProof/>
            <w:color w:val="auto"/>
            <w:sz w:val="22"/>
            <w:szCs w:val="22"/>
          </w:rPr>
          <w:tab/>
        </w:r>
        <w:r w:rsidR="00F758D4" w:rsidRPr="00C24B66">
          <w:rPr>
            <w:rStyle w:val="Hyperlink"/>
            <w:noProof/>
          </w:rPr>
          <w:t>PHOENIX MUT. LIFE v. GREYSTONE III JOINT VENTURE, 995 F.2d 1274 (5th Cir. 1991)</w:t>
        </w:r>
        <w:r w:rsidR="00F758D4">
          <w:rPr>
            <w:noProof/>
            <w:webHidden/>
          </w:rPr>
          <w:tab/>
        </w:r>
        <w:r w:rsidR="00F758D4">
          <w:rPr>
            <w:noProof/>
            <w:webHidden/>
          </w:rPr>
          <w:fldChar w:fldCharType="begin"/>
        </w:r>
        <w:r w:rsidR="00F758D4">
          <w:rPr>
            <w:noProof/>
            <w:webHidden/>
          </w:rPr>
          <w:instrText xml:space="preserve"> PAGEREF _Toc90983813 \h </w:instrText>
        </w:r>
        <w:r w:rsidR="00F758D4">
          <w:rPr>
            <w:noProof/>
            <w:webHidden/>
          </w:rPr>
        </w:r>
        <w:r w:rsidR="00F758D4">
          <w:rPr>
            <w:noProof/>
            <w:webHidden/>
          </w:rPr>
          <w:fldChar w:fldCharType="separate"/>
        </w:r>
        <w:r w:rsidR="00F758D4">
          <w:rPr>
            <w:noProof/>
            <w:webHidden/>
          </w:rPr>
          <w:t>409</w:t>
        </w:r>
        <w:r w:rsidR="00F758D4">
          <w:rPr>
            <w:noProof/>
            <w:webHidden/>
          </w:rPr>
          <w:fldChar w:fldCharType="end"/>
        </w:r>
      </w:hyperlink>
    </w:p>
    <w:p w14:paraId="12B33DA1" w14:textId="49137A0F"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14" w:history="1">
        <w:r w:rsidR="00F758D4" w:rsidRPr="00C24B66">
          <w:rPr>
            <w:rStyle w:val="Hyperlink"/>
            <w:noProof/>
          </w:rPr>
          <w:t>13.8.4.</w:t>
        </w:r>
        <w:r w:rsidR="00F758D4">
          <w:rPr>
            <w:rFonts w:asciiTheme="minorHAnsi" w:eastAsiaTheme="minorEastAsia" w:hAnsiTheme="minorHAnsi" w:cstheme="minorBidi"/>
            <w:noProof/>
            <w:color w:val="auto"/>
            <w:sz w:val="22"/>
            <w:szCs w:val="22"/>
          </w:rPr>
          <w:tab/>
        </w:r>
        <w:r w:rsidR="00F758D4" w:rsidRPr="00C24B66">
          <w:rPr>
            <w:rStyle w:val="Hyperlink"/>
            <w:noProof/>
          </w:rPr>
          <w:t>IN RE SM 104 LIMITED, 160 B.R. 202 (Bankr. S.D. Fla. 1993)</w:t>
        </w:r>
        <w:r w:rsidR="00F758D4">
          <w:rPr>
            <w:noProof/>
            <w:webHidden/>
          </w:rPr>
          <w:tab/>
        </w:r>
        <w:r w:rsidR="00F758D4">
          <w:rPr>
            <w:noProof/>
            <w:webHidden/>
          </w:rPr>
          <w:fldChar w:fldCharType="begin"/>
        </w:r>
        <w:r w:rsidR="00F758D4">
          <w:rPr>
            <w:noProof/>
            <w:webHidden/>
          </w:rPr>
          <w:instrText xml:space="preserve"> PAGEREF _Toc90983814 \h </w:instrText>
        </w:r>
        <w:r w:rsidR="00F758D4">
          <w:rPr>
            <w:noProof/>
            <w:webHidden/>
          </w:rPr>
        </w:r>
        <w:r w:rsidR="00F758D4">
          <w:rPr>
            <w:noProof/>
            <w:webHidden/>
          </w:rPr>
          <w:fldChar w:fldCharType="separate"/>
        </w:r>
        <w:r w:rsidR="00F758D4">
          <w:rPr>
            <w:noProof/>
            <w:webHidden/>
          </w:rPr>
          <w:t>413</w:t>
        </w:r>
        <w:r w:rsidR="00F758D4">
          <w:rPr>
            <w:noProof/>
            <w:webHidden/>
          </w:rPr>
          <w:fldChar w:fldCharType="end"/>
        </w:r>
      </w:hyperlink>
    </w:p>
    <w:p w14:paraId="015003B6" w14:textId="7C6BA4E7"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15" w:history="1">
        <w:r w:rsidR="00F758D4" w:rsidRPr="00C24B66">
          <w:rPr>
            <w:rStyle w:val="Hyperlink"/>
            <w:noProof/>
          </w:rPr>
          <w:t>13.8.5.</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Classification, Voting and Impairment</w:t>
        </w:r>
        <w:r w:rsidR="00F758D4">
          <w:rPr>
            <w:noProof/>
            <w:webHidden/>
          </w:rPr>
          <w:tab/>
        </w:r>
        <w:r w:rsidR="00F758D4">
          <w:rPr>
            <w:noProof/>
            <w:webHidden/>
          </w:rPr>
          <w:fldChar w:fldCharType="begin"/>
        </w:r>
        <w:r w:rsidR="00F758D4">
          <w:rPr>
            <w:noProof/>
            <w:webHidden/>
          </w:rPr>
          <w:instrText xml:space="preserve"> PAGEREF _Toc90983815 \h </w:instrText>
        </w:r>
        <w:r w:rsidR="00F758D4">
          <w:rPr>
            <w:noProof/>
            <w:webHidden/>
          </w:rPr>
        </w:r>
        <w:r w:rsidR="00F758D4">
          <w:rPr>
            <w:noProof/>
            <w:webHidden/>
          </w:rPr>
          <w:fldChar w:fldCharType="separate"/>
        </w:r>
        <w:r w:rsidR="00F758D4">
          <w:rPr>
            <w:noProof/>
            <w:webHidden/>
          </w:rPr>
          <w:t>417</w:t>
        </w:r>
        <w:r w:rsidR="00F758D4">
          <w:rPr>
            <w:noProof/>
            <w:webHidden/>
          </w:rPr>
          <w:fldChar w:fldCharType="end"/>
        </w:r>
      </w:hyperlink>
    </w:p>
    <w:p w14:paraId="75AB15C3" w14:textId="2919A083"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16" w:history="1">
        <w:r w:rsidR="00F758D4" w:rsidRPr="00C24B66">
          <w:rPr>
            <w:rStyle w:val="Hyperlink"/>
            <w:noProof/>
          </w:rPr>
          <w:t>13.9.</w:t>
        </w:r>
        <w:r w:rsidR="00F758D4">
          <w:rPr>
            <w:rFonts w:asciiTheme="minorHAnsi" w:eastAsiaTheme="minorEastAsia" w:hAnsiTheme="minorHAnsi" w:cstheme="minorBidi"/>
            <w:iCs w:val="0"/>
            <w:noProof/>
            <w:color w:val="auto"/>
            <w:sz w:val="22"/>
            <w:szCs w:val="22"/>
          </w:rPr>
          <w:tab/>
        </w:r>
        <w:r w:rsidR="00F758D4" w:rsidRPr="00C24B66">
          <w:rPr>
            <w:rStyle w:val="Hyperlink"/>
            <w:noProof/>
          </w:rPr>
          <w:t>Confirmation Requirements under 11 U.S.C. § 1129(a)</w:t>
        </w:r>
        <w:r w:rsidR="00F758D4">
          <w:rPr>
            <w:noProof/>
            <w:webHidden/>
          </w:rPr>
          <w:tab/>
        </w:r>
        <w:r w:rsidR="00F758D4">
          <w:rPr>
            <w:noProof/>
            <w:webHidden/>
          </w:rPr>
          <w:fldChar w:fldCharType="begin"/>
        </w:r>
        <w:r w:rsidR="00F758D4">
          <w:rPr>
            <w:noProof/>
            <w:webHidden/>
          </w:rPr>
          <w:instrText xml:space="preserve"> PAGEREF _Toc90983816 \h </w:instrText>
        </w:r>
        <w:r w:rsidR="00F758D4">
          <w:rPr>
            <w:noProof/>
            <w:webHidden/>
          </w:rPr>
        </w:r>
        <w:r w:rsidR="00F758D4">
          <w:rPr>
            <w:noProof/>
            <w:webHidden/>
          </w:rPr>
          <w:fldChar w:fldCharType="separate"/>
        </w:r>
        <w:r w:rsidR="00F758D4">
          <w:rPr>
            <w:noProof/>
            <w:webHidden/>
          </w:rPr>
          <w:t>418</w:t>
        </w:r>
        <w:r w:rsidR="00F758D4">
          <w:rPr>
            <w:noProof/>
            <w:webHidden/>
          </w:rPr>
          <w:fldChar w:fldCharType="end"/>
        </w:r>
      </w:hyperlink>
    </w:p>
    <w:p w14:paraId="3F6EBFF8" w14:textId="2B717CF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17" w:history="1">
        <w:r w:rsidR="00F758D4" w:rsidRPr="00C24B66">
          <w:rPr>
            <w:rStyle w:val="Hyperlink"/>
            <w:noProof/>
          </w:rPr>
          <w:t>13.10.</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Cramdown – 11 U.S.C. §1129(b)</w:t>
        </w:r>
        <w:r w:rsidR="00F758D4">
          <w:rPr>
            <w:noProof/>
            <w:webHidden/>
          </w:rPr>
          <w:tab/>
        </w:r>
        <w:r w:rsidR="00F758D4">
          <w:rPr>
            <w:noProof/>
            <w:webHidden/>
          </w:rPr>
          <w:fldChar w:fldCharType="begin"/>
        </w:r>
        <w:r w:rsidR="00F758D4">
          <w:rPr>
            <w:noProof/>
            <w:webHidden/>
          </w:rPr>
          <w:instrText xml:space="preserve"> PAGEREF _Toc90983817 \h </w:instrText>
        </w:r>
        <w:r w:rsidR="00F758D4">
          <w:rPr>
            <w:noProof/>
            <w:webHidden/>
          </w:rPr>
        </w:r>
        <w:r w:rsidR="00F758D4">
          <w:rPr>
            <w:noProof/>
            <w:webHidden/>
          </w:rPr>
          <w:fldChar w:fldCharType="separate"/>
        </w:r>
        <w:r w:rsidR="00F758D4">
          <w:rPr>
            <w:noProof/>
            <w:webHidden/>
          </w:rPr>
          <w:t>419</w:t>
        </w:r>
        <w:r w:rsidR="00F758D4">
          <w:rPr>
            <w:noProof/>
            <w:webHidden/>
          </w:rPr>
          <w:fldChar w:fldCharType="end"/>
        </w:r>
      </w:hyperlink>
    </w:p>
    <w:p w14:paraId="16C7624A" w14:textId="4A118B7E"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18" w:history="1">
        <w:r w:rsidR="00F758D4" w:rsidRPr="00C24B66">
          <w:rPr>
            <w:rStyle w:val="Hyperlink"/>
            <w:noProof/>
          </w:rPr>
          <w:t>13.10.1.</w:t>
        </w:r>
        <w:r w:rsidR="00F758D4">
          <w:rPr>
            <w:rFonts w:asciiTheme="minorHAnsi" w:eastAsiaTheme="minorEastAsia" w:hAnsiTheme="minorHAnsi" w:cstheme="minorBidi"/>
            <w:noProof/>
            <w:color w:val="auto"/>
            <w:sz w:val="22"/>
            <w:szCs w:val="22"/>
          </w:rPr>
          <w:tab/>
        </w:r>
        <w:r w:rsidR="00F758D4" w:rsidRPr="00C24B66">
          <w:rPr>
            <w:rStyle w:val="Hyperlink"/>
            <w:noProof/>
          </w:rPr>
          <w:t>Cramdown of Secured Claims</w:t>
        </w:r>
        <w:r w:rsidR="00F758D4">
          <w:rPr>
            <w:noProof/>
            <w:webHidden/>
          </w:rPr>
          <w:tab/>
        </w:r>
        <w:r w:rsidR="00F758D4">
          <w:rPr>
            <w:noProof/>
            <w:webHidden/>
          </w:rPr>
          <w:fldChar w:fldCharType="begin"/>
        </w:r>
        <w:r w:rsidR="00F758D4">
          <w:rPr>
            <w:noProof/>
            <w:webHidden/>
          </w:rPr>
          <w:instrText xml:space="preserve"> PAGEREF _Toc90983818 \h </w:instrText>
        </w:r>
        <w:r w:rsidR="00F758D4">
          <w:rPr>
            <w:noProof/>
            <w:webHidden/>
          </w:rPr>
        </w:r>
        <w:r w:rsidR="00F758D4">
          <w:rPr>
            <w:noProof/>
            <w:webHidden/>
          </w:rPr>
          <w:fldChar w:fldCharType="separate"/>
        </w:r>
        <w:r w:rsidR="00F758D4">
          <w:rPr>
            <w:noProof/>
            <w:webHidden/>
          </w:rPr>
          <w:t>419</w:t>
        </w:r>
        <w:r w:rsidR="00F758D4">
          <w:rPr>
            <w:noProof/>
            <w:webHidden/>
          </w:rPr>
          <w:fldChar w:fldCharType="end"/>
        </w:r>
      </w:hyperlink>
    </w:p>
    <w:p w14:paraId="7A127883" w14:textId="45F8694D"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19" w:history="1">
        <w:r w:rsidR="00F758D4" w:rsidRPr="00C24B66">
          <w:rPr>
            <w:rStyle w:val="Hyperlink"/>
            <w:noProof/>
          </w:rPr>
          <w:t>13.10.2.</w:t>
        </w:r>
        <w:r w:rsidR="00F758D4">
          <w:rPr>
            <w:rFonts w:asciiTheme="minorHAnsi" w:eastAsiaTheme="minorEastAsia" w:hAnsiTheme="minorHAnsi" w:cstheme="minorBidi"/>
            <w:noProof/>
            <w:color w:val="auto"/>
            <w:sz w:val="22"/>
            <w:szCs w:val="22"/>
          </w:rPr>
          <w:tab/>
        </w:r>
        <w:r w:rsidR="00F758D4" w:rsidRPr="00C24B66">
          <w:rPr>
            <w:rStyle w:val="Hyperlink"/>
            <w:noProof/>
          </w:rPr>
          <w:t>Cramdown of Unsecured Claims</w:t>
        </w:r>
        <w:r w:rsidR="00F758D4">
          <w:rPr>
            <w:noProof/>
            <w:webHidden/>
          </w:rPr>
          <w:tab/>
        </w:r>
        <w:r w:rsidR="00F758D4">
          <w:rPr>
            <w:noProof/>
            <w:webHidden/>
          </w:rPr>
          <w:fldChar w:fldCharType="begin"/>
        </w:r>
        <w:r w:rsidR="00F758D4">
          <w:rPr>
            <w:noProof/>
            <w:webHidden/>
          </w:rPr>
          <w:instrText xml:space="preserve"> PAGEREF _Toc90983819 \h </w:instrText>
        </w:r>
        <w:r w:rsidR="00F758D4">
          <w:rPr>
            <w:noProof/>
            <w:webHidden/>
          </w:rPr>
        </w:r>
        <w:r w:rsidR="00F758D4">
          <w:rPr>
            <w:noProof/>
            <w:webHidden/>
          </w:rPr>
          <w:fldChar w:fldCharType="separate"/>
        </w:r>
        <w:r w:rsidR="00F758D4">
          <w:rPr>
            <w:noProof/>
            <w:webHidden/>
          </w:rPr>
          <w:t>420</w:t>
        </w:r>
        <w:r w:rsidR="00F758D4">
          <w:rPr>
            <w:noProof/>
            <w:webHidden/>
          </w:rPr>
          <w:fldChar w:fldCharType="end"/>
        </w:r>
      </w:hyperlink>
    </w:p>
    <w:p w14:paraId="31A62C4E" w14:textId="329F35E1"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20" w:history="1">
        <w:r w:rsidR="00F758D4" w:rsidRPr="00C24B66">
          <w:rPr>
            <w:rStyle w:val="Hyperlink"/>
            <w:noProof/>
          </w:rPr>
          <w:t>13.10.3.</w:t>
        </w:r>
        <w:r w:rsidR="00F758D4">
          <w:rPr>
            <w:rFonts w:asciiTheme="minorHAnsi" w:eastAsiaTheme="minorEastAsia" w:hAnsiTheme="minorHAnsi" w:cstheme="minorBidi"/>
            <w:noProof/>
            <w:color w:val="auto"/>
            <w:sz w:val="22"/>
            <w:szCs w:val="22"/>
          </w:rPr>
          <w:tab/>
        </w:r>
        <w:r w:rsidR="00F758D4" w:rsidRPr="00C24B66">
          <w:rPr>
            <w:rStyle w:val="Hyperlink"/>
            <w:noProof/>
          </w:rPr>
          <w:t>Cases on Cramming Down Secured Claims in a Chapter 11 Plan of Reorganization</w:t>
        </w:r>
        <w:r w:rsidR="00F758D4">
          <w:rPr>
            <w:noProof/>
            <w:webHidden/>
          </w:rPr>
          <w:tab/>
        </w:r>
        <w:r w:rsidR="00F758D4">
          <w:rPr>
            <w:noProof/>
            <w:webHidden/>
          </w:rPr>
          <w:fldChar w:fldCharType="begin"/>
        </w:r>
        <w:r w:rsidR="00F758D4">
          <w:rPr>
            <w:noProof/>
            <w:webHidden/>
          </w:rPr>
          <w:instrText xml:space="preserve"> PAGEREF _Toc90983820 \h </w:instrText>
        </w:r>
        <w:r w:rsidR="00F758D4">
          <w:rPr>
            <w:noProof/>
            <w:webHidden/>
          </w:rPr>
        </w:r>
        <w:r w:rsidR="00F758D4">
          <w:rPr>
            <w:noProof/>
            <w:webHidden/>
          </w:rPr>
          <w:fldChar w:fldCharType="separate"/>
        </w:r>
        <w:r w:rsidR="00F758D4">
          <w:rPr>
            <w:noProof/>
            <w:webHidden/>
          </w:rPr>
          <w:t>421</w:t>
        </w:r>
        <w:r w:rsidR="00F758D4">
          <w:rPr>
            <w:noProof/>
            <w:webHidden/>
          </w:rPr>
          <w:fldChar w:fldCharType="end"/>
        </w:r>
      </w:hyperlink>
    </w:p>
    <w:p w14:paraId="4EFE89C5" w14:textId="1936C945"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21" w:history="1">
        <w:r w:rsidR="00F758D4" w:rsidRPr="00C24B66">
          <w:rPr>
            <w:rStyle w:val="Hyperlink"/>
            <w:noProof/>
          </w:rPr>
          <w:t>13.10.3.1.</w:t>
        </w:r>
        <w:r w:rsidR="00F758D4">
          <w:rPr>
            <w:rFonts w:asciiTheme="minorHAnsi" w:eastAsiaTheme="minorEastAsia" w:hAnsiTheme="minorHAnsi" w:cstheme="minorBidi"/>
            <w:noProof/>
            <w:color w:val="auto"/>
            <w:sz w:val="22"/>
            <w:szCs w:val="22"/>
          </w:rPr>
          <w:tab/>
        </w:r>
        <w:r w:rsidR="00F758D4" w:rsidRPr="00C24B66">
          <w:rPr>
            <w:rStyle w:val="Hyperlink"/>
            <w:noProof/>
          </w:rPr>
          <w:t>IN RE ARNOLD &amp; BAKER FARMS, 85 F.3d 1415 (9th Cir. 1996)</w:t>
        </w:r>
        <w:r w:rsidR="00F758D4">
          <w:rPr>
            <w:noProof/>
            <w:webHidden/>
          </w:rPr>
          <w:tab/>
        </w:r>
        <w:r w:rsidR="00F758D4">
          <w:rPr>
            <w:noProof/>
            <w:webHidden/>
          </w:rPr>
          <w:fldChar w:fldCharType="begin"/>
        </w:r>
        <w:r w:rsidR="00F758D4">
          <w:rPr>
            <w:noProof/>
            <w:webHidden/>
          </w:rPr>
          <w:instrText xml:space="preserve"> PAGEREF _Toc90983821 \h </w:instrText>
        </w:r>
        <w:r w:rsidR="00F758D4">
          <w:rPr>
            <w:noProof/>
            <w:webHidden/>
          </w:rPr>
        </w:r>
        <w:r w:rsidR="00F758D4">
          <w:rPr>
            <w:noProof/>
            <w:webHidden/>
          </w:rPr>
          <w:fldChar w:fldCharType="separate"/>
        </w:r>
        <w:r w:rsidR="00F758D4">
          <w:rPr>
            <w:noProof/>
            <w:webHidden/>
          </w:rPr>
          <w:t>421</w:t>
        </w:r>
        <w:r w:rsidR="00F758D4">
          <w:rPr>
            <w:noProof/>
            <w:webHidden/>
          </w:rPr>
          <w:fldChar w:fldCharType="end"/>
        </w:r>
      </w:hyperlink>
    </w:p>
    <w:p w14:paraId="15F837D1" w14:textId="5CDB8808"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22" w:history="1">
        <w:r w:rsidR="00F758D4" w:rsidRPr="00C24B66">
          <w:rPr>
            <w:rStyle w:val="Hyperlink"/>
            <w:noProof/>
          </w:rPr>
          <w:t>13.10.3.2.</w:t>
        </w:r>
        <w:r w:rsidR="00F758D4">
          <w:rPr>
            <w:rFonts w:asciiTheme="minorHAnsi" w:eastAsiaTheme="minorEastAsia" w:hAnsiTheme="minorHAnsi" w:cstheme="minorBidi"/>
            <w:noProof/>
            <w:color w:val="auto"/>
            <w:sz w:val="22"/>
            <w:szCs w:val="22"/>
          </w:rPr>
          <w:tab/>
        </w:r>
        <w:r w:rsidR="00F758D4" w:rsidRPr="00C24B66">
          <w:rPr>
            <w:rStyle w:val="Hyperlink"/>
            <w:noProof/>
          </w:rPr>
          <w:t>BANK OF AMERICA v. 203 N. LaSALLE STREET P’SHIP, 526 U.S. 434 (1999)</w:t>
        </w:r>
        <w:r w:rsidR="00F758D4">
          <w:rPr>
            <w:noProof/>
            <w:webHidden/>
          </w:rPr>
          <w:tab/>
        </w:r>
        <w:r w:rsidR="00F758D4">
          <w:rPr>
            <w:noProof/>
            <w:webHidden/>
          </w:rPr>
          <w:fldChar w:fldCharType="begin"/>
        </w:r>
        <w:r w:rsidR="00F758D4">
          <w:rPr>
            <w:noProof/>
            <w:webHidden/>
          </w:rPr>
          <w:instrText xml:space="preserve"> PAGEREF _Toc90983822 \h </w:instrText>
        </w:r>
        <w:r w:rsidR="00F758D4">
          <w:rPr>
            <w:noProof/>
            <w:webHidden/>
          </w:rPr>
        </w:r>
        <w:r w:rsidR="00F758D4">
          <w:rPr>
            <w:noProof/>
            <w:webHidden/>
          </w:rPr>
          <w:fldChar w:fldCharType="separate"/>
        </w:r>
        <w:r w:rsidR="00F758D4">
          <w:rPr>
            <w:noProof/>
            <w:webHidden/>
          </w:rPr>
          <w:t>424</w:t>
        </w:r>
        <w:r w:rsidR="00F758D4">
          <w:rPr>
            <w:noProof/>
            <w:webHidden/>
          </w:rPr>
          <w:fldChar w:fldCharType="end"/>
        </w:r>
      </w:hyperlink>
    </w:p>
    <w:p w14:paraId="6E81F9F5" w14:textId="2F72C222"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23" w:history="1">
        <w:r w:rsidR="00F758D4" w:rsidRPr="00C24B66">
          <w:rPr>
            <w:rStyle w:val="Hyperlink"/>
            <w:noProof/>
          </w:rPr>
          <w:t>13.10.4.</w:t>
        </w:r>
        <w:r w:rsidR="00F758D4">
          <w:rPr>
            <w:rFonts w:asciiTheme="minorHAnsi" w:eastAsiaTheme="minorEastAsia" w:hAnsiTheme="minorHAnsi" w:cstheme="minorBidi"/>
            <w:noProof/>
            <w:color w:val="auto"/>
            <w:sz w:val="22"/>
            <w:szCs w:val="22"/>
          </w:rPr>
          <w:tab/>
        </w:r>
        <w:r w:rsidR="00F758D4" w:rsidRPr="00C24B66">
          <w:rPr>
            <w:rStyle w:val="Hyperlink"/>
            <w:noProof/>
          </w:rPr>
          <w:t>Practice Problems: Confirmation and Cramdown under Chapter 11 (11 U.S.C. § 1129)</w:t>
        </w:r>
        <w:r w:rsidR="00F758D4">
          <w:rPr>
            <w:noProof/>
            <w:webHidden/>
          </w:rPr>
          <w:tab/>
        </w:r>
        <w:r w:rsidR="00F758D4">
          <w:rPr>
            <w:noProof/>
            <w:webHidden/>
          </w:rPr>
          <w:fldChar w:fldCharType="begin"/>
        </w:r>
        <w:r w:rsidR="00F758D4">
          <w:rPr>
            <w:noProof/>
            <w:webHidden/>
          </w:rPr>
          <w:instrText xml:space="preserve"> PAGEREF _Toc90983823 \h </w:instrText>
        </w:r>
        <w:r w:rsidR="00F758D4">
          <w:rPr>
            <w:noProof/>
            <w:webHidden/>
          </w:rPr>
        </w:r>
        <w:r w:rsidR="00F758D4">
          <w:rPr>
            <w:noProof/>
            <w:webHidden/>
          </w:rPr>
          <w:fldChar w:fldCharType="separate"/>
        </w:r>
        <w:r w:rsidR="00F758D4">
          <w:rPr>
            <w:noProof/>
            <w:webHidden/>
          </w:rPr>
          <w:t>430</w:t>
        </w:r>
        <w:r w:rsidR="00F758D4">
          <w:rPr>
            <w:noProof/>
            <w:webHidden/>
          </w:rPr>
          <w:fldChar w:fldCharType="end"/>
        </w:r>
      </w:hyperlink>
    </w:p>
    <w:p w14:paraId="0B5F0C37" w14:textId="558E20D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24" w:history="1">
        <w:r w:rsidR="00F758D4" w:rsidRPr="00C24B66">
          <w:rPr>
            <w:rStyle w:val="Hyperlink"/>
            <w:noProof/>
          </w:rPr>
          <w:t>13.11.</w:t>
        </w:r>
        <w:r w:rsidR="00F758D4">
          <w:rPr>
            <w:rFonts w:asciiTheme="minorHAnsi" w:eastAsiaTheme="minorEastAsia" w:hAnsiTheme="minorHAnsi" w:cstheme="minorBidi"/>
            <w:iCs w:val="0"/>
            <w:noProof/>
            <w:color w:val="auto"/>
            <w:sz w:val="22"/>
            <w:szCs w:val="22"/>
          </w:rPr>
          <w:tab/>
        </w:r>
        <w:r w:rsidR="00F758D4" w:rsidRPr="00C24B66">
          <w:rPr>
            <w:rStyle w:val="Hyperlink"/>
            <w:noProof/>
          </w:rPr>
          <w:t>The Chapter 11 Discharge – 11 U.S.C. § 1141</w:t>
        </w:r>
        <w:r w:rsidR="00F758D4">
          <w:rPr>
            <w:noProof/>
            <w:webHidden/>
          </w:rPr>
          <w:tab/>
        </w:r>
        <w:r w:rsidR="00F758D4">
          <w:rPr>
            <w:noProof/>
            <w:webHidden/>
          </w:rPr>
          <w:fldChar w:fldCharType="begin"/>
        </w:r>
        <w:r w:rsidR="00F758D4">
          <w:rPr>
            <w:noProof/>
            <w:webHidden/>
          </w:rPr>
          <w:instrText xml:space="preserve"> PAGEREF _Toc90983824 \h </w:instrText>
        </w:r>
        <w:r w:rsidR="00F758D4">
          <w:rPr>
            <w:noProof/>
            <w:webHidden/>
          </w:rPr>
        </w:r>
        <w:r w:rsidR="00F758D4">
          <w:rPr>
            <w:noProof/>
            <w:webHidden/>
          </w:rPr>
          <w:fldChar w:fldCharType="separate"/>
        </w:r>
        <w:r w:rsidR="00F758D4">
          <w:rPr>
            <w:noProof/>
            <w:webHidden/>
          </w:rPr>
          <w:t>430</w:t>
        </w:r>
        <w:r w:rsidR="00F758D4">
          <w:rPr>
            <w:noProof/>
            <w:webHidden/>
          </w:rPr>
          <w:fldChar w:fldCharType="end"/>
        </w:r>
      </w:hyperlink>
    </w:p>
    <w:p w14:paraId="58645626" w14:textId="45916A4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25" w:history="1">
        <w:r w:rsidR="00F758D4" w:rsidRPr="00C24B66">
          <w:rPr>
            <w:rStyle w:val="Hyperlink"/>
            <w:noProof/>
          </w:rPr>
          <w:t>13.12.</w:t>
        </w:r>
        <w:r w:rsidR="00F758D4">
          <w:rPr>
            <w:rFonts w:asciiTheme="minorHAnsi" w:eastAsiaTheme="minorEastAsia" w:hAnsiTheme="minorHAnsi" w:cstheme="minorBidi"/>
            <w:iCs w:val="0"/>
            <w:noProof/>
            <w:color w:val="auto"/>
            <w:sz w:val="22"/>
            <w:szCs w:val="22"/>
          </w:rPr>
          <w:tab/>
        </w:r>
        <w:r w:rsidR="00F758D4" w:rsidRPr="00C24B66">
          <w:rPr>
            <w:rStyle w:val="Hyperlink"/>
            <w:noProof/>
          </w:rPr>
          <w:t>Non-Debtor Discharges, Releases and Injunctions</w:t>
        </w:r>
        <w:r w:rsidR="00F758D4">
          <w:rPr>
            <w:noProof/>
            <w:webHidden/>
          </w:rPr>
          <w:tab/>
        </w:r>
        <w:r w:rsidR="00F758D4">
          <w:rPr>
            <w:noProof/>
            <w:webHidden/>
          </w:rPr>
          <w:fldChar w:fldCharType="begin"/>
        </w:r>
        <w:r w:rsidR="00F758D4">
          <w:rPr>
            <w:noProof/>
            <w:webHidden/>
          </w:rPr>
          <w:instrText xml:space="preserve"> PAGEREF _Toc90983825 \h </w:instrText>
        </w:r>
        <w:r w:rsidR="00F758D4">
          <w:rPr>
            <w:noProof/>
            <w:webHidden/>
          </w:rPr>
        </w:r>
        <w:r w:rsidR="00F758D4">
          <w:rPr>
            <w:noProof/>
            <w:webHidden/>
          </w:rPr>
          <w:fldChar w:fldCharType="separate"/>
        </w:r>
        <w:r w:rsidR="00F758D4">
          <w:rPr>
            <w:noProof/>
            <w:webHidden/>
          </w:rPr>
          <w:t>430</w:t>
        </w:r>
        <w:r w:rsidR="00F758D4">
          <w:rPr>
            <w:noProof/>
            <w:webHidden/>
          </w:rPr>
          <w:fldChar w:fldCharType="end"/>
        </w:r>
      </w:hyperlink>
    </w:p>
    <w:p w14:paraId="1C49C42D" w14:textId="054A5AA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26" w:history="1">
        <w:r w:rsidR="00F758D4" w:rsidRPr="00C24B66">
          <w:rPr>
            <w:rStyle w:val="Hyperlink"/>
            <w:noProof/>
          </w:rPr>
          <w:t>13.13.</w:t>
        </w:r>
        <w:r w:rsidR="00F758D4">
          <w:rPr>
            <w:rFonts w:asciiTheme="minorHAnsi" w:eastAsiaTheme="minorEastAsia" w:hAnsiTheme="minorHAnsi" w:cstheme="minorBidi"/>
            <w:iCs w:val="0"/>
            <w:noProof/>
            <w:color w:val="auto"/>
            <w:sz w:val="22"/>
            <w:szCs w:val="22"/>
          </w:rPr>
          <w:tab/>
        </w:r>
        <w:r w:rsidR="00F758D4" w:rsidRPr="00C24B66">
          <w:rPr>
            <w:rStyle w:val="Hyperlink"/>
            <w:noProof/>
          </w:rPr>
          <w:t>Small Business Reorganizations – 11 U.S.C. § 1181 et seq.</w:t>
        </w:r>
        <w:r w:rsidR="00F758D4">
          <w:rPr>
            <w:noProof/>
            <w:webHidden/>
          </w:rPr>
          <w:tab/>
        </w:r>
        <w:r w:rsidR="00F758D4">
          <w:rPr>
            <w:noProof/>
            <w:webHidden/>
          </w:rPr>
          <w:fldChar w:fldCharType="begin"/>
        </w:r>
        <w:r w:rsidR="00F758D4">
          <w:rPr>
            <w:noProof/>
            <w:webHidden/>
          </w:rPr>
          <w:instrText xml:space="preserve"> PAGEREF _Toc90983826 \h </w:instrText>
        </w:r>
        <w:r w:rsidR="00F758D4">
          <w:rPr>
            <w:noProof/>
            <w:webHidden/>
          </w:rPr>
        </w:r>
        <w:r w:rsidR="00F758D4">
          <w:rPr>
            <w:noProof/>
            <w:webHidden/>
          </w:rPr>
          <w:fldChar w:fldCharType="separate"/>
        </w:r>
        <w:r w:rsidR="00F758D4">
          <w:rPr>
            <w:noProof/>
            <w:webHidden/>
          </w:rPr>
          <w:t>432</w:t>
        </w:r>
        <w:r w:rsidR="00F758D4">
          <w:rPr>
            <w:noProof/>
            <w:webHidden/>
          </w:rPr>
          <w:fldChar w:fldCharType="end"/>
        </w:r>
      </w:hyperlink>
    </w:p>
    <w:p w14:paraId="54F7BA0E" w14:textId="1BCA62A6" w:rsidR="00F758D4" w:rsidRDefault="007C1024">
      <w:pPr>
        <w:pStyle w:val="TOC3"/>
        <w:tabs>
          <w:tab w:val="left" w:pos="1680"/>
          <w:tab w:val="right" w:leader="dot" w:pos="9350"/>
        </w:tabs>
        <w:rPr>
          <w:rFonts w:asciiTheme="minorHAnsi" w:eastAsiaTheme="minorEastAsia" w:hAnsiTheme="minorHAnsi" w:cstheme="minorBidi"/>
          <w:noProof/>
          <w:color w:val="auto"/>
          <w:sz w:val="22"/>
          <w:szCs w:val="22"/>
        </w:rPr>
      </w:pPr>
      <w:hyperlink w:anchor="_Toc90983827" w:history="1">
        <w:r w:rsidR="00F758D4" w:rsidRPr="00C24B66">
          <w:rPr>
            <w:rStyle w:val="Hyperlink"/>
            <w:noProof/>
          </w:rPr>
          <w:t>13.13.1.</w:t>
        </w:r>
        <w:r w:rsidR="00F758D4">
          <w:rPr>
            <w:rFonts w:asciiTheme="minorHAnsi" w:eastAsiaTheme="minorEastAsia" w:hAnsiTheme="minorHAnsi" w:cstheme="minorBidi"/>
            <w:noProof/>
            <w:color w:val="auto"/>
            <w:sz w:val="22"/>
            <w:szCs w:val="22"/>
          </w:rPr>
          <w:tab/>
        </w:r>
        <w:r w:rsidR="00F758D4" w:rsidRPr="00C24B66">
          <w:rPr>
            <w:rStyle w:val="Hyperlink"/>
            <w:noProof/>
          </w:rPr>
          <w:t>Ted Lasso’s Small Business Reorganization Problem</w:t>
        </w:r>
        <w:r w:rsidR="00F758D4">
          <w:rPr>
            <w:noProof/>
            <w:webHidden/>
          </w:rPr>
          <w:tab/>
        </w:r>
        <w:r w:rsidR="00F758D4">
          <w:rPr>
            <w:noProof/>
            <w:webHidden/>
          </w:rPr>
          <w:fldChar w:fldCharType="begin"/>
        </w:r>
        <w:r w:rsidR="00F758D4">
          <w:rPr>
            <w:noProof/>
            <w:webHidden/>
          </w:rPr>
          <w:instrText xml:space="preserve"> PAGEREF _Toc90983827 \h </w:instrText>
        </w:r>
        <w:r w:rsidR="00F758D4">
          <w:rPr>
            <w:noProof/>
            <w:webHidden/>
          </w:rPr>
        </w:r>
        <w:r w:rsidR="00F758D4">
          <w:rPr>
            <w:noProof/>
            <w:webHidden/>
          </w:rPr>
          <w:fldChar w:fldCharType="separate"/>
        </w:r>
        <w:r w:rsidR="00F758D4">
          <w:rPr>
            <w:noProof/>
            <w:webHidden/>
          </w:rPr>
          <w:t>433</w:t>
        </w:r>
        <w:r w:rsidR="00F758D4">
          <w:rPr>
            <w:noProof/>
            <w:webHidden/>
          </w:rPr>
          <w:fldChar w:fldCharType="end"/>
        </w:r>
      </w:hyperlink>
    </w:p>
    <w:p w14:paraId="3EA97E68" w14:textId="693C0313" w:rsidR="00F758D4" w:rsidRDefault="007C1024">
      <w:pPr>
        <w:pStyle w:val="TOC1"/>
        <w:tabs>
          <w:tab w:val="left" w:pos="1440"/>
          <w:tab w:val="right" w:leader="dot" w:pos="9350"/>
        </w:tabs>
        <w:rPr>
          <w:rFonts w:asciiTheme="minorHAnsi" w:eastAsiaTheme="minorEastAsia" w:hAnsiTheme="minorHAnsi" w:cstheme="minorBidi"/>
          <w:b w:val="0"/>
          <w:bCs w:val="0"/>
          <w:noProof/>
          <w:color w:val="auto"/>
          <w:sz w:val="22"/>
          <w:szCs w:val="22"/>
        </w:rPr>
      </w:pPr>
      <w:hyperlink w:anchor="_Toc90983828" w:history="1">
        <w:r w:rsidR="00F758D4" w:rsidRPr="00C24B66">
          <w:rPr>
            <w:rStyle w:val="Hyperlink"/>
            <w:noProof/>
          </w:rPr>
          <w:t>Chapter 14.</w:t>
        </w:r>
        <w:r w:rsidR="00F758D4">
          <w:rPr>
            <w:rFonts w:asciiTheme="minorHAnsi" w:eastAsiaTheme="minorEastAsia" w:hAnsiTheme="minorHAnsi" w:cstheme="minorBidi"/>
            <w:b w:val="0"/>
            <w:bCs w:val="0"/>
            <w:noProof/>
            <w:color w:val="auto"/>
            <w:sz w:val="22"/>
            <w:szCs w:val="22"/>
          </w:rPr>
          <w:tab/>
        </w:r>
        <w:r w:rsidR="00F758D4" w:rsidRPr="00C24B66">
          <w:rPr>
            <w:rStyle w:val="Hyperlink"/>
            <w:noProof/>
          </w:rPr>
          <w:t>Protecting the Integrity of the Bankruptcy Process</w:t>
        </w:r>
        <w:r w:rsidR="00F758D4">
          <w:rPr>
            <w:noProof/>
            <w:webHidden/>
          </w:rPr>
          <w:tab/>
        </w:r>
        <w:r w:rsidR="00F758D4">
          <w:rPr>
            <w:noProof/>
            <w:webHidden/>
          </w:rPr>
          <w:fldChar w:fldCharType="begin"/>
        </w:r>
        <w:r w:rsidR="00F758D4">
          <w:rPr>
            <w:noProof/>
            <w:webHidden/>
          </w:rPr>
          <w:instrText xml:space="preserve"> PAGEREF _Toc90983828 \h </w:instrText>
        </w:r>
        <w:r w:rsidR="00F758D4">
          <w:rPr>
            <w:noProof/>
            <w:webHidden/>
          </w:rPr>
        </w:r>
        <w:r w:rsidR="00F758D4">
          <w:rPr>
            <w:noProof/>
            <w:webHidden/>
          </w:rPr>
          <w:fldChar w:fldCharType="separate"/>
        </w:r>
        <w:r w:rsidR="00F758D4">
          <w:rPr>
            <w:noProof/>
            <w:webHidden/>
          </w:rPr>
          <w:t>438</w:t>
        </w:r>
        <w:r w:rsidR="00F758D4">
          <w:rPr>
            <w:noProof/>
            <w:webHidden/>
          </w:rPr>
          <w:fldChar w:fldCharType="end"/>
        </w:r>
      </w:hyperlink>
    </w:p>
    <w:p w14:paraId="07633506" w14:textId="28EC933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29" w:history="1">
        <w:r w:rsidR="00F758D4" w:rsidRPr="00C24B66">
          <w:rPr>
            <w:rStyle w:val="Hyperlink"/>
            <w:noProof/>
          </w:rPr>
          <w:t>14.1.</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 RE LIONEL CORPORATION, 722 F.2d 1063 (2d Cir. 1983)</w:t>
        </w:r>
        <w:r w:rsidR="00F758D4">
          <w:rPr>
            <w:noProof/>
            <w:webHidden/>
          </w:rPr>
          <w:tab/>
        </w:r>
        <w:r w:rsidR="00F758D4">
          <w:rPr>
            <w:noProof/>
            <w:webHidden/>
          </w:rPr>
          <w:fldChar w:fldCharType="begin"/>
        </w:r>
        <w:r w:rsidR="00F758D4">
          <w:rPr>
            <w:noProof/>
            <w:webHidden/>
          </w:rPr>
          <w:instrText xml:space="preserve"> PAGEREF _Toc90983829 \h </w:instrText>
        </w:r>
        <w:r w:rsidR="00F758D4">
          <w:rPr>
            <w:noProof/>
            <w:webHidden/>
          </w:rPr>
        </w:r>
        <w:r w:rsidR="00F758D4">
          <w:rPr>
            <w:noProof/>
            <w:webHidden/>
          </w:rPr>
          <w:fldChar w:fldCharType="separate"/>
        </w:r>
        <w:r w:rsidR="00F758D4">
          <w:rPr>
            <w:noProof/>
            <w:webHidden/>
          </w:rPr>
          <w:t>438</w:t>
        </w:r>
        <w:r w:rsidR="00F758D4">
          <w:rPr>
            <w:noProof/>
            <w:webHidden/>
          </w:rPr>
          <w:fldChar w:fldCharType="end"/>
        </w:r>
      </w:hyperlink>
    </w:p>
    <w:p w14:paraId="03F5E779" w14:textId="4B6C489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0" w:history="1">
        <w:r w:rsidR="00F758D4" w:rsidRPr="00C24B66">
          <w:rPr>
            <w:rStyle w:val="Hyperlink"/>
            <w:noProof/>
          </w:rPr>
          <w:t>14.2.</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 RE CHRYSLER, 576 F.3d 108 (2d Cir. 2009)</w:t>
        </w:r>
        <w:r w:rsidR="00F758D4">
          <w:rPr>
            <w:noProof/>
            <w:webHidden/>
          </w:rPr>
          <w:tab/>
        </w:r>
        <w:r w:rsidR="00F758D4">
          <w:rPr>
            <w:noProof/>
            <w:webHidden/>
          </w:rPr>
          <w:fldChar w:fldCharType="begin"/>
        </w:r>
        <w:r w:rsidR="00F758D4">
          <w:rPr>
            <w:noProof/>
            <w:webHidden/>
          </w:rPr>
          <w:instrText xml:space="preserve"> PAGEREF _Toc90983830 \h </w:instrText>
        </w:r>
        <w:r w:rsidR="00F758D4">
          <w:rPr>
            <w:noProof/>
            <w:webHidden/>
          </w:rPr>
        </w:r>
        <w:r w:rsidR="00F758D4">
          <w:rPr>
            <w:noProof/>
            <w:webHidden/>
          </w:rPr>
          <w:fldChar w:fldCharType="separate"/>
        </w:r>
        <w:r w:rsidR="00F758D4">
          <w:rPr>
            <w:noProof/>
            <w:webHidden/>
          </w:rPr>
          <w:t>442</w:t>
        </w:r>
        <w:r w:rsidR="00F758D4">
          <w:rPr>
            <w:noProof/>
            <w:webHidden/>
          </w:rPr>
          <w:fldChar w:fldCharType="end"/>
        </w:r>
      </w:hyperlink>
    </w:p>
    <w:p w14:paraId="0BBDBA98" w14:textId="4D5B7CD0"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1" w:history="1">
        <w:r w:rsidR="00F758D4" w:rsidRPr="00C24B66">
          <w:rPr>
            <w:rStyle w:val="Hyperlink"/>
            <w:noProof/>
          </w:rPr>
          <w:t>14.3.</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 THE MATTER OF KMART CORPORATION, 359 F.3d 866 (7th Cir. 2004)</w:t>
        </w:r>
        <w:r w:rsidR="00F758D4">
          <w:rPr>
            <w:noProof/>
            <w:webHidden/>
          </w:rPr>
          <w:tab/>
        </w:r>
        <w:r w:rsidR="00F758D4">
          <w:rPr>
            <w:noProof/>
            <w:webHidden/>
          </w:rPr>
          <w:fldChar w:fldCharType="begin"/>
        </w:r>
        <w:r w:rsidR="00F758D4">
          <w:rPr>
            <w:noProof/>
            <w:webHidden/>
          </w:rPr>
          <w:instrText xml:space="preserve"> PAGEREF _Toc90983831 \h </w:instrText>
        </w:r>
        <w:r w:rsidR="00F758D4">
          <w:rPr>
            <w:noProof/>
            <w:webHidden/>
          </w:rPr>
        </w:r>
        <w:r w:rsidR="00F758D4">
          <w:rPr>
            <w:noProof/>
            <w:webHidden/>
          </w:rPr>
          <w:fldChar w:fldCharType="separate"/>
        </w:r>
        <w:r w:rsidR="00F758D4">
          <w:rPr>
            <w:noProof/>
            <w:webHidden/>
          </w:rPr>
          <w:t>447</w:t>
        </w:r>
        <w:r w:rsidR="00F758D4">
          <w:rPr>
            <w:noProof/>
            <w:webHidden/>
          </w:rPr>
          <w:fldChar w:fldCharType="end"/>
        </w:r>
      </w:hyperlink>
    </w:p>
    <w:p w14:paraId="08ABFE16" w14:textId="1FA159F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2" w:history="1">
        <w:r w:rsidR="00F758D4" w:rsidRPr="00C24B66">
          <w:rPr>
            <w:rStyle w:val="Hyperlink"/>
            <w:noProof/>
          </w:rPr>
          <w:t>14.4.</w:t>
        </w:r>
        <w:r w:rsidR="00F758D4">
          <w:rPr>
            <w:rFonts w:asciiTheme="minorHAnsi" w:eastAsiaTheme="minorEastAsia" w:hAnsiTheme="minorHAnsi" w:cstheme="minorBidi"/>
            <w:iCs w:val="0"/>
            <w:noProof/>
            <w:color w:val="auto"/>
            <w:sz w:val="22"/>
            <w:szCs w:val="22"/>
          </w:rPr>
          <w:tab/>
        </w:r>
        <w:r w:rsidR="00F758D4" w:rsidRPr="00C24B66">
          <w:rPr>
            <w:rStyle w:val="Hyperlink"/>
            <w:noProof/>
          </w:rPr>
          <w:t>Reconfiguring the Bankruptcy Estate: Substantive Consolidation</w:t>
        </w:r>
        <w:r w:rsidR="00F758D4">
          <w:rPr>
            <w:noProof/>
            <w:webHidden/>
          </w:rPr>
          <w:tab/>
        </w:r>
        <w:r w:rsidR="00F758D4">
          <w:rPr>
            <w:noProof/>
            <w:webHidden/>
          </w:rPr>
          <w:fldChar w:fldCharType="begin"/>
        </w:r>
        <w:r w:rsidR="00F758D4">
          <w:rPr>
            <w:noProof/>
            <w:webHidden/>
          </w:rPr>
          <w:instrText xml:space="preserve"> PAGEREF _Toc90983832 \h </w:instrText>
        </w:r>
        <w:r w:rsidR="00F758D4">
          <w:rPr>
            <w:noProof/>
            <w:webHidden/>
          </w:rPr>
        </w:r>
        <w:r w:rsidR="00F758D4">
          <w:rPr>
            <w:noProof/>
            <w:webHidden/>
          </w:rPr>
          <w:fldChar w:fldCharType="separate"/>
        </w:r>
        <w:r w:rsidR="00F758D4">
          <w:rPr>
            <w:noProof/>
            <w:webHidden/>
          </w:rPr>
          <w:t>450</w:t>
        </w:r>
        <w:r w:rsidR="00F758D4">
          <w:rPr>
            <w:noProof/>
            <w:webHidden/>
          </w:rPr>
          <w:fldChar w:fldCharType="end"/>
        </w:r>
      </w:hyperlink>
    </w:p>
    <w:p w14:paraId="493F538E" w14:textId="687361B9" w:rsidR="00F758D4" w:rsidRDefault="007C1024">
      <w:pPr>
        <w:pStyle w:val="TOC3"/>
        <w:tabs>
          <w:tab w:val="left" w:pos="1440"/>
          <w:tab w:val="right" w:leader="dot" w:pos="9350"/>
        </w:tabs>
        <w:rPr>
          <w:rFonts w:asciiTheme="minorHAnsi" w:eastAsiaTheme="minorEastAsia" w:hAnsiTheme="minorHAnsi" w:cstheme="minorBidi"/>
          <w:noProof/>
          <w:color w:val="auto"/>
          <w:sz w:val="22"/>
          <w:szCs w:val="22"/>
        </w:rPr>
      </w:pPr>
      <w:hyperlink w:anchor="_Toc90983833" w:history="1">
        <w:r w:rsidR="00F758D4" w:rsidRPr="00C24B66">
          <w:rPr>
            <w:rStyle w:val="Hyperlink"/>
            <w:noProof/>
          </w:rPr>
          <w:t>14.4.1.</w:t>
        </w:r>
        <w:r w:rsidR="00F758D4">
          <w:rPr>
            <w:rFonts w:asciiTheme="minorHAnsi" w:eastAsiaTheme="minorEastAsia" w:hAnsiTheme="minorHAnsi" w:cstheme="minorBidi"/>
            <w:noProof/>
            <w:color w:val="auto"/>
            <w:sz w:val="22"/>
            <w:szCs w:val="22"/>
          </w:rPr>
          <w:tab/>
        </w:r>
        <w:r w:rsidR="00F758D4" w:rsidRPr="00C24B66">
          <w:rPr>
            <w:rStyle w:val="Hyperlink"/>
            <w:noProof/>
          </w:rPr>
          <w:t>IN RE OWENS CORNING, 419 F.3d 195 (3d Cir. 2005)</w:t>
        </w:r>
        <w:r w:rsidR="00F758D4">
          <w:rPr>
            <w:noProof/>
            <w:webHidden/>
          </w:rPr>
          <w:tab/>
        </w:r>
        <w:r w:rsidR="00F758D4">
          <w:rPr>
            <w:noProof/>
            <w:webHidden/>
          </w:rPr>
          <w:fldChar w:fldCharType="begin"/>
        </w:r>
        <w:r w:rsidR="00F758D4">
          <w:rPr>
            <w:noProof/>
            <w:webHidden/>
          </w:rPr>
          <w:instrText xml:space="preserve"> PAGEREF _Toc90983833 \h </w:instrText>
        </w:r>
        <w:r w:rsidR="00F758D4">
          <w:rPr>
            <w:noProof/>
            <w:webHidden/>
          </w:rPr>
        </w:r>
        <w:r w:rsidR="00F758D4">
          <w:rPr>
            <w:noProof/>
            <w:webHidden/>
          </w:rPr>
          <w:fldChar w:fldCharType="separate"/>
        </w:r>
        <w:r w:rsidR="00F758D4">
          <w:rPr>
            <w:noProof/>
            <w:webHidden/>
          </w:rPr>
          <w:t>451</w:t>
        </w:r>
        <w:r w:rsidR="00F758D4">
          <w:rPr>
            <w:noProof/>
            <w:webHidden/>
          </w:rPr>
          <w:fldChar w:fldCharType="end"/>
        </w:r>
      </w:hyperlink>
    </w:p>
    <w:p w14:paraId="1D7545F4" w14:textId="314409B2"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34" w:history="1">
        <w:r w:rsidR="00F758D4" w:rsidRPr="00C24B66">
          <w:rPr>
            <w:rStyle w:val="Hyperlink"/>
            <w:noProof/>
          </w:rPr>
          <w:t>Appendix A. The Fair Debt Collection Practices Act</w:t>
        </w:r>
        <w:r w:rsidR="00F758D4">
          <w:rPr>
            <w:noProof/>
            <w:webHidden/>
          </w:rPr>
          <w:tab/>
        </w:r>
        <w:r w:rsidR="00F758D4">
          <w:rPr>
            <w:noProof/>
            <w:webHidden/>
          </w:rPr>
          <w:fldChar w:fldCharType="begin"/>
        </w:r>
        <w:r w:rsidR="00F758D4">
          <w:rPr>
            <w:noProof/>
            <w:webHidden/>
          </w:rPr>
          <w:instrText xml:space="preserve"> PAGEREF _Toc90983834 \h </w:instrText>
        </w:r>
        <w:r w:rsidR="00F758D4">
          <w:rPr>
            <w:noProof/>
            <w:webHidden/>
          </w:rPr>
        </w:r>
        <w:r w:rsidR="00F758D4">
          <w:rPr>
            <w:noProof/>
            <w:webHidden/>
          </w:rPr>
          <w:fldChar w:fldCharType="separate"/>
        </w:r>
        <w:r w:rsidR="00F758D4">
          <w:rPr>
            <w:noProof/>
            <w:webHidden/>
          </w:rPr>
          <w:t>457</w:t>
        </w:r>
        <w:r w:rsidR="00F758D4">
          <w:rPr>
            <w:noProof/>
            <w:webHidden/>
          </w:rPr>
          <w:fldChar w:fldCharType="end"/>
        </w:r>
      </w:hyperlink>
    </w:p>
    <w:p w14:paraId="3709738A" w14:textId="6D4ED46E"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35" w:history="1">
        <w:r w:rsidR="00F758D4" w:rsidRPr="00C24B66">
          <w:rPr>
            <w:rStyle w:val="Hyperlink"/>
            <w:noProof/>
          </w:rPr>
          <w:t>Appendix B. Federal Wage Garnishment Limits</w:t>
        </w:r>
        <w:r w:rsidR="00F758D4">
          <w:rPr>
            <w:noProof/>
            <w:webHidden/>
          </w:rPr>
          <w:tab/>
        </w:r>
        <w:r w:rsidR="00F758D4">
          <w:rPr>
            <w:noProof/>
            <w:webHidden/>
          </w:rPr>
          <w:fldChar w:fldCharType="begin"/>
        </w:r>
        <w:r w:rsidR="00F758D4">
          <w:rPr>
            <w:noProof/>
            <w:webHidden/>
          </w:rPr>
          <w:instrText xml:space="preserve"> PAGEREF _Toc90983835 \h </w:instrText>
        </w:r>
        <w:r w:rsidR="00F758D4">
          <w:rPr>
            <w:noProof/>
            <w:webHidden/>
          </w:rPr>
        </w:r>
        <w:r w:rsidR="00F758D4">
          <w:rPr>
            <w:noProof/>
            <w:webHidden/>
          </w:rPr>
          <w:fldChar w:fldCharType="separate"/>
        </w:r>
        <w:r w:rsidR="00F758D4">
          <w:rPr>
            <w:noProof/>
            <w:webHidden/>
          </w:rPr>
          <w:t>465</w:t>
        </w:r>
        <w:r w:rsidR="00F758D4">
          <w:rPr>
            <w:noProof/>
            <w:webHidden/>
          </w:rPr>
          <w:fldChar w:fldCharType="end"/>
        </w:r>
      </w:hyperlink>
    </w:p>
    <w:p w14:paraId="00A23D11" w14:textId="2C979A31"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36" w:history="1">
        <w:r w:rsidR="00F758D4" w:rsidRPr="00C24B66">
          <w:rPr>
            <w:rStyle w:val="Hyperlink"/>
            <w:noProof/>
          </w:rPr>
          <w:t>Appendix C. New York Exemptions</w:t>
        </w:r>
        <w:r w:rsidR="00F758D4">
          <w:rPr>
            <w:noProof/>
            <w:webHidden/>
          </w:rPr>
          <w:tab/>
        </w:r>
        <w:r w:rsidR="00F758D4">
          <w:rPr>
            <w:noProof/>
            <w:webHidden/>
          </w:rPr>
          <w:fldChar w:fldCharType="begin"/>
        </w:r>
        <w:r w:rsidR="00F758D4">
          <w:rPr>
            <w:noProof/>
            <w:webHidden/>
          </w:rPr>
          <w:instrText xml:space="preserve"> PAGEREF _Toc90983836 \h </w:instrText>
        </w:r>
        <w:r w:rsidR="00F758D4">
          <w:rPr>
            <w:noProof/>
            <w:webHidden/>
          </w:rPr>
        </w:r>
        <w:r w:rsidR="00F758D4">
          <w:rPr>
            <w:noProof/>
            <w:webHidden/>
          </w:rPr>
          <w:fldChar w:fldCharType="separate"/>
        </w:r>
        <w:r w:rsidR="00F758D4">
          <w:rPr>
            <w:noProof/>
            <w:webHidden/>
          </w:rPr>
          <w:t>467</w:t>
        </w:r>
        <w:r w:rsidR="00F758D4">
          <w:rPr>
            <w:noProof/>
            <w:webHidden/>
          </w:rPr>
          <w:fldChar w:fldCharType="end"/>
        </w:r>
      </w:hyperlink>
    </w:p>
    <w:p w14:paraId="6B0D7709" w14:textId="4CFE4174"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7" w:history="1">
        <w:r w:rsidR="00F758D4" w:rsidRPr="00C24B66">
          <w:rPr>
            <w:rStyle w:val="Hyperlink"/>
            <w:noProof/>
          </w:rPr>
          <w:t>C.1.</w:t>
        </w:r>
        <w:r w:rsidR="00F758D4">
          <w:rPr>
            <w:rFonts w:asciiTheme="minorHAnsi" w:eastAsiaTheme="minorEastAsia" w:hAnsiTheme="minorHAnsi" w:cstheme="minorBidi"/>
            <w:iCs w:val="0"/>
            <w:noProof/>
            <w:color w:val="auto"/>
            <w:sz w:val="22"/>
            <w:szCs w:val="22"/>
          </w:rPr>
          <w:tab/>
        </w:r>
        <w:r w:rsidR="00F758D4" w:rsidRPr="00C24B66">
          <w:rPr>
            <w:rStyle w:val="Hyperlink"/>
            <w:noProof/>
          </w:rPr>
          <w:t>CPLR § 5201. Debt or property subject to enforcement;  proper garnishee.</w:t>
        </w:r>
        <w:r w:rsidR="00F758D4">
          <w:rPr>
            <w:noProof/>
            <w:webHidden/>
          </w:rPr>
          <w:tab/>
        </w:r>
        <w:r w:rsidR="00F758D4">
          <w:rPr>
            <w:noProof/>
            <w:webHidden/>
          </w:rPr>
          <w:fldChar w:fldCharType="begin"/>
        </w:r>
        <w:r w:rsidR="00F758D4">
          <w:rPr>
            <w:noProof/>
            <w:webHidden/>
          </w:rPr>
          <w:instrText xml:space="preserve"> PAGEREF _Toc90983837 \h </w:instrText>
        </w:r>
        <w:r w:rsidR="00F758D4">
          <w:rPr>
            <w:noProof/>
            <w:webHidden/>
          </w:rPr>
        </w:r>
        <w:r w:rsidR="00F758D4">
          <w:rPr>
            <w:noProof/>
            <w:webHidden/>
          </w:rPr>
          <w:fldChar w:fldCharType="separate"/>
        </w:r>
        <w:r w:rsidR="00F758D4">
          <w:rPr>
            <w:noProof/>
            <w:webHidden/>
          </w:rPr>
          <w:t>467</w:t>
        </w:r>
        <w:r w:rsidR="00F758D4">
          <w:rPr>
            <w:noProof/>
            <w:webHidden/>
          </w:rPr>
          <w:fldChar w:fldCharType="end"/>
        </w:r>
      </w:hyperlink>
    </w:p>
    <w:p w14:paraId="7E9C8782" w14:textId="458BA275"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8" w:history="1">
        <w:r w:rsidR="00F758D4" w:rsidRPr="00C24B66">
          <w:rPr>
            <w:rStyle w:val="Hyperlink"/>
            <w:noProof/>
          </w:rPr>
          <w:t>C.2.</w:t>
        </w:r>
        <w:r w:rsidR="00F758D4">
          <w:rPr>
            <w:rFonts w:asciiTheme="minorHAnsi" w:eastAsiaTheme="minorEastAsia" w:hAnsiTheme="minorHAnsi" w:cstheme="minorBidi"/>
            <w:iCs w:val="0"/>
            <w:noProof/>
            <w:color w:val="auto"/>
            <w:sz w:val="22"/>
            <w:szCs w:val="22"/>
          </w:rPr>
          <w:tab/>
        </w:r>
        <w:r w:rsidR="00F758D4" w:rsidRPr="00C24B66">
          <w:rPr>
            <w:rStyle w:val="Hyperlink"/>
            <w:noProof/>
          </w:rPr>
          <w:t>CPLR § 5202. Judgment creditor's rights in personal property.</w:t>
        </w:r>
        <w:r w:rsidR="00F758D4">
          <w:rPr>
            <w:noProof/>
            <w:webHidden/>
          </w:rPr>
          <w:tab/>
        </w:r>
        <w:r w:rsidR="00F758D4">
          <w:rPr>
            <w:noProof/>
            <w:webHidden/>
          </w:rPr>
          <w:fldChar w:fldCharType="begin"/>
        </w:r>
        <w:r w:rsidR="00F758D4">
          <w:rPr>
            <w:noProof/>
            <w:webHidden/>
          </w:rPr>
          <w:instrText xml:space="preserve"> PAGEREF _Toc90983838 \h </w:instrText>
        </w:r>
        <w:r w:rsidR="00F758D4">
          <w:rPr>
            <w:noProof/>
            <w:webHidden/>
          </w:rPr>
        </w:r>
        <w:r w:rsidR="00F758D4">
          <w:rPr>
            <w:noProof/>
            <w:webHidden/>
          </w:rPr>
          <w:fldChar w:fldCharType="separate"/>
        </w:r>
        <w:r w:rsidR="00F758D4">
          <w:rPr>
            <w:noProof/>
            <w:webHidden/>
          </w:rPr>
          <w:t>467</w:t>
        </w:r>
        <w:r w:rsidR="00F758D4">
          <w:rPr>
            <w:noProof/>
            <w:webHidden/>
          </w:rPr>
          <w:fldChar w:fldCharType="end"/>
        </w:r>
      </w:hyperlink>
    </w:p>
    <w:p w14:paraId="5607798A" w14:textId="7F7BC272"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39" w:history="1">
        <w:r w:rsidR="00F758D4" w:rsidRPr="00C24B66">
          <w:rPr>
            <w:rStyle w:val="Hyperlink"/>
            <w:noProof/>
          </w:rPr>
          <w:t>C.3.</w:t>
        </w:r>
        <w:r w:rsidR="00F758D4">
          <w:rPr>
            <w:rFonts w:asciiTheme="minorHAnsi" w:eastAsiaTheme="minorEastAsia" w:hAnsiTheme="minorHAnsi" w:cstheme="minorBidi"/>
            <w:iCs w:val="0"/>
            <w:noProof/>
            <w:color w:val="auto"/>
            <w:sz w:val="22"/>
            <w:szCs w:val="22"/>
          </w:rPr>
          <w:tab/>
        </w:r>
        <w:r w:rsidR="00F758D4" w:rsidRPr="00C24B66">
          <w:rPr>
            <w:rStyle w:val="Hyperlink"/>
            <w:noProof/>
          </w:rPr>
          <w:t>CPLR § 5203. Priorities and liens upon real property.</w:t>
        </w:r>
        <w:r w:rsidR="00F758D4">
          <w:rPr>
            <w:noProof/>
            <w:webHidden/>
          </w:rPr>
          <w:tab/>
        </w:r>
        <w:r w:rsidR="00F758D4">
          <w:rPr>
            <w:noProof/>
            <w:webHidden/>
          </w:rPr>
          <w:fldChar w:fldCharType="begin"/>
        </w:r>
        <w:r w:rsidR="00F758D4">
          <w:rPr>
            <w:noProof/>
            <w:webHidden/>
          </w:rPr>
          <w:instrText xml:space="preserve"> PAGEREF _Toc90983839 \h </w:instrText>
        </w:r>
        <w:r w:rsidR="00F758D4">
          <w:rPr>
            <w:noProof/>
            <w:webHidden/>
          </w:rPr>
        </w:r>
        <w:r w:rsidR="00F758D4">
          <w:rPr>
            <w:noProof/>
            <w:webHidden/>
          </w:rPr>
          <w:fldChar w:fldCharType="separate"/>
        </w:r>
        <w:r w:rsidR="00F758D4">
          <w:rPr>
            <w:noProof/>
            <w:webHidden/>
          </w:rPr>
          <w:t>468</w:t>
        </w:r>
        <w:r w:rsidR="00F758D4">
          <w:rPr>
            <w:noProof/>
            <w:webHidden/>
          </w:rPr>
          <w:fldChar w:fldCharType="end"/>
        </w:r>
      </w:hyperlink>
    </w:p>
    <w:p w14:paraId="77CE91F3" w14:textId="3DC3805B"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0" w:history="1">
        <w:r w:rsidR="00F758D4" w:rsidRPr="00C24B66">
          <w:rPr>
            <w:rStyle w:val="Hyperlink"/>
            <w:noProof/>
          </w:rPr>
          <w:t>C.4</w:t>
        </w:r>
        <w:r w:rsidR="00F758D4">
          <w:rPr>
            <w:rFonts w:asciiTheme="minorHAnsi" w:eastAsiaTheme="minorEastAsia" w:hAnsiTheme="minorHAnsi" w:cstheme="minorBidi"/>
            <w:iCs w:val="0"/>
            <w:noProof/>
            <w:color w:val="auto"/>
            <w:sz w:val="22"/>
            <w:szCs w:val="22"/>
          </w:rPr>
          <w:tab/>
        </w:r>
        <w:r w:rsidR="00F758D4" w:rsidRPr="00C24B66">
          <w:rPr>
            <w:rStyle w:val="Hyperlink"/>
            <w:noProof/>
          </w:rPr>
          <w:t>CPLR § 5205. Personal property exempt from application to the satisfaction of money judgments.</w:t>
        </w:r>
        <w:r w:rsidR="00F758D4">
          <w:rPr>
            <w:noProof/>
            <w:webHidden/>
          </w:rPr>
          <w:tab/>
        </w:r>
        <w:r w:rsidR="00F758D4">
          <w:rPr>
            <w:noProof/>
            <w:webHidden/>
          </w:rPr>
          <w:fldChar w:fldCharType="begin"/>
        </w:r>
        <w:r w:rsidR="00F758D4">
          <w:rPr>
            <w:noProof/>
            <w:webHidden/>
          </w:rPr>
          <w:instrText xml:space="preserve"> PAGEREF _Toc90983840 \h </w:instrText>
        </w:r>
        <w:r w:rsidR="00F758D4">
          <w:rPr>
            <w:noProof/>
            <w:webHidden/>
          </w:rPr>
        </w:r>
        <w:r w:rsidR="00F758D4">
          <w:rPr>
            <w:noProof/>
            <w:webHidden/>
          </w:rPr>
          <w:fldChar w:fldCharType="separate"/>
        </w:r>
        <w:r w:rsidR="00F758D4">
          <w:rPr>
            <w:noProof/>
            <w:webHidden/>
          </w:rPr>
          <w:t>469</w:t>
        </w:r>
        <w:r w:rsidR="00F758D4">
          <w:rPr>
            <w:noProof/>
            <w:webHidden/>
          </w:rPr>
          <w:fldChar w:fldCharType="end"/>
        </w:r>
      </w:hyperlink>
    </w:p>
    <w:p w14:paraId="4AC209EB" w14:textId="5AC4D296"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1" w:history="1">
        <w:r w:rsidR="00F758D4" w:rsidRPr="00C24B66">
          <w:rPr>
            <w:rStyle w:val="Hyperlink"/>
            <w:noProof/>
          </w:rPr>
          <w:t>C.5.</w:t>
        </w:r>
        <w:r w:rsidR="00F758D4">
          <w:rPr>
            <w:rFonts w:asciiTheme="minorHAnsi" w:eastAsiaTheme="minorEastAsia" w:hAnsiTheme="minorHAnsi" w:cstheme="minorBidi"/>
            <w:iCs w:val="0"/>
            <w:noProof/>
            <w:color w:val="auto"/>
            <w:sz w:val="22"/>
            <w:szCs w:val="22"/>
          </w:rPr>
          <w:tab/>
        </w:r>
        <w:r w:rsidR="00F758D4" w:rsidRPr="00C24B66">
          <w:rPr>
            <w:rStyle w:val="Hyperlink"/>
            <w:noProof/>
          </w:rPr>
          <w:t>CPLR § 5206. Real property exempt from application to the satisfaction of money judgments.</w:t>
        </w:r>
        <w:r w:rsidR="00F758D4">
          <w:rPr>
            <w:noProof/>
            <w:webHidden/>
          </w:rPr>
          <w:tab/>
        </w:r>
        <w:r w:rsidR="00F758D4">
          <w:rPr>
            <w:noProof/>
            <w:webHidden/>
          </w:rPr>
          <w:fldChar w:fldCharType="begin"/>
        </w:r>
        <w:r w:rsidR="00F758D4">
          <w:rPr>
            <w:noProof/>
            <w:webHidden/>
          </w:rPr>
          <w:instrText xml:space="preserve"> PAGEREF _Toc90983841 \h </w:instrText>
        </w:r>
        <w:r w:rsidR="00F758D4">
          <w:rPr>
            <w:noProof/>
            <w:webHidden/>
          </w:rPr>
        </w:r>
        <w:r w:rsidR="00F758D4">
          <w:rPr>
            <w:noProof/>
            <w:webHidden/>
          </w:rPr>
          <w:fldChar w:fldCharType="separate"/>
        </w:r>
        <w:r w:rsidR="00F758D4">
          <w:rPr>
            <w:noProof/>
            <w:webHidden/>
          </w:rPr>
          <w:t>470</w:t>
        </w:r>
        <w:r w:rsidR="00F758D4">
          <w:rPr>
            <w:noProof/>
            <w:webHidden/>
          </w:rPr>
          <w:fldChar w:fldCharType="end"/>
        </w:r>
      </w:hyperlink>
    </w:p>
    <w:p w14:paraId="110352EB" w14:textId="6130B32E"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2" w:history="1">
        <w:r w:rsidR="00F758D4" w:rsidRPr="00C24B66">
          <w:rPr>
            <w:rStyle w:val="Hyperlink"/>
            <w:noProof/>
          </w:rPr>
          <w:t>C.6.</w:t>
        </w:r>
        <w:r w:rsidR="00F758D4">
          <w:rPr>
            <w:rFonts w:asciiTheme="minorHAnsi" w:eastAsiaTheme="minorEastAsia" w:hAnsiTheme="minorHAnsi" w:cstheme="minorBidi"/>
            <w:iCs w:val="0"/>
            <w:noProof/>
            <w:color w:val="auto"/>
            <w:sz w:val="22"/>
            <w:szCs w:val="22"/>
          </w:rPr>
          <w:tab/>
        </w:r>
        <w:r w:rsidR="00F758D4" w:rsidRPr="00C24B66">
          <w:rPr>
            <w:rStyle w:val="Hyperlink"/>
            <w:noProof/>
          </w:rPr>
          <w:t>New York Debtor Creditor Law, Art. 10A, § 282.</w:t>
        </w:r>
        <w:r w:rsidR="00F758D4">
          <w:rPr>
            <w:noProof/>
            <w:webHidden/>
          </w:rPr>
          <w:tab/>
        </w:r>
        <w:r w:rsidR="00F758D4">
          <w:rPr>
            <w:noProof/>
            <w:webHidden/>
          </w:rPr>
          <w:fldChar w:fldCharType="begin"/>
        </w:r>
        <w:r w:rsidR="00F758D4">
          <w:rPr>
            <w:noProof/>
            <w:webHidden/>
          </w:rPr>
          <w:instrText xml:space="preserve"> PAGEREF _Toc90983842 \h </w:instrText>
        </w:r>
        <w:r w:rsidR="00F758D4">
          <w:rPr>
            <w:noProof/>
            <w:webHidden/>
          </w:rPr>
        </w:r>
        <w:r w:rsidR="00F758D4">
          <w:rPr>
            <w:noProof/>
            <w:webHidden/>
          </w:rPr>
          <w:fldChar w:fldCharType="separate"/>
        </w:r>
        <w:r w:rsidR="00F758D4">
          <w:rPr>
            <w:noProof/>
            <w:webHidden/>
          </w:rPr>
          <w:t>471</w:t>
        </w:r>
        <w:r w:rsidR="00F758D4">
          <w:rPr>
            <w:noProof/>
            <w:webHidden/>
          </w:rPr>
          <w:fldChar w:fldCharType="end"/>
        </w:r>
      </w:hyperlink>
    </w:p>
    <w:p w14:paraId="4790ACFB" w14:textId="6ECA8F5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3" w:history="1">
        <w:r w:rsidR="00F758D4" w:rsidRPr="00C24B66">
          <w:rPr>
            <w:rStyle w:val="Hyperlink"/>
            <w:noProof/>
          </w:rPr>
          <w:t>C.7.</w:t>
        </w:r>
        <w:r w:rsidR="00F758D4">
          <w:rPr>
            <w:rFonts w:asciiTheme="minorHAnsi" w:eastAsiaTheme="minorEastAsia" w:hAnsiTheme="minorHAnsi" w:cstheme="minorBidi"/>
            <w:iCs w:val="0"/>
            <w:noProof/>
            <w:color w:val="auto"/>
            <w:sz w:val="22"/>
            <w:szCs w:val="22"/>
          </w:rPr>
          <w:tab/>
        </w:r>
        <w:r w:rsidR="00F758D4" w:rsidRPr="00C24B66">
          <w:rPr>
            <w:rStyle w:val="Hyperlink"/>
            <w:noProof/>
          </w:rPr>
          <w:t>New York Debtor Creditor Law, Art. 10A, § 283.</w:t>
        </w:r>
        <w:r w:rsidR="00F758D4">
          <w:rPr>
            <w:noProof/>
            <w:webHidden/>
          </w:rPr>
          <w:tab/>
        </w:r>
        <w:r w:rsidR="00F758D4">
          <w:rPr>
            <w:noProof/>
            <w:webHidden/>
          </w:rPr>
          <w:fldChar w:fldCharType="begin"/>
        </w:r>
        <w:r w:rsidR="00F758D4">
          <w:rPr>
            <w:noProof/>
            <w:webHidden/>
          </w:rPr>
          <w:instrText xml:space="preserve"> PAGEREF _Toc90983843 \h </w:instrText>
        </w:r>
        <w:r w:rsidR="00F758D4">
          <w:rPr>
            <w:noProof/>
            <w:webHidden/>
          </w:rPr>
        </w:r>
        <w:r w:rsidR="00F758D4">
          <w:rPr>
            <w:noProof/>
            <w:webHidden/>
          </w:rPr>
          <w:fldChar w:fldCharType="separate"/>
        </w:r>
        <w:r w:rsidR="00F758D4">
          <w:rPr>
            <w:noProof/>
            <w:webHidden/>
          </w:rPr>
          <w:t>472</w:t>
        </w:r>
        <w:r w:rsidR="00F758D4">
          <w:rPr>
            <w:noProof/>
            <w:webHidden/>
          </w:rPr>
          <w:fldChar w:fldCharType="end"/>
        </w:r>
      </w:hyperlink>
    </w:p>
    <w:p w14:paraId="1448E816" w14:textId="4C6726FC"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4" w:history="1">
        <w:r w:rsidR="00F758D4" w:rsidRPr="00C24B66">
          <w:rPr>
            <w:rStyle w:val="Hyperlink"/>
            <w:noProof/>
          </w:rPr>
          <w:t>C.8.</w:t>
        </w:r>
        <w:r w:rsidR="00F758D4">
          <w:rPr>
            <w:rFonts w:asciiTheme="minorHAnsi" w:eastAsiaTheme="minorEastAsia" w:hAnsiTheme="minorHAnsi" w:cstheme="minorBidi"/>
            <w:iCs w:val="0"/>
            <w:noProof/>
            <w:color w:val="auto"/>
            <w:sz w:val="22"/>
            <w:szCs w:val="22"/>
          </w:rPr>
          <w:tab/>
        </w:r>
        <w:r w:rsidR="00F758D4" w:rsidRPr="00C24B66">
          <w:rPr>
            <w:rStyle w:val="Hyperlink"/>
            <w:noProof/>
          </w:rPr>
          <w:t>New York Debtor Creditor Law, Art. 10A, § 284 [OLD].</w:t>
        </w:r>
        <w:r w:rsidR="00F758D4">
          <w:rPr>
            <w:noProof/>
            <w:webHidden/>
          </w:rPr>
          <w:tab/>
        </w:r>
        <w:r w:rsidR="00F758D4">
          <w:rPr>
            <w:noProof/>
            <w:webHidden/>
          </w:rPr>
          <w:fldChar w:fldCharType="begin"/>
        </w:r>
        <w:r w:rsidR="00F758D4">
          <w:rPr>
            <w:noProof/>
            <w:webHidden/>
          </w:rPr>
          <w:instrText xml:space="preserve"> PAGEREF _Toc90983844 \h </w:instrText>
        </w:r>
        <w:r w:rsidR="00F758D4">
          <w:rPr>
            <w:noProof/>
            <w:webHidden/>
          </w:rPr>
        </w:r>
        <w:r w:rsidR="00F758D4">
          <w:rPr>
            <w:noProof/>
            <w:webHidden/>
          </w:rPr>
          <w:fldChar w:fldCharType="separate"/>
        </w:r>
        <w:r w:rsidR="00F758D4">
          <w:rPr>
            <w:noProof/>
            <w:webHidden/>
          </w:rPr>
          <w:t>473</w:t>
        </w:r>
        <w:r w:rsidR="00F758D4">
          <w:rPr>
            <w:noProof/>
            <w:webHidden/>
          </w:rPr>
          <w:fldChar w:fldCharType="end"/>
        </w:r>
      </w:hyperlink>
    </w:p>
    <w:p w14:paraId="4BFC51BC" w14:textId="52B6F82F"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5" w:history="1">
        <w:r w:rsidR="00F758D4" w:rsidRPr="00C24B66">
          <w:rPr>
            <w:rStyle w:val="Hyperlink"/>
            <w:noProof/>
          </w:rPr>
          <w:t>C.9.</w:t>
        </w:r>
        <w:r w:rsidR="00F758D4">
          <w:rPr>
            <w:rFonts w:asciiTheme="minorHAnsi" w:eastAsiaTheme="minorEastAsia" w:hAnsiTheme="minorHAnsi" w:cstheme="minorBidi"/>
            <w:iCs w:val="0"/>
            <w:noProof/>
            <w:color w:val="auto"/>
            <w:sz w:val="22"/>
            <w:szCs w:val="22"/>
          </w:rPr>
          <w:tab/>
        </w:r>
        <w:r w:rsidR="00F758D4" w:rsidRPr="00C24B66">
          <w:rPr>
            <w:rStyle w:val="Hyperlink"/>
            <w:noProof/>
          </w:rPr>
          <w:t>New York Debtor Creditor Law, Art. 10A, § 285 [NEW].</w:t>
        </w:r>
        <w:r w:rsidR="00F758D4">
          <w:rPr>
            <w:noProof/>
            <w:webHidden/>
          </w:rPr>
          <w:tab/>
        </w:r>
        <w:r w:rsidR="00F758D4">
          <w:rPr>
            <w:noProof/>
            <w:webHidden/>
          </w:rPr>
          <w:fldChar w:fldCharType="begin"/>
        </w:r>
        <w:r w:rsidR="00F758D4">
          <w:rPr>
            <w:noProof/>
            <w:webHidden/>
          </w:rPr>
          <w:instrText xml:space="preserve"> PAGEREF _Toc90983845 \h </w:instrText>
        </w:r>
        <w:r w:rsidR="00F758D4">
          <w:rPr>
            <w:noProof/>
            <w:webHidden/>
          </w:rPr>
        </w:r>
        <w:r w:rsidR="00F758D4">
          <w:rPr>
            <w:noProof/>
            <w:webHidden/>
          </w:rPr>
          <w:fldChar w:fldCharType="separate"/>
        </w:r>
        <w:r w:rsidR="00F758D4">
          <w:rPr>
            <w:noProof/>
            <w:webHidden/>
          </w:rPr>
          <w:t>473</w:t>
        </w:r>
        <w:r w:rsidR="00F758D4">
          <w:rPr>
            <w:noProof/>
            <w:webHidden/>
          </w:rPr>
          <w:fldChar w:fldCharType="end"/>
        </w:r>
      </w:hyperlink>
    </w:p>
    <w:p w14:paraId="29D8668D" w14:textId="0AFB4942"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46" w:history="1">
        <w:r w:rsidR="00F758D4" w:rsidRPr="00C24B66">
          <w:rPr>
            <w:rStyle w:val="Hyperlink"/>
            <w:noProof/>
          </w:rPr>
          <w:t>Appendix D. Social Security Act § 207, 42 U.S.C. § 407</w:t>
        </w:r>
        <w:r w:rsidR="00F758D4">
          <w:rPr>
            <w:noProof/>
            <w:webHidden/>
          </w:rPr>
          <w:tab/>
        </w:r>
        <w:r w:rsidR="00F758D4">
          <w:rPr>
            <w:noProof/>
            <w:webHidden/>
          </w:rPr>
          <w:fldChar w:fldCharType="begin"/>
        </w:r>
        <w:r w:rsidR="00F758D4">
          <w:rPr>
            <w:noProof/>
            <w:webHidden/>
          </w:rPr>
          <w:instrText xml:space="preserve"> PAGEREF _Toc90983846 \h </w:instrText>
        </w:r>
        <w:r w:rsidR="00F758D4">
          <w:rPr>
            <w:noProof/>
            <w:webHidden/>
          </w:rPr>
        </w:r>
        <w:r w:rsidR="00F758D4">
          <w:rPr>
            <w:noProof/>
            <w:webHidden/>
          </w:rPr>
          <w:fldChar w:fldCharType="separate"/>
        </w:r>
        <w:r w:rsidR="00F758D4">
          <w:rPr>
            <w:noProof/>
            <w:webHidden/>
          </w:rPr>
          <w:t>474</w:t>
        </w:r>
        <w:r w:rsidR="00F758D4">
          <w:rPr>
            <w:noProof/>
            <w:webHidden/>
          </w:rPr>
          <w:fldChar w:fldCharType="end"/>
        </w:r>
      </w:hyperlink>
    </w:p>
    <w:p w14:paraId="6DE2ED1C" w14:textId="6D2BCBDC"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47" w:history="1">
        <w:r w:rsidR="00F758D4" w:rsidRPr="00C24B66">
          <w:rPr>
            <w:rStyle w:val="Hyperlink"/>
            <w:noProof/>
          </w:rPr>
          <w:t>Appendix E. New York Uniform Voidable Transactions Act (NY-UVTA), N.Y. Debt. &amp; Cred. Law §§ 270-281 (effective April 4, 2020)</w:t>
        </w:r>
        <w:r w:rsidR="00F758D4">
          <w:rPr>
            <w:noProof/>
            <w:webHidden/>
          </w:rPr>
          <w:tab/>
        </w:r>
        <w:r w:rsidR="00F758D4">
          <w:rPr>
            <w:noProof/>
            <w:webHidden/>
          </w:rPr>
          <w:fldChar w:fldCharType="begin"/>
        </w:r>
        <w:r w:rsidR="00F758D4">
          <w:rPr>
            <w:noProof/>
            <w:webHidden/>
          </w:rPr>
          <w:instrText xml:space="preserve"> PAGEREF _Toc90983847 \h </w:instrText>
        </w:r>
        <w:r w:rsidR="00F758D4">
          <w:rPr>
            <w:noProof/>
            <w:webHidden/>
          </w:rPr>
        </w:r>
        <w:r w:rsidR="00F758D4">
          <w:rPr>
            <w:noProof/>
            <w:webHidden/>
          </w:rPr>
          <w:fldChar w:fldCharType="separate"/>
        </w:r>
        <w:r w:rsidR="00F758D4">
          <w:rPr>
            <w:noProof/>
            <w:webHidden/>
          </w:rPr>
          <w:t>475</w:t>
        </w:r>
        <w:r w:rsidR="00F758D4">
          <w:rPr>
            <w:noProof/>
            <w:webHidden/>
          </w:rPr>
          <w:fldChar w:fldCharType="end"/>
        </w:r>
      </w:hyperlink>
    </w:p>
    <w:p w14:paraId="35AF4CB9" w14:textId="4F3A42C8"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48" w:history="1">
        <w:r w:rsidR="00F758D4" w:rsidRPr="00C24B66">
          <w:rPr>
            <w:rStyle w:val="Hyperlink"/>
            <w:noProof/>
          </w:rPr>
          <w:t>Appendix F. Article 9 of the New York Uniform Commercial Code</w:t>
        </w:r>
        <w:r w:rsidR="00F758D4">
          <w:rPr>
            <w:noProof/>
            <w:webHidden/>
          </w:rPr>
          <w:tab/>
        </w:r>
        <w:r w:rsidR="00F758D4">
          <w:rPr>
            <w:noProof/>
            <w:webHidden/>
          </w:rPr>
          <w:fldChar w:fldCharType="begin"/>
        </w:r>
        <w:r w:rsidR="00F758D4">
          <w:rPr>
            <w:noProof/>
            <w:webHidden/>
          </w:rPr>
          <w:instrText xml:space="preserve"> PAGEREF _Toc90983848 \h </w:instrText>
        </w:r>
        <w:r w:rsidR="00F758D4">
          <w:rPr>
            <w:noProof/>
            <w:webHidden/>
          </w:rPr>
        </w:r>
        <w:r w:rsidR="00F758D4">
          <w:rPr>
            <w:noProof/>
            <w:webHidden/>
          </w:rPr>
          <w:fldChar w:fldCharType="separate"/>
        </w:r>
        <w:r w:rsidR="00F758D4">
          <w:rPr>
            <w:noProof/>
            <w:webHidden/>
          </w:rPr>
          <w:t>484</w:t>
        </w:r>
        <w:r w:rsidR="00F758D4">
          <w:rPr>
            <w:noProof/>
            <w:webHidden/>
          </w:rPr>
          <w:fldChar w:fldCharType="end"/>
        </w:r>
      </w:hyperlink>
    </w:p>
    <w:p w14:paraId="211F314C" w14:textId="3B09264A"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49" w:history="1">
        <w:r w:rsidR="00F758D4" w:rsidRPr="00C24B66">
          <w:rPr>
            <w:rStyle w:val="Hyperlink"/>
            <w:noProof/>
          </w:rPr>
          <w:t>F.1.</w:t>
        </w:r>
        <w:r w:rsidR="00F758D4">
          <w:rPr>
            <w:rFonts w:asciiTheme="minorHAnsi" w:eastAsiaTheme="minorEastAsia" w:hAnsiTheme="minorHAnsi" w:cstheme="minorBidi"/>
            <w:iCs w:val="0"/>
            <w:noProof/>
            <w:color w:val="auto"/>
            <w:sz w:val="22"/>
            <w:szCs w:val="22"/>
          </w:rPr>
          <w:tab/>
        </w:r>
        <w:r w:rsidR="00F758D4" w:rsidRPr="00C24B66">
          <w:rPr>
            <w:rStyle w:val="Hyperlink"/>
            <w:noProof/>
          </w:rPr>
          <w:t>Index</w:t>
        </w:r>
        <w:r w:rsidR="00F758D4">
          <w:rPr>
            <w:noProof/>
            <w:webHidden/>
          </w:rPr>
          <w:tab/>
        </w:r>
        <w:r w:rsidR="00F758D4">
          <w:rPr>
            <w:noProof/>
            <w:webHidden/>
          </w:rPr>
          <w:fldChar w:fldCharType="begin"/>
        </w:r>
        <w:r w:rsidR="00F758D4">
          <w:rPr>
            <w:noProof/>
            <w:webHidden/>
          </w:rPr>
          <w:instrText xml:space="preserve"> PAGEREF _Toc90983849 \h </w:instrText>
        </w:r>
        <w:r w:rsidR="00F758D4">
          <w:rPr>
            <w:noProof/>
            <w:webHidden/>
          </w:rPr>
        </w:r>
        <w:r w:rsidR="00F758D4">
          <w:rPr>
            <w:noProof/>
            <w:webHidden/>
          </w:rPr>
          <w:fldChar w:fldCharType="separate"/>
        </w:r>
        <w:r w:rsidR="00F758D4">
          <w:rPr>
            <w:noProof/>
            <w:webHidden/>
          </w:rPr>
          <w:t>484</w:t>
        </w:r>
        <w:r w:rsidR="00F758D4">
          <w:rPr>
            <w:noProof/>
            <w:webHidden/>
          </w:rPr>
          <w:fldChar w:fldCharType="end"/>
        </w:r>
      </w:hyperlink>
    </w:p>
    <w:p w14:paraId="44B2ED27" w14:textId="05E0465D" w:rsidR="00F758D4" w:rsidRDefault="007C1024">
      <w:pPr>
        <w:pStyle w:val="TOC2"/>
        <w:tabs>
          <w:tab w:val="left" w:pos="1080"/>
          <w:tab w:val="right" w:leader="dot" w:pos="9350"/>
        </w:tabs>
        <w:rPr>
          <w:rFonts w:asciiTheme="minorHAnsi" w:eastAsiaTheme="minorEastAsia" w:hAnsiTheme="minorHAnsi" w:cstheme="minorBidi"/>
          <w:iCs w:val="0"/>
          <w:noProof/>
          <w:color w:val="auto"/>
          <w:sz w:val="22"/>
          <w:szCs w:val="22"/>
        </w:rPr>
      </w:pPr>
      <w:hyperlink w:anchor="_Toc90983850" w:history="1">
        <w:r w:rsidR="00F758D4" w:rsidRPr="00C24B66">
          <w:rPr>
            <w:rStyle w:val="Hyperlink"/>
            <w:noProof/>
          </w:rPr>
          <w:t>F.2.</w:t>
        </w:r>
        <w:r w:rsidR="00F758D4">
          <w:rPr>
            <w:rFonts w:asciiTheme="minorHAnsi" w:eastAsiaTheme="minorEastAsia" w:hAnsiTheme="minorHAnsi" w:cstheme="minorBidi"/>
            <w:iCs w:val="0"/>
            <w:noProof/>
            <w:color w:val="auto"/>
            <w:sz w:val="22"/>
            <w:szCs w:val="22"/>
          </w:rPr>
          <w:tab/>
        </w:r>
        <w:r w:rsidR="00F758D4" w:rsidRPr="00C24B66">
          <w:rPr>
            <w:rStyle w:val="Hyperlink"/>
            <w:noProof/>
          </w:rPr>
          <w:t>Statutory Provisions</w:t>
        </w:r>
        <w:r w:rsidR="00F758D4">
          <w:rPr>
            <w:noProof/>
            <w:webHidden/>
          </w:rPr>
          <w:tab/>
        </w:r>
        <w:r w:rsidR="00F758D4">
          <w:rPr>
            <w:noProof/>
            <w:webHidden/>
          </w:rPr>
          <w:fldChar w:fldCharType="begin"/>
        </w:r>
        <w:r w:rsidR="00F758D4">
          <w:rPr>
            <w:noProof/>
            <w:webHidden/>
          </w:rPr>
          <w:instrText xml:space="preserve"> PAGEREF _Toc90983850 \h </w:instrText>
        </w:r>
        <w:r w:rsidR="00F758D4">
          <w:rPr>
            <w:noProof/>
            <w:webHidden/>
          </w:rPr>
        </w:r>
        <w:r w:rsidR="00F758D4">
          <w:rPr>
            <w:noProof/>
            <w:webHidden/>
          </w:rPr>
          <w:fldChar w:fldCharType="separate"/>
        </w:r>
        <w:r w:rsidR="00F758D4">
          <w:rPr>
            <w:noProof/>
            <w:webHidden/>
          </w:rPr>
          <w:t>490</w:t>
        </w:r>
        <w:r w:rsidR="00F758D4">
          <w:rPr>
            <w:noProof/>
            <w:webHidden/>
          </w:rPr>
          <w:fldChar w:fldCharType="end"/>
        </w:r>
      </w:hyperlink>
    </w:p>
    <w:p w14:paraId="1F40C205" w14:textId="49859877"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51" w:history="1">
        <w:r w:rsidR="00F758D4" w:rsidRPr="00C24B66">
          <w:rPr>
            <w:rStyle w:val="Hyperlink"/>
            <w:noProof/>
          </w:rPr>
          <w:t>Appendix G. Example of Promissory Note</w:t>
        </w:r>
        <w:r w:rsidR="00F758D4">
          <w:rPr>
            <w:noProof/>
            <w:webHidden/>
          </w:rPr>
          <w:tab/>
        </w:r>
        <w:r w:rsidR="00F758D4">
          <w:rPr>
            <w:noProof/>
            <w:webHidden/>
          </w:rPr>
          <w:fldChar w:fldCharType="begin"/>
        </w:r>
        <w:r w:rsidR="00F758D4">
          <w:rPr>
            <w:noProof/>
            <w:webHidden/>
          </w:rPr>
          <w:instrText xml:space="preserve"> PAGEREF _Toc90983851 \h </w:instrText>
        </w:r>
        <w:r w:rsidR="00F758D4">
          <w:rPr>
            <w:noProof/>
            <w:webHidden/>
          </w:rPr>
        </w:r>
        <w:r w:rsidR="00F758D4">
          <w:rPr>
            <w:noProof/>
            <w:webHidden/>
          </w:rPr>
          <w:fldChar w:fldCharType="separate"/>
        </w:r>
        <w:r w:rsidR="00F758D4">
          <w:rPr>
            <w:noProof/>
            <w:webHidden/>
          </w:rPr>
          <w:t>599</w:t>
        </w:r>
        <w:r w:rsidR="00F758D4">
          <w:rPr>
            <w:noProof/>
            <w:webHidden/>
          </w:rPr>
          <w:fldChar w:fldCharType="end"/>
        </w:r>
      </w:hyperlink>
    </w:p>
    <w:p w14:paraId="125FECEC" w14:textId="2B6180A8"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52" w:history="1">
        <w:r w:rsidR="00F758D4" w:rsidRPr="00C24B66">
          <w:rPr>
            <w:rStyle w:val="Hyperlink"/>
            <w:noProof/>
          </w:rPr>
          <w:t>Appendix H. Example of Security Agreement</w:t>
        </w:r>
        <w:r w:rsidR="00F758D4">
          <w:rPr>
            <w:noProof/>
            <w:webHidden/>
          </w:rPr>
          <w:tab/>
        </w:r>
        <w:r w:rsidR="00F758D4">
          <w:rPr>
            <w:noProof/>
            <w:webHidden/>
          </w:rPr>
          <w:fldChar w:fldCharType="begin"/>
        </w:r>
        <w:r w:rsidR="00F758D4">
          <w:rPr>
            <w:noProof/>
            <w:webHidden/>
          </w:rPr>
          <w:instrText xml:space="preserve"> PAGEREF _Toc90983852 \h </w:instrText>
        </w:r>
        <w:r w:rsidR="00F758D4">
          <w:rPr>
            <w:noProof/>
            <w:webHidden/>
          </w:rPr>
        </w:r>
        <w:r w:rsidR="00F758D4">
          <w:rPr>
            <w:noProof/>
            <w:webHidden/>
          </w:rPr>
          <w:fldChar w:fldCharType="separate"/>
        </w:r>
        <w:r w:rsidR="00F758D4">
          <w:rPr>
            <w:noProof/>
            <w:webHidden/>
          </w:rPr>
          <w:t>600</w:t>
        </w:r>
        <w:r w:rsidR="00F758D4">
          <w:rPr>
            <w:noProof/>
            <w:webHidden/>
          </w:rPr>
          <w:fldChar w:fldCharType="end"/>
        </w:r>
      </w:hyperlink>
    </w:p>
    <w:p w14:paraId="0510C892" w14:textId="5E5BB459" w:rsidR="00F758D4" w:rsidRDefault="007C1024">
      <w:pPr>
        <w:pStyle w:val="TOC1"/>
        <w:tabs>
          <w:tab w:val="right" w:leader="dot" w:pos="9350"/>
        </w:tabs>
        <w:rPr>
          <w:rFonts w:asciiTheme="minorHAnsi" w:eastAsiaTheme="minorEastAsia" w:hAnsiTheme="minorHAnsi" w:cstheme="minorBidi"/>
          <w:b w:val="0"/>
          <w:bCs w:val="0"/>
          <w:noProof/>
          <w:color w:val="auto"/>
          <w:sz w:val="22"/>
          <w:szCs w:val="22"/>
        </w:rPr>
      </w:pPr>
      <w:hyperlink w:anchor="_Toc90983853" w:history="1">
        <w:r w:rsidR="00F758D4" w:rsidRPr="00C24B66">
          <w:rPr>
            <w:rStyle w:val="Hyperlink"/>
            <w:noProof/>
          </w:rPr>
          <w:t>Appendix I. UCC Financing Statement</w:t>
        </w:r>
        <w:r w:rsidR="00F758D4">
          <w:rPr>
            <w:noProof/>
            <w:webHidden/>
          </w:rPr>
          <w:tab/>
        </w:r>
        <w:r w:rsidR="00F758D4">
          <w:rPr>
            <w:noProof/>
            <w:webHidden/>
          </w:rPr>
          <w:fldChar w:fldCharType="begin"/>
        </w:r>
        <w:r w:rsidR="00F758D4">
          <w:rPr>
            <w:noProof/>
            <w:webHidden/>
          </w:rPr>
          <w:instrText xml:space="preserve"> PAGEREF _Toc90983853 \h </w:instrText>
        </w:r>
        <w:r w:rsidR="00F758D4">
          <w:rPr>
            <w:noProof/>
            <w:webHidden/>
          </w:rPr>
        </w:r>
        <w:r w:rsidR="00F758D4">
          <w:rPr>
            <w:noProof/>
            <w:webHidden/>
          </w:rPr>
          <w:fldChar w:fldCharType="separate"/>
        </w:r>
        <w:r w:rsidR="00F758D4">
          <w:rPr>
            <w:noProof/>
            <w:webHidden/>
          </w:rPr>
          <w:t>604</w:t>
        </w:r>
        <w:r w:rsidR="00F758D4">
          <w:rPr>
            <w:noProof/>
            <w:webHidden/>
          </w:rPr>
          <w:fldChar w:fldCharType="end"/>
        </w:r>
      </w:hyperlink>
    </w:p>
    <w:p w14:paraId="08FAB49A" w14:textId="6FEB2A4E" w:rsidR="00671FAD" w:rsidRPr="009C3E99" w:rsidRDefault="00AB4BE5" w:rsidP="00671FAD">
      <w:pPr>
        <w:pStyle w:val="ITEM1"/>
        <w:numPr>
          <w:ilvl w:val="0"/>
          <w:numId w:val="0"/>
        </w:numPr>
      </w:pPr>
      <w:r>
        <w:rPr>
          <w:rFonts w:cs="Calibri"/>
          <w:color w:val="000000" w:themeColor="text1"/>
          <w:sz w:val="24"/>
          <w:szCs w:val="20"/>
        </w:rPr>
        <w:fldChar w:fldCharType="end"/>
      </w:r>
    </w:p>
    <w:p w14:paraId="74DA49BC" w14:textId="048FAFE8" w:rsidR="00090D5E" w:rsidRPr="007A5BBC" w:rsidRDefault="00090D5E" w:rsidP="00F902C9">
      <w:pPr>
        <w:rPr>
          <w:rFonts w:ascii="Times New Roman" w:hAnsi="Times New Roman"/>
          <w:szCs w:val="24"/>
        </w:rPr>
        <w:sectPr w:rsidR="00090D5E" w:rsidRPr="007A5BBC" w:rsidSect="00E70BDC">
          <w:footerReference w:type="default" r:id="rId20"/>
          <w:pgSz w:w="12240" w:h="15840" w:code="1"/>
          <w:pgMar w:top="1440" w:right="1440" w:bottom="1440" w:left="1440" w:header="900" w:footer="900" w:gutter="0"/>
          <w:pgNumType w:fmt="lowerRoman" w:start="1"/>
          <w:cols w:space="720"/>
          <w:docGrid w:linePitch="360"/>
        </w:sectPr>
      </w:pPr>
    </w:p>
    <w:p w14:paraId="47B2A71C" w14:textId="4F85B2CA" w:rsidR="00F55BE5" w:rsidRDefault="00774A38" w:rsidP="00810523">
      <w:pPr>
        <w:pStyle w:val="Heading1"/>
        <w:spacing w:line="240" w:lineRule="auto"/>
      </w:pPr>
      <w:bookmarkStart w:id="62" w:name="_Toc417380706"/>
      <w:bookmarkStart w:id="63" w:name="_Toc79699044"/>
      <w:bookmarkStart w:id="64" w:name="_Toc79699370"/>
      <w:bookmarkStart w:id="65" w:name="_Toc79699708"/>
      <w:bookmarkStart w:id="66" w:name="_Toc79700028"/>
      <w:bookmarkStart w:id="67" w:name="_Toc79700350"/>
      <w:bookmarkStart w:id="68" w:name="_Toc87039127"/>
      <w:bookmarkStart w:id="69" w:name="_Toc90983523"/>
      <w:r w:rsidRPr="00665BF4">
        <w:lastRenderedPageBreak/>
        <w:t xml:space="preserve">A </w:t>
      </w:r>
      <w:r w:rsidRPr="008F205E">
        <w:t>World</w:t>
      </w:r>
      <w:r w:rsidRPr="00665BF4">
        <w:t xml:space="preserve"> </w:t>
      </w:r>
      <w:r w:rsidR="005F76D5">
        <w:t>W</w:t>
      </w:r>
      <w:r w:rsidRPr="00665BF4">
        <w:t>ithout Bankruptcy</w:t>
      </w:r>
      <w:bookmarkStart w:id="70" w:name="_Toc417380707"/>
      <w:bookmarkStart w:id="71" w:name="_Toc417380708"/>
      <w:bookmarkStart w:id="72" w:name="_Toc79687260"/>
      <w:bookmarkStart w:id="73" w:name="_Toc79687584"/>
      <w:bookmarkStart w:id="74" w:name="_Toc79687951"/>
      <w:bookmarkStart w:id="75" w:name="_Toc79688280"/>
      <w:bookmarkStart w:id="76" w:name="_Toc79689216"/>
      <w:bookmarkStart w:id="77" w:name="_Toc79692902"/>
      <w:bookmarkStart w:id="78" w:name="_Toc79693222"/>
      <w:bookmarkStart w:id="79" w:name="_Toc79693542"/>
      <w:bookmarkStart w:id="80" w:name="_Toc79693859"/>
      <w:bookmarkStart w:id="81" w:name="_Toc79694177"/>
      <w:bookmarkStart w:id="82" w:name="_Toc79694499"/>
      <w:bookmarkStart w:id="83" w:name="_Toc79694811"/>
      <w:bookmarkStart w:id="84" w:name="_Toc79695127"/>
      <w:bookmarkStart w:id="85" w:name="_Toc79695443"/>
      <w:bookmarkStart w:id="86" w:name="_Toc79695759"/>
      <w:bookmarkStart w:id="87" w:name="_Toc79696075"/>
      <w:bookmarkStart w:id="88" w:name="_Toc79696391"/>
      <w:bookmarkStart w:id="89" w:name="_Toc79696712"/>
      <w:bookmarkStart w:id="90" w:name="_Toc79697044"/>
      <w:bookmarkStart w:id="91" w:name="_Toc79697373"/>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6F1DEDE7" w14:textId="77777777" w:rsidR="00930A75" w:rsidRPr="00930A75" w:rsidRDefault="00930A75" w:rsidP="00930A75"/>
    <w:p w14:paraId="487B6825" w14:textId="29A24F8E" w:rsidR="00810523" w:rsidRPr="00810523" w:rsidRDefault="00BA6ECA" w:rsidP="00B32E37">
      <w:pPr>
        <w:pStyle w:val="Heading2"/>
        <w:spacing w:line="240" w:lineRule="auto"/>
      </w:pPr>
      <w:bookmarkStart w:id="92" w:name="_Toc417380709"/>
      <w:bookmarkStart w:id="93" w:name="_Toc79699045"/>
      <w:bookmarkStart w:id="94" w:name="_Toc79699371"/>
      <w:bookmarkStart w:id="95" w:name="_Toc79699709"/>
      <w:bookmarkStart w:id="96" w:name="_Toc79700029"/>
      <w:bookmarkStart w:id="97" w:name="_Toc79700351"/>
      <w:bookmarkStart w:id="98" w:name="_Toc87039128"/>
      <w:bookmarkStart w:id="99" w:name="_Toc90983524"/>
      <w:r w:rsidRPr="00D103FD">
        <w:t>A Wee Bit of History</w:t>
      </w:r>
      <w:bookmarkStart w:id="100" w:name="_Toc79692903"/>
      <w:bookmarkStart w:id="101" w:name="_Toc79693223"/>
      <w:bookmarkStart w:id="102" w:name="_Toc79693543"/>
      <w:bookmarkStart w:id="103" w:name="_Toc79693860"/>
      <w:bookmarkStart w:id="104" w:name="_Toc79694500"/>
      <w:bookmarkStart w:id="105" w:name="_Toc79695128"/>
      <w:bookmarkStart w:id="106" w:name="_Toc79697374"/>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B32E37">
        <w:br/>
      </w:r>
    </w:p>
    <w:p w14:paraId="412EEE5D" w14:textId="771D56CD"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32F5E0AD" w:rsidR="003A4180"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t>
      </w:r>
      <w:r w:rsidR="007D74BC">
        <w:t xml:space="preserve">could </w:t>
      </w:r>
      <w:r w:rsidR="009F4FA4" w:rsidRPr="007A5BBC">
        <w:t>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1" w:history="1">
        <w:r w:rsidRPr="00285386">
          <w:rPr>
            <w:rStyle w:val="Hyperlink"/>
            <w:i/>
          </w:rPr>
          <w:t>Williams v. Illinois</w:t>
        </w:r>
        <w:r w:rsidRPr="00285386">
          <w:rPr>
            <w:rStyle w:val="Hyperlink"/>
          </w:rPr>
          <w:t>, 399 U.S. 235 (1970)</w:t>
        </w:r>
      </w:hyperlink>
      <w:r w:rsidRPr="007A5BBC">
        <w:t xml:space="preserve">; </w:t>
      </w:r>
      <w:hyperlink r:id="rId22"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 xml:space="preserve">We begin therefore with </w:t>
      </w:r>
      <w:r w:rsidR="003C6FD2">
        <w:t xml:space="preserve">the </w:t>
      </w:r>
      <w:r w:rsidRPr="007A5BBC">
        <w:t>process by which debts are collected outside of bankruptcy</w:t>
      </w:r>
      <w:r w:rsidR="005F6A8B">
        <w:t xml:space="preserve">. </w:t>
      </w:r>
    </w:p>
    <w:p w14:paraId="1DB91B73" w14:textId="77777777" w:rsidR="00930A75" w:rsidRPr="007A5BBC" w:rsidRDefault="00930A75" w:rsidP="00DC3365">
      <w:pPr>
        <w:pStyle w:val="0-NORMAL"/>
      </w:pPr>
    </w:p>
    <w:p w14:paraId="178F7DDB" w14:textId="191C2C4A" w:rsidR="00810523" w:rsidRPr="00810523" w:rsidRDefault="00D103FD" w:rsidP="00B32E37">
      <w:pPr>
        <w:pStyle w:val="Heading2"/>
        <w:spacing w:line="240" w:lineRule="auto"/>
      </w:pPr>
      <w:bookmarkStart w:id="107" w:name="_Toc417380710"/>
      <w:r>
        <w:t xml:space="preserve">  </w:t>
      </w:r>
      <w:bookmarkStart w:id="108" w:name="_Toc79699046"/>
      <w:bookmarkStart w:id="109" w:name="_Toc79699372"/>
      <w:bookmarkStart w:id="110" w:name="_Toc79699710"/>
      <w:bookmarkStart w:id="111" w:name="_Toc79700030"/>
      <w:bookmarkStart w:id="112" w:name="_Toc79700352"/>
      <w:bookmarkStart w:id="113" w:name="_Toc87039129"/>
      <w:bookmarkStart w:id="114" w:name="_Toc90983525"/>
      <w:r w:rsidR="003A4180" w:rsidRPr="007A5BBC">
        <w:t>Enforcing Claims</w:t>
      </w:r>
      <w:bookmarkStart w:id="115" w:name="_Toc79692904"/>
      <w:bookmarkStart w:id="116" w:name="_Toc79693224"/>
      <w:bookmarkStart w:id="117" w:name="_Toc79693544"/>
      <w:bookmarkStart w:id="118" w:name="_Toc79693861"/>
      <w:bookmarkStart w:id="119" w:name="_Toc79694501"/>
      <w:bookmarkStart w:id="120" w:name="_Toc79695129"/>
      <w:bookmarkStart w:id="121" w:name="_Toc79697375"/>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B32E37">
        <w:br/>
      </w:r>
    </w:p>
    <w:p w14:paraId="0113B6B6" w14:textId="76D49F62" w:rsidR="009F4FA4" w:rsidRPr="007A5BBC" w:rsidRDefault="003A4180" w:rsidP="00B32E37">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455D7E9F" w:rsidR="0076701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w:t>
      </w:r>
      <w:r w:rsidR="007D74BC">
        <w:t xml:space="preserve">enforce a claim against </w:t>
      </w:r>
      <w:r w:rsidR="003A4180" w:rsidRPr="007A5BBC">
        <w:t xml:space="preserve">specific property owned by the </w:t>
      </w:r>
      <w:r w:rsidR="009F4FA4" w:rsidRPr="007A5BBC">
        <w:t>debtor</w:t>
      </w:r>
      <w:r w:rsidR="007D74BC">
        <w:t xml:space="preserve"> upon default</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w:t>
      </w:r>
      <w:r w:rsidR="003A4180" w:rsidRPr="007A5BBC">
        <w:lastRenderedPageBreak/>
        <w:t>personam</w:t>
      </w:r>
      <w:r w:rsidR="004A33D8" w:rsidRPr="007A5BBC">
        <w:t>,</w:t>
      </w:r>
      <w:r w:rsidR="003A4180" w:rsidRPr="007A5BBC">
        <w:t>” right that the creditor has against the debtor</w:t>
      </w:r>
      <w:r w:rsidR="005F6A8B">
        <w:t xml:space="preserve">. </w:t>
      </w:r>
      <w:r w:rsidR="003A4180" w:rsidRPr="007A5BBC">
        <w:t xml:space="preserve">We will start with a review of the system for collecting unsecured claims </w:t>
      </w:r>
      <w:r w:rsidR="009F4FA4" w:rsidRPr="007A5BBC">
        <w:t xml:space="preserve">that 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2ECF830A" w14:textId="77777777" w:rsidR="00930A75" w:rsidRPr="007A5BBC" w:rsidRDefault="00930A75" w:rsidP="00DC3365">
      <w:pPr>
        <w:pStyle w:val="0-NORMAL"/>
      </w:pPr>
    </w:p>
    <w:p w14:paraId="13112F1A" w14:textId="286E7D23" w:rsidR="00810523" w:rsidRPr="00810523" w:rsidRDefault="00D103FD" w:rsidP="00B32E37">
      <w:pPr>
        <w:pStyle w:val="Heading2"/>
        <w:spacing w:line="240" w:lineRule="auto"/>
      </w:pPr>
      <w:bookmarkStart w:id="122" w:name="_Toc417380711"/>
      <w:r>
        <w:t xml:space="preserve">  </w:t>
      </w:r>
      <w:bookmarkStart w:id="123" w:name="_Toc79699047"/>
      <w:bookmarkStart w:id="124" w:name="_Toc79699373"/>
      <w:bookmarkStart w:id="125" w:name="_Toc79699711"/>
      <w:bookmarkStart w:id="126" w:name="_Toc79700031"/>
      <w:bookmarkStart w:id="127" w:name="_Toc79700353"/>
      <w:bookmarkStart w:id="128" w:name="_Toc87039130"/>
      <w:bookmarkStart w:id="129" w:name="_Toc90983526"/>
      <w:r w:rsidR="003A4180" w:rsidRPr="007A5BBC">
        <w:t xml:space="preserve">The Self-Help System </w:t>
      </w:r>
      <w:r w:rsidR="00BA6ECA" w:rsidRPr="007A5BBC">
        <w:t>for Collecting Unsecured Claims</w:t>
      </w:r>
      <w:bookmarkStart w:id="130" w:name="_Toc79692905"/>
      <w:bookmarkStart w:id="131" w:name="_Toc79693225"/>
      <w:bookmarkStart w:id="132" w:name="_Toc79693545"/>
      <w:bookmarkStart w:id="133" w:name="_Toc79693862"/>
      <w:bookmarkStart w:id="134" w:name="_Toc79694502"/>
      <w:bookmarkStart w:id="135" w:name="_Toc79695130"/>
      <w:bookmarkStart w:id="136" w:name="_Toc79697376"/>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B32E37">
        <w:br/>
      </w:r>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79E15760" w:rsidR="00412DD0" w:rsidRDefault="003A4180" w:rsidP="00DC3365">
      <w:pPr>
        <w:pStyle w:val="0-NORMAL"/>
      </w:pPr>
      <w:r w:rsidRPr="007A5BBC">
        <w:t>The main uniform limitation on debt collection activities is the federal Fair Debt Collection Practices Act</w:t>
      </w:r>
      <w:r w:rsidR="005F6A8B">
        <w:t xml:space="preserve">. </w:t>
      </w:r>
      <w:r w:rsidRPr="007A5BBC">
        <w:t>The first thing to note about the Act is that it generally applies only to debt collectors – those who regularly collect debts owed to another</w:t>
      </w:r>
      <w:r w:rsidR="005F6A8B">
        <w:t xml:space="preserve">. </w:t>
      </w:r>
      <w:r w:rsidRPr="007A5BBC">
        <w:t>It is entirely inapplicable to creditors who collect their own debts in their own names,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007D74BC">
        <w:t xml:space="preserve">a multi-billion dollar industry </w:t>
      </w:r>
      <w:r w:rsidR="007D74BC" w:rsidRPr="007A5BBC">
        <w:t xml:space="preserve"> – </w:t>
      </w:r>
      <w:r w:rsidRPr="007A5BBC">
        <w:t>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137" w:name="_Toc417380712"/>
    </w:p>
    <w:p w14:paraId="54E1F370" w14:textId="77777777" w:rsidR="00930A75" w:rsidRPr="007A5BBC" w:rsidRDefault="00930A75" w:rsidP="00DC3365">
      <w:pPr>
        <w:pStyle w:val="0-NORMAL"/>
      </w:pPr>
    </w:p>
    <w:p w14:paraId="2EEF23AD" w14:textId="565244D8" w:rsidR="00810523" w:rsidRPr="00810523" w:rsidRDefault="00D103FD" w:rsidP="00810523">
      <w:pPr>
        <w:pStyle w:val="Heading3"/>
      </w:pPr>
      <w:bookmarkStart w:id="138" w:name="_Toc417380713"/>
      <w:bookmarkStart w:id="139" w:name="_Toc87039131"/>
      <w:bookmarkStart w:id="140" w:name="_Toc90983527"/>
      <w:bookmarkEnd w:id="137"/>
      <w:r>
        <w:t xml:space="preserve">Practice </w:t>
      </w:r>
      <w:r w:rsidRPr="008F205E">
        <w:t>Problems</w:t>
      </w:r>
      <w:r w:rsidR="00FF7A1D" w:rsidRPr="007A5BBC">
        <w:t xml:space="preserve">: </w:t>
      </w:r>
      <w:r w:rsidR="00A44C73" w:rsidRPr="007A5BBC">
        <w:t>Fai</w:t>
      </w:r>
      <w:r w:rsidR="00FF7A1D" w:rsidRPr="007A5BBC">
        <w:t>r Debt Collection Practices Act</w:t>
      </w:r>
      <w:r w:rsidR="00951C09" w:rsidRPr="007A5BBC">
        <w:t xml:space="preserve"> (FDCPA)</w:t>
      </w:r>
      <w:bookmarkStart w:id="141" w:name="_Toc79692906"/>
      <w:bookmarkStart w:id="142" w:name="_Toc79693226"/>
      <w:bookmarkStart w:id="143" w:name="_Toc79693546"/>
      <w:bookmarkStart w:id="144" w:name="_Toc79693863"/>
      <w:bookmarkStart w:id="145" w:name="_Toc79694503"/>
      <w:bookmarkStart w:id="146" w:name="_Toc79695131"/>
      <w:bookmarkStart w:id="147" w:name="_Toc79697377"/>
      <w:bookmarkStart w:id="148" w:name="_Toc79699048"/>
      <w:bookmarkStart w:id="149" w:name="_Toc79699374"/>
      <w:bookmarkStart w:id="150" w:name="_Toc79699712"/>
      <w:bookmarkStart w:id="151" w:name="_Toc79700032"/>
      <w:bookmarkStart w:id="152" w:name="_Toc79700354"/>
      <w:bookmarkStart w:id="153" w:name="_Toc7970067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00B32E37">
        <w:br/>
      </w:r>
    </w:p>
    <w:p w14:paraId="4B539CFF" w14:textId="097CA0F2" w:rsidR="00412DD0" w:rsidRPr="007A5BBC" w:rsidRDefault="00412DD0" w:rsidP="00810523">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690E3AD8"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1</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What provisions of the FDCPA have been violated</w:t>
      </w:r>
      <w:r w:rsidR="00083725" w:rsidRPr="007A5BBC">
        <w:rPr>
          <w:rFonts w:ascii="Times New Roman" w:hAnsi="Times New Roman"/>
          <w:szCs w:val="24"/>
        </w:rPr>
        <w:t xml:space="preserve">?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66C7D9A3"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lastRenderedPageBreak/>
        <w:t>Problem 2</w:t>
      </w:r>
      <w:r>
        <w:rPr>
          <w:rFonts w:ascii="Times New Roman" w:hAnsi="Times New Roman"/>
          <w:szCs w:val="24"/>
        </w:rPr>
        <w:t xml:space="preserve">. </w:t>
      </w:r>
      <w:r w:rsidR="003A4180" w:rsidRPr="007A5BBC">
        <w:rPr>
          <w:rFonts w:ascii="Times New Roman" w:hAnsi="Times New Roman"/>
          <w:szCs w:val="24"/>
        </w:rPr>
        <w:t xml:space="preserve">How would your answer </w:t>
      </w:r>
      <w:r>
        <w:rPr>
          <w:rFonts w:ascii="Times New Roman" w:hAnsi="Times New Roman"/>
          <w:szCs w:val="24"/>
        </w:rPr>
        <w:t xml:space="preserve">to Problem </w:t>
      </w:r>
      <w:r w:rsidR="001A5F10">
        <w:rPr>
          <w:rFonts w:ascii="Times New Roman" w:hAnsi="Times New Roman"/>
          <w:szCs w:val="24"/>
        </w:rPr>
        <w:t>(</w:t>
      </w:r>
      <w:r>
        <w:rPr>
          <w:rFonts w:ascii="Times New Roman" w:hAnsi="Times New Roman"/>
          <w:szCs w:val="24"/>
        </w:rPr>
        <w:t>1</w:t>
      </w:r>
      <w:r w:rsidR="001A5F10">
        <w:rPr>
          <w:rFonts w:ascii="Times New Roman" w:hAnsi="Times New Roman"/>
          <w:szCs w:val="24"/>
        </w:rPr>
        <w:t>)</w:t>
      </w:r>
      <w:r>
        <w:rPr>
          <w:rFonts w:ascii="Times New Roman" w:hAnsi="Times New Roman"/>
          <w:szCs w:val="24"/>
        </w:rPr>
        <w:t xml:space="preserve">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083725" w:rsidRPr="007A5BBC">
        <w:rPr>
          <w:rFonts w:ascii="Times New Roman" w:hAnsi="Times New Roman"/>
          <w:szCs w:val="24"/>
        </w:rPr>
        <w:t xml:space="preserve">? </w:t>
      </w:r>
      <w:r w:rsidR="003A4180" w:rsidRPr="008C3330">
        <w:rPr>
          <w:rFonts w:ascii="Times New Roman" w:hAnsi="Times New Roman"/>
          <w:i/>
          <w:iCs/>
          <w:szCs w:val="24"/>
        </w:rPr>
        <w:t>See</w:t>
      </w:r>
      <w:r w:rsidR="003A4180" w:rsidRPr="007A5BBC">
        <w:rPr>
          <w:rFonts w:ascii="Times New Roman" w:hAnsi="Times New Roman"/>
          <w:szCs w:val="24"/>
        </w:rPr>
        <w:t xml:space="preserve"> </w:t>
      </w:r>
      <w:hyperlink w:anchor="FDCPA8036" w:history="1">
        <w:r w:rsidR="003A4180" w:rsidRPr="007A5BBC">
          <w:rPr>
            <w:rStyle w:val="Hyperlink"/>
            <w:rFonts w:ascii="Times New Roman" w:hAnsi="Times New Roman"/>
            <w:szCs w:val="24"/>
          </w:rPr>
          <w:t>FDCPA § 803(6)(A).</w:t>
        </w:r>
      </w:hyperlink>
    </w:p>
    <w:p w14:paraId="412EEED8" w14:textId="7BEF5EC5"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3</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w:t>
      </w:r>
      <w:r w:rsidR="005C2C60">
        <w:rPr>
          <w:rFonts w:ascii="Times New Roman" w:hAnsi="Times New Roman"/>
          <w:szCs w:val="24"/>
        </w:rPr>
        <w:t>ank of America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083725" w:rsidRPr="007A5BBC">
        <w:rPr>
          <w:rFonts w:ascii="Times New Roman" w:hAnsi="Times New Roman"/>
          <w:szCs w:val="24"/>
        </w:rPr>
        <w:t xml:space="preserve">? </w:t>
      </w:r>
      <w:r w:rsidR="00826D97" w:rsidRPr="008C3330">
        <w:rPr>
          <w:rFonts w:ascii="Times New Roman" w:hAnsi="Times New Roman"/>
          <w:i/>
          <w:iCs/>
          <w:szCs w:val="24"/>
        </w:rPr>
        <w:t>See</w:t>
      </w:r>
      <w:r w:rsidR="00826D97" w:rsidRPr="007A5BBC">
        <w:rPr>
          <w:rFonts w:ascii="Times New Roman" w:hAnsi="Times New Roman"/>
          <w:szCs w:val="24"/>
        </w:rPr>
        <w:t xml:space="preserv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what must you say in the letter</w:t>
      </w:r>
      <w:r w:rsidR="00083725" w:rsidRPr="007A5BBC">
        <w:rPr>
          <w:rFonts w:ascii="Times New Roman" w:hAnsi="Times New Roman"/>
          <w:szCs w:val="24"/>
        </w:rPr>
        <w:t xml:space="preserve">? </w:t>
      </w:r>
      <w:r w:rsidR="005D4F74" w:rsidRPr="008C3330">
        <w:rPr>
          <w:rFonts w:ascii="Times New Roman" w:hAnsi="Times New Roman"/>
          <w:i/>
          <w:iCs/>
          <w:szCs w:val="24"/>
        </w:rPr>
        <w:t>See</w:t>
      </w:r>
      <w:r w:rsidR="005D4F74" w:rsidRPr="007A5BBC">
        <w:rPr>
          <w:rFonts w:ascii="Times New Roman" w:hAnsi="Times New Roman"/>
          <w:szCs w:val="24"/>
        </w:rPr>
        <w:t xml:space="preserv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083725" w:rsidRPr="007A5BBC">
        <w:rPr>
          <w:rFonts w:ascii="Times New Roman" w:hAnsi="Times New Roman"/>
          <w:szCs w:val="24"/>
        </w:rPr>
        <w:t xml:space="preserve">? </w:t>
      </w:r>
      <w:r w:rsidR="005D4F74" w:rsidRPr="008C3330">
        <w:rPr>
          <w:rFonts w:ascii="Times New Roman" w:hAnsi="Times New Roman"/>
          <w:i/>
          <w:iCs/>
          <w:szCs w:val="24"/>
        </w:rPr>
        <w:t>See</w:t>
      </w:r>
      <w:r w:rsidR="005D4F74" w:rsidRPr="007A5BBC">
        <w:rPr>
          <w:rFonts w:ascii="Times New Roman" w:hAnsi="Times New Roman"/>
          <w:szCs w:val="24"/>
        </w:rPr>
        <w:t xml:space="preserv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6F866937"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4</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083725"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3B99D8FF"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5</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What should you do</w:t>
      </w:r>
      <w:r w:rsidR="00083725"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22FBB4B8" w:rsidR="003A4180" w:rsidRPr="007A5BBC" w:rsidRDefault="00906B08" w:rsidP="00D3520C">
      <w:pPr>
        <w:ind w:firstLine="720"/>
        <w:jc w:val="both"/>
        <w:rPr>
          <w:rFonts w:ascii="Times New Roman" w:hAnsi="Times New Roman"/>
          <w:szCs w:val="24"/>
        </w:rPr>
      </w:pPr>
      <w:r w:rsidRPr="008C3330">
        <w:rPr>
          <w:rFonts w:ascii="Times New Roman" w:hAnsi="Times New Roman"/>
          <w:b/>
          <w:bCs/>
          <w:szCs w:val="24"/>
        </w:rPr>
        <w:t>Problem 6</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w:t>
      </w:r>
      <w:r w:rsidR="005D4F74" w:rsidRPr="008C3330">
        <w:rPr>
          <w:rFonts w:ascii="Times New Roman" w:hAnsi="Times New Roman"/>
          <w:i/>
          <w:iCs/>
          <w:szCs w:val="24"/>
        </w:rPr>
        <w:t xml:space="preserve">See </w:t>
      </w:r>
      <w:hyperlink w:anchor="FDCPA805c" w:history="1">
        <w:r w:rsidR="005D4F74" w:rsidRPr="007A5BBC">
          <w:rPr>
            <w:rStyle w:val="Hyperlink"/>
            <w:rFonts w:ascii="Times New Roman" w:hAnsi="Times New Roman"/>
            <w:szCs w:val="24"/>
          </w:rPr>
          <w:t>FDCPA § 805(c).</w:t>
        </w:r>
      </w:hyperlink>
    </w:p>
    <w:p w14:paraId="13F457AA" w14:textId="1AFED9C0" w:rsidR="007D5D3F" w:rsidRDefault="00906B08" w:rsidP="007D5D3F">
      <w:pPr>
        <w:ind w:firstLine="720"/>
        <w:jc w:val="both"/>
        <w:rPr>
          <w:rFonts w:ascii="Times New Roman" w:hAnsi="Times New Roman"/>
          <w:szCs w:val="24"/>
        </w:rPr>
      </w:pPr>
      <w:r w:rsidRPr="008C3330">
        <w:rPr>
          <w:rFonts w:ascii="Times New Roman" w:hAnsi="Times New Roman"/>
          <w:b/>
          <w:bCs/>
          <w:szCs w:val="24"/>
        </w:rPr>
        <w:t>Problem 7</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8C3330">
        <w:rPr>
          <w:rFonts w:ascii="Times New Roman" w:hAnsi="Times New Roman"/>
          <w:szCs w:val="24"/>
        </w:rPr>
        <w:t xml:space="preserve"> </w:t>
      </w:r>
      <w:r w:rsidR="008C3330" w:rsidRPr="008C3330">
        <w:rPr>
          <w:rFonts w:ascii="Times New Roman" w:hAnsi="Times New Roman"/>
          <w:i/>
          <w:iCs/>
          <w:szCs w:val="24"/>
        </w:rPr>
        <w:t>See</w:t>
      </w:r>
      <w:r w:rsidR="005D4F74" w:rsidRPr="008C3330">
        <w:rPr>
          <w:rFonts w:ascii="Times New Roman" w:hAnsi="Times New Roman"/>
          <w:i/>
          <w:iCs/>
          <w:szCs w:val="24"/>
        </w:rPr>
        <w:t xml:space="preserve"> </w:t>
      </w:r>
      <w:hyperlink w:anchor="FDCPA813" w:history="1">
        <w:r w:rsidR="005D4F74" w:rsidRPr="007A5BBC">
          <w:rPr>
            <w:rStyle w:val="Hyperlink"/>
            <w:rFonts w:ascii="Times New Roman" w:hAnsi="Times New Roman"/>
            <w:szCs w:val="24"/>
          </w:rPr>
          <w:t>FDCPA § 813</w:t>
        </w:r>
      </w:hyperlink>
      <w:r w:rsidR="005D4F74" w:rsidRPr="007A5BBC">
        <w:rPr>
          <w:rFonts w:ascii="Times New Roman" w:hAnsi="Times New Roman"/>
          <w:szCs w:val="24"/>
        </w:rPr>
        <w:t>.</w:t>
      </w:r>
    </w:p>
    <w:p w14:paraId="0BAABE97" w14:textId="19B9AEA1" w:rsidR="00346A37" w:rsidRDefault="00346A37" w:rsidP="007D5D3F">
      <w:pPr>
        <w:ind w:firstLine="720"/>
        <w:jc w:val="both"/>
        <w:rPr>
          <w:rFonts w:ascii="Times New Roman" w:hAnsi="Times New Roman"/>
          <w:szCs w:val="24"/>
        </w:rPr>
      </w:pPr>
      <w:r w:rsidRPr="008C3330">
        <w:rPr>
          <w:rFonts w:ascii="Times New Roman" w:hAnsi="Times New Roman"/>
          <w:b/>
          <w:bCs/>
          <w:szCs w:val="24"/>
        </w:rPr>
        <w:t>Problem 8</w:t>
      </w:r>
      <w:r>
        <w:rPr>
          <w:rFonts w:ascii="Times New Roman" w:hAnsi="Times New Roman"/>
          <w:szCs w:val="24"/>
        </w:rPr>
        <w:t xml:space="preserve">. </w:t>
      </w:r>
      <w:r w:rsidR="007E3783">
        <w:rPr>
          <w:rFonts w:ascii="Times New Roman" w:hAnsi="Times New Roman"/>
          <w:szCs w:val="24"/>
        </w:rPr>
        <w:t>The statute of limitations is an affirmative defense to an action filed by a creditor to collect a debt after the statutory period has expired</w:t>
      </w:r>
      <w:r w:rsidR="00083725">
        <w:rPr>
          <w:rFonts w:ascii="Times New Roman" w:hAnsi="Times New Roman"/>
          <w:szCs w:val="24"/>
        </w:rPr>
        <w:t xml:space="preserve">. </w:t>
      </w:r>
      <w:r w:rsidR="007E3783">
        <w:rPr>
          <w:rFonts w:ascii="Times New Roman" w:hAnsi="Times New Roman"/>
          <w:szCs w:val="24"/>
        </w:rPr>
        <w:t>Is it a violation of the FDCPA for an attorney representing a creditor to file a collection action after the statutory period has expired? Is it a violation of the FDCPA for the attorney or a debt collector to file a proof of claim in a bankruptcy proceeding on a debt that is time barred under the statute of limitations</w:t>
      </w:r>
      <w:r w:rsidR="00083725">
        <w:rPr>
          <w:rFonts w:ascii="Times New Roman" w:hAnsi="Times New Roman"/>
          <w:szCs w:val="24"/>
        </w:rPr>
        <w:t xml:space="preserve">? </w:t>
      </w:r>
      <w:hyperlink r:id="rId23" w:history="1">
        <w:r w:rsidR="007E3783" w:rsidRPr="009F008A">
          <w:rPr>
            <w:rStyle w:val="Hyperlink"/>
            <w:rFonts w:ascii="Times New Roman" w:hAnsi="Times New Roman"/>
            <w:i/>
            <w:iCs/>
            <w:szCs w:val="24"/>
          </w:rPr>
          <w:t>Midland Funding, LLC v. Johnson</w:t>
        </w:r>
        <w:r w:rsidR="007E3783" w:rsidRPr="007E3783">
          <w:rPr>
            <w:rStyle w:val="Hyperlink"/>
            <w:rFonts w:ascii="Times New Roman" w:hAnsi="Times New Roman"/>
            <w:szCs w:val="24"/>
          </w:rPr>
          <w:t>, 581 US ___ (2017)</w:t>
        </w:r>
      </w:hyperlink>
      <w:r w:rsidR="007E3783">
        <w:rPr>
          <w:rFonts w:ascii="Times New Roman" w:hAnsi="Times New Roman"/>
          <w:szCs w:val="24"/>
        </w:rPr>
        <w:t>.</w:t>
      </w:r>
    </w:p>
    <w:p w14:paraId="57742415" w14:textId="2FB53077" w:rsidR="00930A75" w:rsidRDefault="005C2C60" w:rsidP="00B32E37">
      <w:pPr>
        <w:ind w:firstLine="720"/>
        <w:jc w:val="both"/>
        <w:rPr>
          <w:rFonts w:ascii="Times New Roman" w:hAnsi="Times New Roman"/>
          <w:szCs w:val="24"/>
        </w:rPr>
      </w:pPr>
      <w:r w:rsidRPr="008C3330">
        <w:rPr>
          <w:rFonts w:ascii="Times New Roman" w:hAnsi="Times New Roman"/>
          <w:b/>
          <w:bCs/>
          <w:szCs w:val="24"/>
        </w:rPr>
        <w:t>Problem 9</w:t>
      </w:r>
      <w:r>
        <w:rPr>
          <w:rFonts w:ascii="Times New Roman" w:hAnsi="Times New Roman"/>
          <w:szCs w:val="24"/>
        </w:rPr>
        <w:t>. Your client owes $10,000 to Citicorp on a credit card, and has not made payments for over a year. After failing to collect the debt, Citicorp sold the debt (along with many other debts that were in default) to Santander Bank</w:t>
      </w:r>
      <w:r w:rsidR="00083725">
        <w:rPr>
          <w:rFonts w:ascii="Times New Roman" w:hAnsi="Times New Roman"/>
          <w:szCs w:val="24"/>
        </w:rPr>
        <w:t xml:space="preserve">. </w:t>
      </w:r>
      <w:r>
        <w:rPr>
          <w:rFonts w:ascii="Times New Roman" w:hAnsi="Times New Roman"/>
          <w:szCs w:val="24"/>
        </w:rPr>
        <w:t>Is Santander Bank liable under the FDCPA if it violates the statutory provisions</w:t>
      </w:r>
      <w:r w:rsidR="00083725">
        <w:rPr>
          <w:rFonts w:ascii="Times New Roman" w:hAnsi="Times New Roman"/>
          <w:szCs w:val="24"/>
        </w:rPr>
        <w:t xml:space="preserve">? </w:t>
      </w:r>
      <w:r>
        <w:rPr>
          <w:rFonts w:ascii="Times New Roman" w:hAnsi="Times New Roman"/>
          <w:szCs w:val="24"/>
        </w:rPr>
        <w:t xml:space="preserve">Consider both (1) whether Santander is a “debt collector” under </w:t>
      </w:r>
      <w:hyperlink w:anchor="FDCPA8036" w:history="1">
        <w:r w:rsidRPr="005C2C60">
          <w:rPr>
            <w:rStyle w:val="Hyperlink"/>
            <w:rFonts w:ascii="Times New Roman" w:hAnsi="Times New Roman"/>
            <w:szCs w:val="24"/>
          </w:rPr>
          <w:t>FDCPA § 803(6)</w:t>
        </w:r>
      </w:hyperlink>
      <w:r>
        <w:rPr>
          <w:rFonts w:ascii="Times New Roman" w:hAnsi="Times New Roman"/>
          <w:szCs w:val="24"/>
        </w:rPr>
        <w:t xml:space="preserve">, and (2) whether Santander is a “creditor” under </w:t>
      </w:r>
      <w:hyperlink w:anchor="FDCPA8036" w:history="1">
        <w:r w:rsidRPr="005C2C60">
          <w:rPr>
            <w:rStyle w:val="Hyperlink"/>
            <w:rFonts w:ascii="Times New Roman" w:hAnsi="Times New Roman"/>
            <w:szCs w:val="24"/>
          </w:rPr>
          <w:t>FDCPA § 803(4)</w:t>
        </w:r>
      </w:hyperlink>
      <w:r>
        <w:rPr>
          <w:rFonts w:ascii="Times New Roman" w:hAnsi="Times New Roman"/>
          <w:szCs w:val="24"/>
        </w:rPr>
        <w:t>?</w:t>
      </w:r>
    </w:p>
    <w:p w14:paraId="4C5BFCAB" w14:textId="77777777" w:rsidR="00410546" w:rsidRDefault="00410546" w:rsidP="00B32E37">
      <w:pPr>
        <w:ind w:firstLine="720"/>
        <w:jc w:val="both"/>
        <w:rPr>
          <w:rFonts w:ascii="Times New Roman" w:hAnsi="Times New Roman"/>
          <w:szCs w:val="24"/>
        </w:rPr>
      </w:pPr>
    </w:p>
    <w:p w14:paraId="3954ABD2" w14:textId="4BC4EDE2" w:rsidR="005C2C60" w:rsidRPr="00930A75" w:rsidRDefault="00DB2210" w:rsidP="00810523">
      <w:pPr>
        <w:pStyle w:val="Heading3"/>
        <w:rPr>
          <w:rStyle w:val="Hyperlink"/>
          <w:color w:val="auto"/>
        </w:rPr>
      </w:pPr>
      <w:r>
        <w:t xml:space="preserve">  </w:t>
      </w:r>
      <w:bookmarkStart w:id="154" w:name="_Toc87039132"/>
      <w:r w:rsidR="00930A75" w:rsidRPr="00930A75">
        <w:rPr>
          <w:u w:val="single"/>
        </w:rPr>
        <w:fldChar w:fldCharType="begin"/>
      </w:r>
      <w:r w:rsidR="00930A75" w:rsidRPr="00930A75">
        <w:rPr>
          <w:u w:val="single"/>
        </w:rPr>
        <w:instrText xml:space="preserve"> HYPERLINK "https://www.scotusblog.com/case-files/cases/henson-v-santander-consumer-usa-inc/" </w:instrText>
      </w:r>
      <w:r w:rsidR="00930A75" w:rsidRPr="00930A75">
        <w:rPr>
          <w:u w:val="single"/>
        </w:rPr>
        <w:fldChar w:fldCharType="separate"/>
      </w:r>
      <w:bookmarkStart w:id="155" w:name="_Toc90983528"/>
      <w:r w:rsidR="00930A75" w:rsidRPr="00930A75">
        <w:rPr>
          <w:rStyle w:val="Hyperlink"/>
        </w:rPr>
        <w:t>HENSON</w:t>
      </w:r>
      <w:r w:rsidR="005C2C60" w:rsidRPr="00930A75">
        <w:rPr>
          <w:rStyle w:val="Hyperlink"/>
        </w:rPr>
        <w:t xml:space="preserve"> v. </w:t>
      </w:r>
      <w:r w:rsidR="00930A75" w:rsidRPr="00930A75">
        <w:rPr>
          <w:rStyle w:val="Hyperlink"/>
        </w:rPr>
        <w:t>SANTANDER CONSUMER USA INC.</w:t>
      </w:r>
      <w:r w:rsidR="00EF7465" w:rsidRPr="00930A75">
        <w:rPr>
          <w:rStyle w:val="Hyperlink"/>
        </w:rPr>
        <w:t xml:space="preserve">, 582 U.S. </w:t>
      </w:r>
      <w:r w:rsidR="005C2C60" w:rsidRPr="00930A75">
        <w:rPr>
          <w:rStyle w:val="Hyperlink"/>
        </w:rPr>
        <w:t>(June 12, 2017)</w:t>
      </w:r>
      <w:bookmarkStart w:id="156" w:name="_Toc79692907"/>
      <w:bookmarkStart w:id="157" w:name="_Toc79693227"/>
      <w:bookmarkStart w:id="158" w:name="_Toc79693547"/>
      <w:bookmarkStart w:id="159" w:name="_Toc79693864"/>
      <w:bookmarkStart w:id="160" w:name="_Toc79694182"/>
      <w:bookmarkStart w:id="161" w:name="_Toc79694504"/>
      <w:bookmarkStart w:id="162" w:name="_Toc79694816"/>
      <w:bookmarkStart w:id="163" w:name="_Toc79695132"/>
      <w:bookmarkStart w:id="164" w:name="_Toc79695448"/>
      <w:bookmarkStart w:id="165" w:name="_Toc79695764"/>
      <w:bookmarkStart w:id="166" w:name="_Toc79696080"/>
      <w:bookmarkStart w:id="167" w:name="_Toc79696396"/>
      <w:bookmarkStart w:id="168" w:name="_Toc79696717"/>
      <w:bookmarkStart w:id="169" w:name="_Toc79697049"/>
      <w:bookmarkStart w:id="170" w:name="_Toc79697378"/>
      <w:bookmarkStart w:id="171" w:name="_Toc79699049"/>
      <w:bookmarkStart w:id="172" w:name="_Toc79699375"/>
      <w:bookmarkStart w:id="173" w:name="_Toc79699713"/>
      <w:bookmarkStart w:id="174" w:name="_Toc79700033"/>
      <w:bookmarkStart w:id="175" w:name="_Toc79700355"/>
      <w:bookmarkStart w:id="176" w:name="_Toc7970067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930A75" w:rsidRPr="00930A75">
        <w:rPr>
          <w:u w:val="single"/>
        </w:rPr>
        <w:fldChar w:fldCharType="end"/>
      </w:r>
    </w:p>
    <w:p w14:paraId="21122FE7" w14:textId="0FD31464" w:rsidR="005C2C60" w:rsidRPr="00743D88" w:rsidRDefault="00DE2FF8" w:rsidP="00810523">
      <w:pPr>
        <w:ind w:left="720"/>
        <w:rPr>
          <w:rFonts w:ascii="Times New Roman" w:hAnsi="Times New Roman"/>
          <w:color w:val="000000"/>
          <w:szCs w:val="24"/>
        </w:rPr>
      </w:pPr>
      <w:r>
        <w:rPr>
          <w:rFonts w:ascii="Times New Roman" w:hAnsi="Times New Roman"/>
          <w:color w:val="000000"/>
          <w:szCs w:val="24"/>
        </w:rPr>
        <w:br/>
      </w:r>
      <w:r w:rsidR="005C2C60" w:rsidRPr="00743D88">
        <w:rPr>
          <w:rFonts w:ascii="Times New Roman" w:hAnsi="Times New Roman"/>
          <w:color w:val="000000"/>
          <w:szCs w:val="24"/>
        </w:rPr>
        <w:t xml:space="preserve">JUSTICE GORSUCH delivered the opinion of the Court. </w:t>
      </w:r>
    </w:p>
    <w:p w14:paraId="7AE3F377"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Disruptive dinnertime calls, downright deceit, and more besides drew Congress’s eye to the debt collection industry. From that scrutiny emerged the Fair Debt Collection Practices Act, a </w:t>
      </w:r>
      <w:r w:rsidRPr="005C2C60">
        <w:rPr>
          <w:rFonts w:ascii="Times New Roman" w:hAnsi="Times New Roman"/>
          <w:szCs w:val="24"/>
        </w:rPr>
        <w:lastRenderedPageBreak/>
        <w:t xml:space="preserve">statute that authorizes private lawsuits and weighty fines designed to deter wayward collection practices. </w:t>
      </w:r>
    </w:p>
    <w:p w14:paraId="16001E75" w14:textId="5C7F8BCC"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So perhaps it comes as little surprise that we now face a question about who exactly qualifies as a “debt collector” subject to the Act’s rigors</w:t>
      </w:r>
      <w:r w:rsidR="00083725" w:rsidRPr="005C2C60">
        <w:rPr>
          <w:rFonts w:ascii="Times New Roman" w:hAnsi="Times New Roman"/>
          <w:szCs w:val="24"/>
        </w:rPr>
        <w:t xml:space="preserve">. </w:t>
      </w:r>
      <w:r w:rsidRPr="005C2C60">
        <w:rPr>
          <w:rFonts w:ascii="Times New Roman" w:hAnsi="Times New Roman"/>
          <w:szCs w:val="24"/>
        </w:rPr>
        <w:t>Everyone agrees that the term embraces the repo man—someone hired by a creditor to collect an outstanding debt</w:t>
      </w:r>
      <w:r w:rsidR="00083725" w:rsidRPr="005C2C60">
        <w:rPr>
          <w:rFonts w:ascii="Times New Roman" w:hAnsi="Times New Roman"/>
          <w:szCs w:val="24"/>
        </w:rPr>
        <w:t xml:space="preserve">. </w:t>
      </w:r>
      <w:r w:rsidRPr="005C2C60">
        <w:rPr>
          <w:rFonts w:ascii="Times New Roman" w:hAnsi="Times New Roman"/>
          <w:szCs w:val="24"/>
        </w:rPr>
        <w:t>But what if you purchase a debt and then try to collect it for yourself— does that make you a “debt collector” too</w:t>
      </w:r>
      <w:r w:rsidR="00083725" w:rsidRPr="005C2C60">
        <w:rPr>
          <w:rFonts w:ascii="Times New Roman" w:hAnsi="Times New Roman"/>
          <w:szCs w:val="24"/>
        </w:rPr>
        <w:t xml:space="preserve">? </w:t>
      </w:r>
      <w:r w:rsidRPr="005C2C60">
        <w:rPr>
          <w:rFonts w:ascii="Times New Roman" w:hAnsi="Times New Roman"/>
          <w:szCs w:val="24"/>
        </w:rPr>
        <w:t>That’s the nub of the dispute now before us. The parties approach the question from common ground</w:t>
      </w:r>
      <w:r w:rsidR="00083725" w:rsidRPr="005C2C60">
        <w:rPr>
          <w:rFonts w:ascii="Times New Roman" w:hAnsi="Times New Roman"/>
          <w:szCs w:val="24"/>
        </w:rPr>
        <w:t xml:space="preserve">. </w:t>
      </w:r>
      <w:r w:rsidRPr="005C2C60">
        <w:rPr>
          <w:rFonts w:ascii="Times New Roman" w:hAnsi="Times New Roman"/>
          <w:szCs w:val="24"/>
        </w:rPr>
        <w:t>The complaint alleges that CitiFinancial Auto loaned money to petitioners seeking to buy cars; that petitioners defaulted on those loans; that respondent Santander then purchased the defaulted loans from CitiFinancial; and that Santander sought to collect in ways petitioners believe troublesome under the Act</w:t>
      </w:r>
      <w:r w:rsidR="00083725" w:rsidRPr="005C2C60">
        <w:rPr>
          <w:rFonts w:ascii="Times New Roman" w:hAnsi="Times New Roman"/>
          <w:szCs w:val="24"/>
        </w:rPr>
        <w:t xml:space="preserve">. </w:t>
      </w:r>
      <w:r w:rsidRPr="005C2C60">
        <w:rPr>
          <w:rFonts w:ascii="Times New Roman" w:hAnsi="Times New Roman"/>
          <w:szCs w:val="24"/>
        </w:rPr>
        <w:t>The parties agree, too, that in deciding whether Santander’s conduct falls within the Act’s ambit we should look to statutory language defining the term “debt collector” to embrace anyone who “regularly collects or attempts to collect . . . debts owed or due . . . another.” 15 U. S. C. §1692a(6). Even when it comes to that question, the parties agree on at least part of an answer</w:t>
      </w:r>
      <w:r w:rsidR="00083725" w:rsidRPr="005C2C60">
        <w:rPr>
          <w:rFonts w:ascii="Times New Roman" w:hAnsi="Times New Roman"/>
          <w:szCs w:val="24"/>
        </w:rPr>
        <w:t xml:space="preserve">. </w:t>
      </w:r>
      <w:r w:rsidRPr="005C2C60">
        <w:rPr>
          <w:rFonts w:ascii="Times New Roman" w:hAnsi="Times New Roman"/>
          <w:szCs w:val="24"/>
        </w:rPr>
        <w:t>Both sides accept that third party debt collection agents generally qualify as “debt collectors” under the relevant statutory language, while those who seek only to collect for themselves loans they originated generally do not. These results follow, the parties tell us, because debt collection agents seek to collect debts “owed . . . another,” while loan originators acting on their own account aim only to collect debts owed to themselves. All that remains in dispute is how to classify individuals and entities who regularly purchase debts originated by someone else and then seek to collect those debts for their own account</w:t>
      </w:r>
      <w:r w:rsidR="00083725" w:rsidRPr="005C2C60">
        <w:rPr>
          <w:rFonts w:ascii="Times New Roman" w:hAnsi="Times New Roman"/>
          <w:szCs w:val="24"/>
        </w:rPr>
        <w:t xml:space="preserve">. </w:t>
      </w:r>
      <w:r w:rsidRPr="005C2C60">
        <w:rPr>
          <w:rFonts w:ascii="Times New Roman" w:hAnsi="Times New Roman"/>
          <w:szCs w:val="24"/>
        </w:rPr>
        <w:t>Does the Act treat the debt purchaser in that scenario more like the repo man or the loan originator</w:t>
      </w:r>
      <w:r w:rsidR="00083725" w:rsidRPr="005C2C60">
        <w:rPr>
          <w:rFonts w:ascii="Times New Roman" w:hAnsi="Times New Roman"/>
          <w:szCs w:val="24"/>
        </w:rPr>
        <w:t xml:space="preserve">? </w:t>
      </w:r>
      <w:r w:rsidRPr="005C2C60">
        <w:rPr>
          <w:rFonts w:ascii="Times New Roman" w:hAnsi="Times New Roman"/>
          <w:szCs w:val="24"/>
        </w:rPr>
        <w:t>[The Court then recognizes a split between the circuit courts which it must resolve]. Before attending to that job, though, we pause to note two related questions we do not attempt to answer today</w:t>
      </w:r>
      <w:r w:rsidR="00083725" w:rsidRPr="005C2C60">
        <w:rPr>
          <w:rFonts w:ascii="Times New Roman" w:hAnsi="Times New Roman"/>
          <w:szCs w:val="24"/>
        </w:rPr>
        <w:t xml:space="preserve">. </w:t>
      </w:r>
    </w:p>
    <w:p w14:paraId="1D9D3CA8" w14:textId="4F50E22F"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First, petitioners suggest that Santander can qualify as a debt collector not only because it regularly seeks to collect for its own account debts that it has purchased, but also because it regularly acts as a third party collection agent for debts owed to others. Petitioners did not, however, raise the latter theory in their petition for certiorari and neither did we agree to review it</w:t>
      </w:r>
      <w:r w:rsidR="00083725" w:rsidRPr="005C2C60">
        <w:rPr>
          <w:rFonts w:ascii="Times New Roman" w:hAnsi="Times New Roman"/>
          <w:szCs w:val="24"/>
        </w:rPr>
        <w:t xml:space="preserve">. </w:t>
      </w:r>
      <w:r w:rsidRPr="005C2C60">
        <w:rPr>
          <w:rFonts w:ascii="Times New Roman" w:hAnsi="Times New Roman"/>
          <w:szCs w:val="24"/>
        </w:rPr>
        <w:t>Second, the parties briefly allude to another statutory definition of the term “debt collector”—one that encompasses those engaged “in any business the principal purpose of which is the collection of any debts.” §1692a(6). But the parties haven’t much litigated that alternative definition and in granting certiorari we didn’t agree to address it either. With these preliminaries by the board, we can turn to the much narrowed question properly before us</w:t>
      </w:r>
      <w:r w:rsidR="00083725" w:rsidRPr="005C2C60">
        <w:rPr>
          <w:rFonts w:ascii="Times New Roman" w:hAnsi="Times New Roman"/>
          <w:szCs w:val="24"/>
        </w:rPr>
        <w:t xml:space="preserve">. </w:t>
      </w:r>
      <w:r w:rsidRPr="005C2C60">
        <w:rPr>
          <w:rFonts w:ascii="Times New Roman" w:hAnsi="Times New Roman"/>
          <w:szCs w:val="24"/>
        </w:rPr>
        <w:t>In doing so, we begin, as we must, with a careful examination of the statutory text</w:t>
      </w:r>
      <w:r w:rsidR="00083725" w:rsidRPr="005C2C60">
        <w:rPr>
          <w:rFonts w:ascii="Times New Roman" w:hAnsi="Times New Roman"/>
          <w:szCs w:val="24"/>
        </w:rPr>
        <w:t xml:space="preserve">. </w:t>
      </w:r>
      <w:r w:rsidRPr="005C2C60">
        <w:rPr>
          <w:rFonts w:ascii="Times New Roman" w:hAnsi="Times New Roman"/>
          <w:szCs w:val="24"/>
        </w:rPr>
        <w:t>And there we find it hard to disagree with the Fourth Circuit’s interpretive handiwork. After all, the Act defines debt collectors to include those who regularly seek to collect debts “owed . . . another.”  And by its plain terms this language seems to focus our attention on third party collection agents working for a debt owner— not on a debt owner seeking to collect debts for itself. Neither does this language appear to suggest that we should care how a debt owner came to be a debt owner— whether the owner originated the debt or came by it only through a later purchase</w:t>
      </w:r>
      <w:r w:rsidR="00083725" w:rsidRPr="005C2C60">
        <w:rPr>
          <w:rFonts w:ascii="Times New Roman" w:hAnsi="Times New Roman"/>
          <w:szCs w:val="24"/>
        </w:rPr>
        <w:t xml:space="preserve">. </w:t>
      </w:r>
      <w:r w:rsidRPr="005C2C60">
        <w:rPr>
          <w:rFonts w:ascii="Times New Roman" w:hAnsi="Times New Roman"/>
          <w:szCs w:val="24"/>
        </w:rPr>
        <w:t>All that matters is whether the target of the lawsuit regularly seeks to collect debts for its own account or does so for “another.”  And given that, it would seem a debt purchaser like Santander may indeed collect debts for its own account without triggering the statutory definition in dispute, just as the Fourth Circuit explained</w:t>
      </w:r>
      <w:r w:rsidR="00083725" w:rsidRPr="005C2C60">
        <w:rPr>
          <w:rFonts w:ascii="Times New Roman" w:hAnsi="Times New Roman"/>
          <w:szCs w:val="24"/>
        </w:rPr>
        <w:t xml:space="preserve">. </w:t>
      </w:r>
      <w:r w:rsidRPr="005C2C60">
        <w:rPr>
          <w:rFonts w:ascii="Times New Roman" w:hAnsi="Times New Roman"/>
          <w:szCs w:val="24"/>
        </w:rPr>
        <w:t>[The Court then rejects Petitioner’s argument that “owed” is a past participle that would not apply to purchased debts]</w:t>
      </w:r>
      <w:r w:rsidR="00083725" w:rsidRPr="005C2C60">
        <w:rPr>
          <w:rFonts w:ascii="Times New Roman" w:hAnsi="Times New Roman"/>
          <w:szCs w:val="24"/>
        </w:rPr>
        <w:t xml:space="preserve">. </w:t>
      </w:r>
    </w:p>
    <w:p w14:paraId="342CBDD1" w14:textId="024F3528"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lastRenderedPageBreak/>
        <w:t>Elsewhere, Congress recognized the distinction between a debt “originated by” the collector and a debt “owed or due” another</w:t>
      </w:r>
      <w:r w:rsidR="00083725" w:rsidRPr="005C2C60">
        <w:rPr>
          <w:rFonts w:ascii="Times New Roman" w:hAnsi="Times New Roman"/>
          <w:szCs w:val="24"/>
        </w:rPr>
        <w:t xml:space="preserve">. </w:t>
      </w:r>
      <w:r w:rsidRPr="005C2C60">
        <w:rPr>
          <w:rFonts w:ascii="Times New Roman" w:hAnsi="Times New Roman"/>
          <w:szCs w:val="24"/>
        </w:rPr>
        <w:t xml:space="preserve">§1692a(6)(F)(ii). And elsewhere still, Congress drew a line between the “original” and “current” creditor. §1692g(a)(5). Yet no similar distinction can be found in the language now before us. To the contrary, the statutory text at issue speaks not at all about originators and current debt owners but only about whether the defendant seeks to collect on behalf of itself or “another.” </w:t>
      </w:r>
    </w:p>
    <w:p w14:paraId="337ACB06" w14:textId="0B4234AA"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Even what may be petitioners’ best piece of contextual evidence ultimately proves unhelpful to their cause. Petitioners point out that the Act exempts from the definition of “debt collector” certain individuals who have “obtained” particular kinds of debt—for example, debts not yet in default or debts connected to secured commercial credit transactions. §§1692a(6)(F)(iii) and (F)(iv)</w:t>
      </w:r>
      <w:r w:rsidR="00083725" w:rsidRPr="005C2C60">
        <w:rPr>
          <w:rFonts w:ascii="Times New Roman" w:hAnsi="Times New Roman"/>
          <w:szCs w:val="24"/>
        </w:rPr>
        <w:t xml:space="preserve">. </w:t>
      </w:r>
      <w:r w:rsidRPr="005C2C60">
        <w:rPr>
          <w:rFonts w:ascii="Times New Roman" w:hAnsi="Times New Roman"/>
          <w:szCs w:val="24"/>
        </w:rPr>
        <w:t>And because these exemptions co</w:t>
      </w:r>
      <w:r w:rsidR="00D04948">
        <w:rPr>
          <w:rFonts w:ascii="Times New Roman" w:hAnsi="Times New Roman"/>
          <w:szCs w:val="24"/>
        </w:rPr>
        <w:t xml:space="preserve">ntemplate the possibility that </w:t>
      </w:r>
      <w:r w:rsidRPr="005C2C60">
        <w:rPr>
          <w:rFonts w:ascii="Times New Roman" w:hAnsi="Times New Roman"/>
          <w:szCs w:val="24"/>
        </w:rPr>
        <w:t xml:space="preserve">someone might “obtain” a debt “owed or due . . . another,” petitioners submit, the word “owed” must refer only to a previous owner. This conclusion, they say, necessarily follows because, once you have “obtained” a debt, that same debt just cannot be currently “owed or due” another. </w:t>
      </w:r>
    </w:p>
    <w:p w14:paraId="08CB85B1" w14:textId="2FD12BD2"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This last and quite essential premise of the argument, however, misses its mark</w:t>
      </w:r>
      <w:r w:rsidR="00083725" w:rsidRPr="005C2C60">
        <w:rPr>
          <w:rFonts w:ascii="Times New Roman" w:hAnsi="Times New Roman"/>
          <w:szCs w:val="24"/>
        </w:rPr>
        <w:t xml:space="preserve">. </w:t>
      </w:r>
      <w:r w:rsidRPr="005C2C60">
        <w:rPr>
          <w:rFonts w:ascii="Times New Roman" w:hAnsi="Times New Roman"/>
          <w:szCs w:val="24"/>
        </w:rPr>
        <w:t>As a matter of ordinary English, the word “obtained” can (and often does) refer to taking possession of a piece of property without also taking ownership. You might, for example, take possession of a debt for servicing and collection even while the debt formally remains owed another</w:t>
      </w:r>
      <w:r w:rsidR="00083725" w:rsidRPr="005C2C60">
        <w:rPr>
          <w:rFonts w:ascii="Times New Roman" w:hAnsi="Times New Roman"/>
          <w:szCs w:val="24"/>
        </w:rPr>
        <w:t xml:space="preserve">. </w:t>
      </w:r>
      <w:r w:rsidRPr="005C2C60">
        <w:rPr>
          <w:rFonts w:ascii="Times New Roman" w:hAnsi="Times New Roman"/>
          <w:szCs w:val="24"/>
        </w:rPr>
        <w:t>Or as a secured party you might take possession of a debt as collateral, again without taking full ownership of it</w:t>
      </w:r>
      <w:r w:rsidR="00083725" w:rsidRPr="005C2C60">
        <w:rPr>
          <w:rFonts w:ascii="Times New Roman" w:hAnsi="Times New Roman"/>
          <w:szCs w:val="24"/>
        </w:rPr>
        <w:t xml:space="preserve">. </w:t>
      </w:r>
      <w:r w:rsidRPr="005C2C60">
        <w:rPr>
          <w:rFonts w:ascii="Times New Roman" w:hAnsi="Times New Roman"/>
          <w:szCs w:val="24"/>
        </w:rPr>
        <w:t>So it simply isn’t the case that the statute’s exclusions imply that the phrase “owed . . . another” must refer to debts previously owed to another</w:t>
      </w:r>
      <w:r w:rsidR="00083725" w:rsidRPr="005C2C60">
        <w:rPr>
          <w:rFonts w:ascii="Times New Roman" w:hAnsi="Times New Roman"/>
          <w:szCs w:val="24"/>
        </w:rPr>
        <w:t xml:space="preserve">. </w:t>
      </w:r>
      <w:r w:rsidRPr="005C2C60">
        <w:rPr>
          <w:rFonts w:ascii="Times New Roman" w:hAnsi="Times New Roman"/>
          <w:szCs w:val="24"/>
        </w:rPr>
        <w:t xml:space="preserve">By this point petitioners find themselves in retreat. On their view, debt purchasers surely qualify as collectors at least when they regularly purchase and seek to collect defaulted debts—just as Santander allegedly did here. [U]nder the definition at issue before us you have to attempt to collect debts owed another before you can ever qualify as a debt collector. And petitioners’ argument simply does not fully confront this plain and implacable textual prerequisite. </w:t>
      </w:r>
    </w:p>
    <w:p w14:paraId="02D488FB" w14:textId="409DE9C3"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Likewise, even spotting (without granting) the premise that a person cannot be both a creditor and a debt collector with respect to a particular debt, we don’t see why a defaulted debt purchaser like Santander couldn’t qualify as a creditor</w:t>
      </w:r>
      <w:r w:rsidR="00083725" w:rsidRPr="005C2C60">
        <w:rPr>
          <w:rFonts w:ascii="Times New Roman" w:hAnsi="Times New Roman"/>
          <w:szCs w:val="24"/>
        </w:rPr>
        <w:t xml:space="preserve">. </w:t>
      </w:r>
      <w:r w:rsidRPr="005C2C60">
        <w:rPr>
          <w:rFonts w:ascii="Times New Roman" w:hAnsi="Times New Roman"/>
          <w:szCs w:val="24"/>
        </w:rPr>
        <w:t>For while the creditor definition excludes persons who “receive an assignment or transfer of a debt in default,” it does so only (and yet again) when the debt is assigned or transferred “solely for the purpose of facilitating collection of such debt for another.” Ibid. (emphasis added)</w:t>
      </w:r>
      <w:r w:rsidR="00083725" w:rsidRPr="005C2C60">
        <w:rPr>
          <w:rFonts w:ascii="Times New Roman" w:hAnsi="Times New Roman"/>
          <w:szCs w:val="24"/>
        </w:rPr>
        <w:t xml:space="preserve">. </w:t>
      </w:r>
      <w:r w:rsidRPr="005C2C60">
        <w:rPr>
          <w:rFonts w:ascii="Times New Roman" w:hAnsi="Times New Roman"/>
          <w:szCs w:val="24"/>
        </w:rPr>
        <w:t xml:space="preserve">So a company collecting purchased defaulted debt for its own account—like Santander— would hardly seem to be barred from qualifying as a creditor under the statute’s plain terms. </w:t>
      </w:r>
    </w:p>
    <w:p w14:paraId="2E97C912"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[Petitioners then argue that] had Congress known this new [debt collection] industry would blossom, they say, it surely would have judged defaulted debt purchasers more like (and in need of the same special rules as) independent debt collectors. Indeed, petitioners contend that no other result would be consistent with the overarching congressional goal of deterring untoward debt collection practices. </w:t>
      </w:r>
    </w:p>
    <w:p w14:paraId="100980C0"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All this seems to us quite a lot of speculation. And while it is of course our job to apply faithfully the law Congress has written, it is never our job to rewrite a constitutionally valid statutory text under the banner of speculation about what Congress might have done had it faced a question that, on everyone’s account, it never faced. </w:t>
      </w:r>
    </w:p>
    <w:p w14:paraId="579CFB9F" w14:textId="04BB8F6F"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lastRenderedPageBreak/>
        <w:t>In the end, reasonable people can disagree with how Congress balanced the various social costs and benefits in this area. We have no difficulty imagining, for example, a statute that applies the Act’s demands to anyone collecting any debts, anyone collecting debts originated by another, or to some other class of persons still</w:t>
      </w:r>
      <w:r w:rsidR="00083725" w:rsidRPr="005C2C60">
        <w:rPr>
          <w:rFonts w:ascii="Times New Roman" w:hAnsi="Times New Roman"/>
          <w:szCs w:val="24"/>
        </w:rPr>
        <w:t xml:space="preserve">. </w:t>
      </w:r>
      <w:r w:rsidRPr="005C2C60">
        <w:rPr>
          <w:rFonts w:ascii="Times New Roman" w:hAnsi="Times New Roman"/>
          <w:szCs w:val="24"/>
        </w:rPr>
        <w:t>Neither do we doubt that the evolution of the debt collection business might invite reasonable disagreements on whether Congress should reenter the field and alter the judgments it made in the past</w:t>
      </w:r>
      <w:r w:rsidR="00083725" w:rsidRPr="005C2C60">
        <w:rPr>
          <w:rFonts w:ascii="Times New Roman" w:hAnsi="Times New Roman"/>
          <w:szCs w:val="24"/>
        </w:rPr>
        <w:t xml:space="preserve">. </w:t>
      </w:r>
      <w:r w:rsidRPr="005C2C60">
        <w:rPr>
          <w:rFonts w:ascii="Times New Roman" w:hAnsi="Times New Roman"/>
          <w:szCs w:val="24"/>
        </w:rPr>
        <w:t>After all, it’s hardly unknown for new business models to emerge in response to regulation, and for regulation in turn to address new business models</w:t>
      </w:r>
      <w:r w:rsidR="00083725" w:rsidRPr="005C2C60">
        <w:rPr>
          <w:rFonts w:ascii="Times New Roman" w:hAnsi="Times New Roman"/>
          <w:szCs w:val="24"/>
        </w:rPr>
        <w:t xml:space="preserve">. </w:t>
      </w:r>
      <w:r w:rsidRPr="005C2C60">
        <w:rPr>
          <w:rFonts w:ascii="Times New Roman" w:hAnsi="Times New Roman"/>
          <w:szCs w:val="24"/>
        </w:rPr>
        <w:t xml:space="preserve">Constant competition between constable and quarry, regulator and regulated, can come as no surprise in our changing world. </w:t>
      </w:r>
    </w:p>
    <w:p w14:paraId="44A74DAD" w14:textId="5CE6CF84" w:rsidR="005C2C60" w:rsidRDefault="005C2C60" w:rsidP="00EF7465">
      <w:pPr>
        <w:ind w:firstLine="720"/>
        <w:jc w:val="both"/>
        <w:rPr>
          <w:rFonts w:ascii="Times New Roman" w:hAnsi="Times New Roman"/>
          <w:szCs w:val="24"/>
        </w:rPr>
      </w:pPr>
      <w:r w:rsidRPr="005C2C60">
        <w:rPr>
          <w:rFonts w:ascii="Times New Roman" w:hAnsi="Times New Roman"/>
          <w:szCs w:val="24"/>
        </w:rPr>
        <w:t>But neither should the proper role of the judiciary in that process—to apply, not amend, the work of the People’s representatives. The judgment of the Court of Appeals is affirmed.</w:t>
      </w:r>
    </w:p>
    <w:p w14:paraId="1DB3E1AF" w14:textId="77777777" w:rsidR="00930A75" w:rsidRPr="00EF7465" w:rsidRDefault="00930A75" w:rsidP="00EF7465">
      <w:pPr>
        <w:ind w:firstLine="720"/>
        <w:jc w:val="both"/>
        <w:rPr>
          <w:rFonts w:ascii="Times New Roman" w:hAnsi="Times New Roman"/>
          <w:szCs w:val="24"/>
        </w:rPr>
      </w:pPr>
    </w:p>
    <w:p w14:paraId="30D9D49B" w14:textId="0C8074E9" w:rsidR="00810523" w:rsidRPr="00810523" w:rsidRDefault="00184B8D" w:rsidP="00B32E37">
      <w:pPr>
        <w:pStyle w:val="Heading2"/>
        <w:spacing w:line="240" w:lineRule="auto"/>
      </w:pPr>
      <w:bookmarkStart w:id="177" w:name="_Toc417380714"/>
      <w:bookmarkStart w:id="178" w:name="_Toc79699050"/>
      <w:bookmarkStart w:id="179" w:name="_Toc79699376"/>
      <w:bookmarkStart w:id="180" w:name="_Toc79699714"/>
      <w:bookmarkStart w:id="181" w:name="_Toc79700034"/>
      <w:bookmarkStart w:id="182" w:name="_Toc79700356"/>
      <w:bookmarkStart w:id="183" w:name="_Toc87039133"/>
      <w:bookmarkStart w:id="184" w:name="_Toc90983529"/>
      <w:r w:rsidRPr="00D27C8F">
        <w:t>T</w:t>
      </w:r>
      <w:r w:rsidR="003A4180" w:rsidRPr="00D27C8F">
        <w:t xml:space="preserve">he Judicial System </w:t>
      </w:r>
      <w:r w:rsidR="001C627F" w:rsidRPr="00D27C8F">
        <w:t>for Collecting Unsecured Claims</w:t>
      </w:r>
      <w:bookmarkEnd w:id="177"/>
      <w:r w:rsidR="005F76D5">
        <w:t xml:space="preserve"> – </w:t>
      </w:r>
      <w:r w:rsidR="00870FB5" w:rsidRPr="00D27C8F">
        <w:t>Obtaining and Enforcing a Judgment</w:t>
      </w:r>
      <w:bookmarkStart w:id="185" w:name="_Toc79692908"/>
      <w:bookmarkStart w:id="186" w:name="_Toc79693228"/>
      <w:bookmarkStart w:id="187" w:name="_Toc79693548"/>
      <w:bookmarkStart w:id="188" w:name="_Toc79693865"/>
      <w:bookmarkStart w:id="189" w:name="_Toc79694505"/>
      <w:bookmarkStart w:id="190" w:name="_Toc79695133"/>
      <w:bookmarkStart w:id="191" w:name="_Toc79697379"/>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00B32E37">
        <w:br/>
      </w:r>
    </w:p>
    <w:p w14:paraId="03DAAF53" w14:textId="2BE01EBF" w:rsidR="0081519A" w:rsidRPr="007A5BBC" w:rsidRDefault="00FF7A1D" w:rsidP="00DC3365">
      <w:pPr>
        <w:pStyle w:val="0-NORMAL"/>
      </w:pPr>
      <w:r w:rsidRPr="007A5BBC">
        <w:t xml:space="preserve"> </w:t>
      </w:r>
      <w:r w:rsidR="001C627F" w:rsidRPr="007A5BBC">
        <w:t xml:space="preserve">In order to collect an unsecured debt </w:t>
      </w:r>
      <w:r w:rsidR="003A4180" w:rsidRPr="007A5BBC">
        <w:t>using the judicial process, an unsecured creditor must file a lawsuit against the debtor, win the suit by obtaining a money judgment from the court</w:t>
      </w:r>
      <w:r w:rsidR="001C627F" w:rsidRPr="007A5BBC">
        <w:t>, and then enforce the judgment against the debtor’s property</w:t>
      </w:r>
      <w:r w:rsidR="005F6A8B">
        <w:t xml:space="preserve">. </w:t>
      </w:r>
      <w:r w:rsidR="003A4180" w:rsidRPr="007A5BBC">
        <w:t>The process for obtaining a money judgment can be long and expensive if the debtor files an answer to the complaint</w:t>
      </w:r>
      <w:r w:rsidR="005F6A8B">
        <w:t xml:space="preserve">. </w:t>
      </w:r>
      <w:r w:rsidR="003A4180" w:rsidRPr="007A5BBC">
        <w:t>Fortunately for creditors</w:t>
      </w:r>
      <w:r w:rsidR="001C627F" w:rsidRPr="007A5BBC">
        <w:t xml:space="preserve"> in consumer cases, </w:t>
      </w:r>
      <w:r w:rsidR="0081519A" w:rsidRPr="007A5BBC">
        <w:t xml:space="preserve">most debtors </w:t>
      </w:r>
      <w:r w:rsidR="003A4180" w:rsidRPr="007A5BBC">
        <w:t xml:space="preserve">do not </w:t>
      </w:r>
      <w:r w:rsidR="0081519A" w:rsidRPr="007A5BBC">
        <w:t xml:space="preserve">have the knowledge (or financial ability to hire someone with the knowledge to represent them) to </w:t>
      </w:r>
      <w:r w:rsidR="003A4180"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003A4180" w:rsidRPr="007A5BBC">
        <w:t xml:space="preserve">creditor </w:t>
      </w:r>
      <w:r w:rsidR="0081519A" w:rsidRPr="007A5BBC">
        <w:t xml:space="preserve">can </w:t>
      </w:r>
      <w:r w:rsidR="003A4180" w:rsidRPr="007A5BBC">
        <w:t>obtain a fa</w:t>
      </w:r>
      <w:r w:rsidR="0081519A" w:rsidRPr="007A5BBC">
        <w:t>st and cheap default judgment, and can then proceed to enforce that judgment.</w:t>
      </w:r>
    </w:p>
    <w:p w14:paraId="412EEEE0" w14:textId="5C8CD080" w:rsidR="003A4180" w:rsidRPr="007A5BBC" w:rsidRDefault="0081519A" w:rsidP="00DC3365">
      <w:pPr>
        <w:pStyle w:val="0-NORMAL"/>
      </w:pPr>
      <w:r w:rsidRPr="007A5BBC">
        <w:t xml:space="preserve">The lawsuit process is slowed down considerably if </w:t>
      </w:r>
      <w:r w:rsidR="003A4180" w:rsidRPr="007A5BBC">
        <w:t xml:space="preserve">the </w:t>
      </w:r>
      <w:r w:rsidR="008B3263">
        <w:t>defendant/</w:t>
      </w:r>
      <w:r w:rsidR="003A4180" w:rsidRPr="007A5BBC">
        <w:t>debtor files an answer to the complaint</w:t>
      </w:r>
      <w:r w:rsidR="005F6A8B">
        <w:t xml:space="preserve">. </w:t>
      </w:r>
      <w:r w:rsidR="003A4180" w:rsidRPr="007A5BBC">
        <w:t>The creditor must either win the suit by summary judgment or prove the case at trial – a process that can take years in many jurisdictions and can be extremely costly</w:t>
      </w:r>
      <w:r w:rsidR="005F6A8B">
        <w:t xml:space="preserve">. </w:t>
      </w:r>
      <w:r w:rsidR="008B3263">
        <w:t>In New York</w:t>
      </w:r>
      <w:r w:rsidR="003A4180" w:rsidRPr="007A5BBC">
        <w:t>, collection firms often let the suit languish or drop the suit entirely if the debtor</w:t>
      </w:r>
      <w:r w:rsidRPr="007A5BBC">
        <w:t xml:space="preserve"> merely</w:t>
      </w:r>
      <w:r w:rsidR="003A4180" w:rsidRPr="007A5BBC">
        <w:t xml:space="preserve"> files an answer to</w:t>
      </w:r>
      <w:r w:rsidRPr="007A5BBC">
        <w:t xml:space="preserve"> the complaint</w:t>
      </w:r>
      <w:r w:rsidR="008B3263">
        <w:t xml:space="preserve">, because it </w:t>
      </w:r>
      <w:r w:rsidRPr="007A5BBC">
        <w:t xml:space="preserve">is simply not worth the money for a creditor in a small consumer case to </w:t>
      </w:r>
      <w:r w:rsidR="008B3263">
        <w:t xml:space="preserve">have to </w:t>
      </w:r>
      <w:r w:rsidRPr="007A5BBC">
        <w:t xml:space="preserve">prove </w:t>
      </w:r>
      <w:r w:rsidR="008B3263">
        <w:t xml:space="preserve">the </w:t>
      </w:r>
      <w:r w:rsidRPr="007A5BBC">
        <w:t>claim</w:t>
      </w:r>
      <w:r w:rsidR="005F6A8B">
        <w:t xml:space="preserve">. </w:t>
      </w:r>
      <w:r w:rsidR="008B3263">
        <w:t xml:space="preserve">I advise </w:t>
      </w:r>
      <w:r w:rsidR="003A4180" w:rsidRPr="007A5BBC">
        <w:t xml:space="preserve">debtors to </w:t>
      </w:r>
      <w:r w:rsidRPr="007A5BBC">
        <w:t xml:space="preserve">always </w:t>
      </w:r>
      <w:r w:rsidR="003A4180" w:rsidRPr="007A5BBC">
        <w:t>file an answer</w:t>
      </w:r>
      <w:r w:rsidRPr="007A5BBC">
        <w:t xml:space="preserve"> to a complaint</w:t>
      </w:r>
      <w:r w:rsidR="003A4180" w:rsidRPr="007A5BBC">
        <w:t>, even if</w:t>
      </w:r>
      <w:r w:rsidRPr="007A5BBC">
        <w:t xml:space="preserve"> </w:t>
      </w:r>
      <w:r w:rsidR="008B3263">
        <w:t xml:space="preserve">they have </w:t>
      </w:r>
      <w:r w:rsidRPr="007A5BBC">
        <w:t>no real defenses</w:t>
      </w:r>
      <w:r w:rsidR="005F6A8B">
        <w:t xml:space="preserve">. </w:t>
      </w:r>
      <w:r w:rsidRPr="007A5BBC">
        <w:t>T</w:t>
      </w:r>
      <w:r w:rsidR="003A4180" w:rsidRPr="007A5BBC">
        <w:t>here is nothing wrong with ma</w:t>
      </w:r>
      <w:r w:rsidRPr="007A5BBC">
        <w:t>king a creditor prove its case</w:t>
      </w:r>
      <w:r w:rsidR="005F6A8B">
        <w:t xml:space="preserve">. </w:t>
      </w:r>
      <w:r w:rsidRPr="007A5BBC">
        <w:t>Unfortunately, by the time debtors seek legal assistance, they are usually facing the loss of property, and have often waived legitimate defenses by failing to file a timely answer.</w:t>
      </w:r>
    </w:p>
    <w:p w14:paraId="5FE50961" w14:textId="5C29F078" w:rsidR="0081519A" w:rsidRPr="007A5BBC" w:rsidRDefault="0081519A" w:rsidP="00DC3365">
      <w:pPr>
        <w:pStyle w:val="0-NORMAL"/>
      </w:pPr>
      <w:r w:rsidRPr="007A5BBC">
        <w:t xml:space="preserve">After </w:t>
      </w:r>
      <w:r w:rsidR="003A4180" w:rsidRPr="007A5BBC">
        <w:t>the creditor recovers a money judgment</w:t>
      </w:r>
      <w:r w:rsidRPr="007A5BBC">
        <w:t xml:space="preserve"> (usually by default, or after summary judgment or trial)</w:t>
      </w:r>
      <w:r w:rsidR="003A4180" w:rsidRPr="007A5BBC">
        <w:t>, the creditor can apply to the clerk of the court for a writ of execution</w:t>
      </w:r>
      <w:r w:rsidRPr="007A5BBC">
        <w:t xml:space="preserve"> or something similar (in the old days it was called a “writ of fieri facias” or “fi fa,” and it is still called that in some jurisdictions)</w:t>
      </w:r>
      <w:r w:rsidR="005F6A8B">
        <w:t xml:space="preserve">. </w:t>
      </w:r>
      <w:r w:rsidR="003A4180" w:rsidRPr="007A5BBC">
        <w:t xml:space="preserve">The writ </w:t>
      </w:r>
      <w:r w:rsidRPr="007A5BBC">
        <w:t xml:space="preserve">by whatever name is used in the state </w:t>
      </w:r>
      <w:r w:rsidR="003A4180" w:rsidRPr="007A5BBC">
        <w:t xml:space="preserve">instructs the levying officer </w:t>
      </w:r>
      <w:r w:rsidRPr="007A5BBC">
        <w:t xml:space="preserve">(usually the County Sheriff) </w:t>
      </w:r>
      <w:r w:rsidR="003A4180" w:rsidRPr="007A5BBC">
        <w:t xml:space="preserve">to recover and sell the </w:t>
      </w:r>
      <w:r w:rsidRPr="007A5BBC">
        <w:t xml:space="preserve">identified </w:t>
      </w:r>
      <w:r w:rsidR="003A4180" w:rsidRPr="007A5BBC">
        <w:t xml:space="preserve">property to satisfy the creditor’s </w:t>
      </w:r>
      <w:r w:rsidRPr="007A5BBC">
        <w:t>judgment</w:t>
      </w:r>
      <w:r w:rsidR="005F6A8B">
        <w:t xml:space="preserve">. </w:t>
      </w:r>
      <w:r w:rsidR="003A4180" w:rsidRPr="007A5BBC">
        <w:t>The creditor must identify property owned by the judgment debtor that is available for execution</w:t>
      </w:r>
      <w:r w:rsidRPr="007A5BBC">
        <w:t>, and provide the levying officer with the location of the property</w:t>
      </w:r>
      <w:r w:rsidR="005F6A8B">
        <w:t xml:space="preserve">. </w:t>
      </w:r>
    </w:p>
    <w:p w14:paraId="01ABC660" w14:textId="5F4400F9" w:rsidR="00921C2C" w:rsidRPr="007A5BBC" w:rsidRDefault="0081519A" w:rsidP="00DC3365">
      <w:pPr>
        <w:pStyle w:val="0-NORMAL"/>
      </w:pPr>
      <w:r w:rsidRPr="007A5BBC">
        <w:t xml:space="preserve">In order to determine what property is available for execution, </w:t>
      </w:r>
      <w:r w:rsidR="003A4180" w:rsidRPr="007A5BBC">
        <w:t xml:space="preserve">the creditor </w:t>
      </w:r>
      <w:r w:rsidRPr="007A5BBC">
        <w:t xml:space="preserve">after obtaining a judgment </w:t>
      </w:r>
      <w:r w:rsidR="003A4180" w:rsidRPr="007A5BBC">
        <w:t xml:space="preserve">can take discovery </w:t>
      </w:r>
      <w:r w:rsidR="00921C2C" w:rsidRPr="007A5BBC">
        <w:t xml:space="preserve">from the debtor </w:t>
      </w:r>
      <w:r w:rsidR="003A4180" w:rsidRPr="007A5BBC">
        <w:t>to determine the existence and location of the judgment debtor’s non-exempt property</w:t>
      </w:r>
      <w:r w:rsidR="005F6A8B">
        <w:t xml:space="preserve">. </w:t>
      </w:r>
      <w:r w:rsidR="003A4180" w:rsidRPr="007A5BBC">
        <w:t xml:space="preserve">In small cases this is done by written interrogatory – in </w:t>
      </w:r>
      <w:r w:rsidR="003A4180" w:rsidRPr="007A5BBC">
        <w:lastRenderedPageBreak/>
        <w:t>larger cases this is done by oral examination (deposition)</w:t>
      </w:r>
      <w:r w:rsidR="005F6A8B">
        <w:t xml:space="preserve">. </w:t>
      </w:r>
      <w:r w:rsidR="003A4180" w:rsidRPr="007A5BBC">
        <w:t>Creditors can also discover the location of assets using governme</w:t>
      </w:r>
      <w:r w:rsidR="00921C2C" w:rsidRPr="007A5BBC">
        <w:t xml:space="preserve">ntal and database searches, or from </w:t>
      </w:r>
      <w:r w:rsidR="003A4180" w:rsidRPr="007A5BBC">
        <w:t>information provided by the debtor when the original credit was extended</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3DA3AF4B" w:rsidR="003A4180" w:rsidRDefault="003A4180" w:rsidP="00DC3365">
      <w:pPr>
        <w:pStyle w:val="0-NORMAL"/>
      </w:pPr>
      <w:r w:rsidRPr="007A5BBC">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4B88987A" w14:textId="77777777" w:rsidR="00B32E37" w:rsidRPr="007A5BBC" w:rsidRDefault="00B32E37" w:rsidP="00DC3365">
      <w:pPr>
        <w:pStyle w:val="0-NORMAL"/>
      </w:pPr>
    </w:p>
    <w:p w14:paraId="2F7E4D2A" w14:textId="6DA030BF" w:rsidR="00CC1EE0" w:rsidRPr="007A5BBC" w:rsidRDefault="00CC1EE0" w:rsidP="00B32E37">
      <w:pPr>
        <w:pStyle w:val="Heading2"/>
        <w:spacing w:line="240" w:lineRule="auto"/>
      </w:pPr>
      <w:bookmarkStart w:id="192" w:name="ProvisionalRemedies"/>
      <w:bookmarkStart w:id="193" w:name="_Toc79699051"/>
      <w:bookmarkStart w:id="194" w:name="_Toc79699377"/>
      <w:bookmarkStart w:id="195" w:name="_Toc79699715"/>
      <w:bookmarkStart w:id="196" w:name="_Toc79700035"/>
      <w:bookmarkStart w:id="197" w:name="_Toc79700357"/>
      <w:bookmarkStart w:id="198" w:name="_Toc87039134"/>
      <w:bookmarkStart w:id="199" w:name="_Toc90983530"/>
      <w:r w:rsidRPr="007A5BBC">
        <w:t>Provisional Remedies</w:t>
      </w:r>
      <w:bookmarkEnd w:id="192"/>
      <w:bookmarkEnd w:id="193"/>
      <w:bookmarkEnd w:id="194"/>
      <w:bookmarkEnd w:id="195"/>
      <w:bookmarkEnd w:id="196"/>
      <w:bookmarkEnd w:id="197"/>
      <w:bookmarkEnd w:id="198"/>
      <w:bookmarkEnd w:id="199"/>
      <w:r w:rsidR="005F6A8B">
        <w:t xml:space="preserve"> </w:t>
      </w:r>
      <w:bookmarkStart w:id="200" w:name="_Toc79692909"/>
      <w:bookmarkStart w:id="201" w:name="_Toc79693229"/>
      <w:bookmarkStart w:id="202" w:name="_Toc79693549"/>
      <w:bookmarkStart w:id="203" w:name="_Toc79693866"/>
      <w:bookmarkStart w:id="204" w:name="_Toc79694506"/>
      <w:bookmarkStart w:id="205" w:name="_Toc79695134"/>
      <w:bookmarkStart w:id="206" w:name="_Toc79697380"/>
      <w:bookmarkEnd w:id="200"/>
      <w:bookmarkEnd w:id="201"/>
      <w:bookmarkEnd w:id="202"/>
      <w:bookmarkEnd w:id="203"/>
      <w:bookmarkEnd w:id="204"/>
      <w:bookmarkEnd w:id="205"/>
      <w:bookmarkEnd w:id="206"/>
      <w:r w:rsidR="00B32E37">
        <w:br/>
      </w:r>
    </w:p>
    <w:p w14:paraId="5EF73042" w14:textId="51CAF659" w:rsidR="00CB4603" w:rsidRPr="007A5BBC" w:rsidRDefault="00CC1EE0" w:rsidP="00DC3365">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rsidR="005F6A8B">
        <w:t xml:space="preserve">. </w:t>
      </w:r>
      <w:r w:rsidR="00620D16" w:rsidRPr="007A5BBC">
        <w:t>Under a pre-judgment writ of attachment, t</w:t>
      </w:r>
      <w:r w:rsidR="00CB4603" w:rsidRPr="007A5BBC">
        <w:t>he lev</w:t>
      </w:r>
      <w:r w:rsidR="00620D16" w:rsidRPr="007A5BBC">
        <w:t>y</w:t>
      </w:r>
      <w:r w:rsidR="00CB4603" w:rsidRPr="007A5BBC">
        <w:t>ing officer would hold and protect the property pending the final outcome of the case</w:t>
      </w:r>
      <w:r w:rsidR="005F6A8B">
        <w:t xml:space="preserve">. </w:t>
      </w:r>
    </w:p>
    <w:p w14:paraId="2C9BA539" w14:textId="57989AC1" w:rsidR="00977A0B" w:rsidRPr="007A5BBC" w:rsidRDefault="00CC1EE0" w:rsidP="00DC3365">
      <w:pPr>
        <w:pStyle w:val="0-NORMAL"/>
      </w:pPr>
      <w:r w:rsidRPr="007A5BBC">
        <w:t xml:space="preserve">At one time, state statutes allowed creditors to recover collateral or </w:t>
      </w:r>
      <w:r w:rsidR="00CB4603" w:rsidRPr="007A5BBC">
        <w:t xml:space="preserve">obtain </w:t>
      </w:r>
      <w:r w:rsidRPr="007A5BBC">
        <w:t xml:space="preserve">prejudgment attachment </w:t>
      </w:r>
      <w:r w:rsidR="00CB4603" w:rsidRPr="007A5BBC">
        <w:t xml:space="preserve">and garnishment </w:t>
      </w:r>
      <w:r w:rsidRPr="007A5BBC">
        <w:t>using court process without prior notice to the judgment debtor</w:t>
      </w:r>
      <w:r w:rsidR="00CB4603" w:rsidRPr="007A5BBC">
        <w:t>, and without requiring</w:t>
      </w:r>
      <w:r w:rsidR="00977A0B" w:rsidRPr="007A5BBC">
        <w:t xml:space="preserve"> proof to the satisfaction of a judge</w:t>
      </w:r>
      <w:r w:rsidR="005F6A8B">
        <w:t xml:space="preserve">. </w:t>
      </w:r>
      <w:r w:rsidR="00977A0B" w:rsidRPr="007A5BBC">
        <w:t>Indeed, often defendants could be deprived of the possession of property based on nothing more than an attorney’s allegation</w:t>
      </w:r>
      <w:r w:rsidR="005F6A8B">
        <w:t xml:space="preserve">. </w:t>
      </w:r>
    </w:p>
    <w:p w14:paraId="2790DF98" w14:textId="2D7FDB68" w:rsidR="00977A0B" w:rsidRPr="007A5BBC" w:rsidRDefault="00CF0AA3" w:rsidP="00DC3365">
      <w:pPr>
        <w:pStyle w:val="0-NORMAL"/>
      </w:pPr>
      <w:r w:rsidRPr="007A5BBC">
        <w:t xml:space="preserve">Beginning in the 1970s, the Supreme Court struck down a number of state provisional remedy statutes for failing to provide </w:t>
      </w:r>
      <w:r w:rsidR="00FB2043" w:rsidRPr="007A5BBC">
        <w:t xml:space="preserve">Debtors with </w:t>
      </w:r>
      <w:r w:rsidRPr="007A5BBC">
        <w:t xml:space="preserve">due process </w:t>
      </w:r>
      <w:r w:rsidR="00FB2043" w:rsidRPr="007A5BBC">
        <w:t>prior to allowing their property to be taken</w:t>
      </w:r>
      <w:r w:rsidR="005F6A8B">
        <w:t xml:space="preserve">. </w:t>
      </w:r>
      <w:r w:rsidR="00CC1EE0" w:rsidRPr="007A5BBC">
        <w:rPr>
          <w:i/>
        </w:rPr>
        <w:t>See</w:t>
      </w:r>
      <w:r w:rsidR="00FB2043" w:rsidRPr="007A5BBC">
        <w:rPr>
          <w:i/>
        </w:rPr>
        <w:t xml:space="preserve"> </w:t>
      </w:r>
      <w:hyperlink r:id="rId24" w:history="1">
        <w:r w:rsidRPr="007A5BBC">
          <w:rPr>
            <w:rStyle w:val="Hyperlink"/>
            <w:i/>
          </w:rPr>
          <w:t>Sniadach v. Family Fin. Corp. of Bay View</w:t>
        </w:r>
        <w:r w:rsidRPr="007A5BBC">
          <w:rPr>
            <w:rStyle w:val="Hyperlink"/>
          </w:rPr>
          <w:t>, 395 U.S. 337 (1969)</w:t>
        </w:r>
      </w:hyperlink>
      <w:r w:rsidR="00FB2043" w:rsidRPr="007A5BBC">
        <w:t xml:space="preserve"> </w:t>
      </w:r>
      <w:r w:rsidRPr="007A5BBC">
        <w:t xml:space="preserve">(striking down prejudgment wage garnishment statute); </w:t>
      </w:r>
      <w:hyperlink r:id="rId25"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w:t>
      </w:r>
      <w:r w:rsidR="00CB4603" w:rsidRPr="007A5BBC">
        <w:t xml:space="preserve"> and without a judicial hearing</w:t>
      </w:r>
      <w:r w:rsidRPr="007A5BBC">
        <w:t xml:space="preserve">), </w:t>
      </w:r>
      <w:hyperlink r:id="rId26" w:history="1">
        <w:r w:rsidRPr="007A5BBC">
          <w:rPr>
            <w:rStyle w:val="Hyperlink"/>
            <w:i/>
          </w:rPr>
          <w:t xml:space="preserve">Mitchell v. W.T. </w:t>
        </w:r>
        <w:r w:rsidR="00CB4603" w:rsidRPr="007A5BBC">
          <w:rPr>
            <w:rStyle w:val="Hyperlink"/>
            <w:i/>
          </w:rPr>
          <w:t>Grant Co</w:t>
        </w:r>
        <w:r w:rsidR="00CB4603" w:rsidRPr="007A5BBC">
          <w:rPr>
            <w:rStyle w:val="Hyperlink"/>
          </w:rPr>
          <w:t>., 416 U.S. 600 (1974)</w:t>
        </w:r>
      </w:hyperlink>
      <w:r w:rsidR="00CB4603" w:rsidRPr="007A5BBC">
        <w:t xml:space="preserve"> (allowing prejudgment replevin without notice but only after a judicial hearing and with the posting of a substantial bond to protect the debtor); </w:t>
      </w:r>
      <w:hyperlink r:id="rId27" w:history="1">
        <w:r w:rsidRPr="007A5BBC">
          <w:rPr>
            <w:rStyle w:val="Hyperlink"/>
            <w:i/>
          </w:rPr>
          <w:t>North Georgia Finishing, Inc. v. Di-Chem, Inc</w:t>
        </w:r>
        <w:r w:rsidRPr="007A5BBC">
          <w:rPr>
            <w:rStyle w:val="Hyperlink"/>
          </w:rPr>
          <w:t>. 419</w:t>
        </w:r>
        <w:r w:rsidR="00CB4603" w:rsidRPr="007A5BBC">
          <w:rPr>
            <w:rStyle w:val="Hyperlink"/>
          </w:rPr>
          <w:t xml:space="preserve"> </w:t>
        </w:r>
        <w:r w:rsidRPr="007A5BBC">
          <w:rPr>
            <w:rStyle w:val="Hyperlink"/>
          </w:rPr>
          <w:t>U.S. 601 (1975)</w:t>
        </w:r>
      </w:hyperlink>
      <w:r w:rsidR="00CB4603" w:rsidRPr="007A5BBC">
        <w:t xml:space="preserve"> (striking down prejudgment garnishment statute); and </w:t>
      </w:r>
      <w:hyperlink r:id="rId28" w:history="1">
        <w:r w:rsidRPr="007A5BBC">
          <w:rPr>
            <w:rStyle w:val="Hyperlink"/>
            <w:i/>
          </w:rPr>
          <w:t>Connecticut v. Doehr,</w:t>
        </w:r>
        <w:r w:rsidRPr="007A5BBC">
          <w:rPr>
            <w:rStyle w:val="Hyperlink"/>
          </w:rPr>
          <w:t xml:space="preserve"> 501 U.S. 1 (1991)</w:t>
        </w:r>
      </w:hyperlink>
      <w:r w:rsidR="00CB4603" w:rsidRPr="007A5BBC">
        <w:t xml:space="preserve"> (striking down statute allowing prejudgment attachment of real estate without prior notice or hearing and without posting a bond)</w:t>
      </w:r>
      <w:r w:rsidR="005F6A8B">
        <w:t xml:space="preserve">. </w:t>
      </w:r>
    </w:p>
    <w:p w14:paraId="79820148" w14:textId="5F273FD8" w:rsidR="00CB4603" w:rsidRPr="007A5BBC" w:rsidRDefault="00FB2043" w:rsidP="00DC3365">
      <w:pPr>
        <w:pStyle w:val="0-NORMAL"/>
      </w:pPr>
      <w:r w:rsidRPr="007A5BBC">
        <w:t xml:space="preserve">I read </w:t>
      </w:r>
      <w:r w:rsidR="00CB4603" w:rsidRPr="007A5BBC">
        <w:t xml:space="preserve">these cases </w:t>
      </w:r>
      <w:r w:rsidRPr="007A5BBC">
        <w:t xml:space="preserve">to require </w:t>
      </w:r>
      <w:r w:rsidR="006F6A39" w:rsidRPr="007A5BBC">
        <w:t xml:space="preserve">unsecured creditors </w:t>
      </w:r>
      <w:r w:rsidRPr="007A5BBC">
        <w:t xml:space="preserve">to give </w:t>
      </w:r>
      <w:r w:rsidR="006F6A39" w:rsidRPr="007A5BBC">
        <w:t xml:space="preserve">their </w:t>
      </w:r>
      <w:r w:rsidR="00CB4603" w:rsidRPr="007A5BBC">
        <w:t>debtor</w:t>
      </w:r>
      <w:r w:rsidRPr="007A5BBC">
        <w:t xml:space="preserve">s notice </w:t>
      </w:r>
      <w:r w:rsidR="006F6A39" w:rsidRPr="007A5BBC">
        <w:t xml:space="preserve">of the proceeding </w:t>
      </w:r>
      <w:r w:rsidRPr="007A5BBC">
        <w:t xml:space="preserve">and an opportunity to </w:t>
      </w:r>
      <w:r w:rsidR="006F6A39" w:rsidRPr="007A5BBC">
        <w:t xml:space="preserve">appear and </w:t>
      </w:r>
      <w:r w:rsidRPr="007A5BBC">
        <w:t>object</w:t>
      </w:r>
      <w:r w:rsidR="00CB4603" w:rsidRPr="007A5BBC">
        <w:t xml:space="preserve"> before </w:t>
      </w:r>
      <w:r w:rsidR="006F6A39" w:rsidRPr="007A5BBC">
        <w:t xml:space="preserve">debtors can be deprived of the possession and control of their property, </w:t>
      </w:r>
      <w:r w:rsidR="00CB4603" w:rsidRPr="007A5BBC">
        <w:t>unless the creditor can prove to the judge</w:t>
      </w:r>
      <w:r w:rsidR="006F6A39" w:rsidRPr="007A5BBC">
        <w:t>’s satisfaction</w:t>
      </w:r>
      <w:r w:rsidR="00CB4603" w:rsidRPr="007A5BBC">
        <w:t xml:space="preserve"> that the property will likely be</w:t>
      </w:r>
      <w:r w:rsidR="006F6A39" w:rsidRPr="007A5BBC">
        <w:t xml:space="preserve"> lost if prior notice is given</w:t>
      </w:r>
      <w:r w:rsidR="005F6A8B">
        <w:t xml:space="preserve">. </w:t>
      </w:r>
      <w:r w:rsidR="006F6A39" w:rsidRPr="007A5BBC">
        <w:t xml:space="preserve">Even after meeting a heavy showing of necessity, </w:t>
      </w:r>
      <w:r w:rsidR="00CB4603" w:rsidRPr="007A5BBC">
        <w:t xml:space="preserve">the creditor </w:t>
      </w:r>
      <w:r w:rsidR="006F6A39" w:rsidRPr="007A5BBC">
        <w:t xml:space="preserve">must be </w:t>
      </w:r>
      <w:r w:rsidR="00CB4603" w:rsidRPr="007A5BBC">
        <w:t xml:space="preserve">required to post a bond to protect the debtor from </w:t>
      </w:r>
      <w:r w:rsidR="006F6A39" w:rsidRPr="007A5BBC">
        <w:t xml:space="preserve">financial </w:t>
      </w:r>
      <w:r w:rsidR="00CB4603" w:rsidRPr="007A5BBC">
        <w:t xml:space="preserve">loss </w:t>
      </w:r>
      <w:r w:rsidR="00CB4603" w:rsidRPr="007A5BBC">
        <w:lastRenderedPageBreak/>
        <w:t>should the creditor not prevail</w:t>
      </w:r>
      <w:r w:rsidR="00977A0B" w:rsidRPr="007A5BBC">
        <w:t xml:space="preserve">, and </w:t>
      </w:r>
      <w:r w:rsidR="006F6A39" w:rsidRPr="007A5BBC">
        <w:t xml:space="preserve">the debtor must be given the opportunity for </w:t>
      </w:r>
      <w:r w:rsidR="00977A0B" w:rsidRPr="007A5BBC">
        <w:t xml:space="preserve">a </w:t>
      </w:r>
      <w:r w:rsidR="006F6A39" w:rsidRPr="007A5BBC">
        <w:t>prompt post-deprivation hearing.</w:t>
      </w:r>
    </w:p>
    <w:p w14:paraId="77274343" w14:textId="17574E35" w:rsidR="00977A0B" w:rsidRPr="007A5BBC" w:rsidRDefault="00977A0B" w:rsidP="00DC3365">
      <w:pPr>
        <w:pStyle w:val="0-NORMAL"/>
      </w:pPr>
      <w:r w:rsidRPr="007A5BBC">
        <w:t xml:space="preserve">The reason that there </w:t>
      </w:r>
      <w:r w:rsidR="006F6A39" w:rsidRPr="007A5BBC">
        <w:t xml:space="preserve">have been </w:t>
      </w:r>
      <w:r w:rsidRPr="007A5BBC">
        <w:t xml:space="preserve">so few </w:t>
      </w:r>
      <w:r w:rsidR="006F6A39" w:rsidRPr="007A5BBC">
        <w:t xml:space="preserve">published </w:t>
      </w:r>
      <w:r w:rsidRPr="007A5BBC">
        <w:t xml:space="preserve">cases </w:t>
      </w:r>
      <w:r w:rsidR="00620D16" w:rsidRPr="007A5BBC">
        <w:t xml:space="preserve">involving </w:t>
      </w:r>
      <w:r w:rsidR="00620D16" w:rsidRPr="007A5BBC">
        <w:rPr>
          <w:i/>
        </w:rPr>
        <w:t>ex parte</w:t>
      </w:r>
      <w:r w:rsidR="006F6A39" w:rsidRPr="007A5BBC">
        <w:t xml:space="preserve"> (that is, without notice) </w:t>
      </w:r>
      <w:r w:rsidR="00620D16" w:rsidRPr="007A5BBC">
        <w:t xml:space="preserve">pre-judgment writs </w:t>
      </w:r>
      <w:r w:rsidRPr="007A5BBC">
        <w:t xml:space="preserve">is that state courts no longer grant </w:t>
      </w:r>
      <w:r w:rsidRPr="007A5BBC">
        <w:rPr>
          <w:i/>
        </w:rPr>
        <w:t>ex parte</w:t>
      </w:r>
      <w:r w:rsidRPr="007A5BBC">
        <w:t xml:space="preserve"> relief except upon the most extraordinary showing of cause</w:t>
      </w:r>
      <w:r w:rsidR="005F6A8B">
        <w:t xml:space="preserve">. </w:t>
      </w:r>
      <w:r w:rsidRPr="007A5BBC">
        <w:t>Your author once tried to get a California state court to issue a prejudgment writ of attachment upon a substantial showing that the defendant was hiding assets</w:t>
      </w:r>
      <w:r w:rsidR="00620D16" w:rsidRPr="007A5BBC">
        <w:t xml:space="preserve"> that would likely be dissipated if notice was given</w:t>
      </w:r>
      <w:r w:rsidR="005F6A8B">
        <w:t xml:space="preserve">. </w:t>
      </w:r>
      <w:r w:rsidRPr="007A5BBC">
        <w:t>The judge denied the applica</w:t>
      </w:r>
      <w:r w:rsidR="006F6A39" w:rsidRPr="007A5BBC">
        <w:t xml:space="preserve">tion without even offering me a </w:t>
      </w:r>
      <w:r w:rsidRPr="007A5BBC">
        <w:t xml:space="preserve">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rsidR="005F6A8B">
        <w:t xml:space="preserve">. </w:t>
      </w:r>
    </w:p>
    <w:p w14:paraId="52E937C8" w14:textId="0F7050F3" w:rsidR="00CC1EE0" w:rsidRDefault="00977A0B" w:rsidP="00DC3365">
      <w:pPr>
        <w:pStyle w:val="0-NORMAL"/>
      </w:pPr>
      <w:r w:rsidRPr="007A5BBC">
        <w:t>Prejudgment remedies are available on notice, but the required showing is heavy</w:t>
      </w:r>
      <w:r w:rsidR="005F6A8B">
        <w:t xml:space="preserve">. </w:t>
      </w:r>
      <w:r w:rsidRPr="007A5BBC">
        <w:t xml:space="preserve">The creditor must show a probability of success on the merits, a likelihood of harm during the pendency of the case if relief is not granted, and </w:t>
      </w:r>
      <w:r w:rsidR="00620D16" w:rsidRPr="007A5BBC">
        <w:t xml:space="preserve">must post </w:t>
      </w:r>
      <w:r w:rsidRPr="007A5BBC">
        <w:t>a bond to protect the defendant from loss should the debtor ult</w:t>
      </w:r>
      <w:r w:rsidR="00620D16" w:rsidRPr="007A5BBC">
        <w:t>imately prevail on the merits</w:t>
      </w:r>
      <w:r w:rsidR="005F6A8B">
        <w:t xml:space="preserve">. </w:t>
      </w:r>
      <w:r w:rsidR="00620D16" w:rsidRPr="007A5BBC">
        <w:t>Even though their role has been diminished, p</w:t>
      </w:r>
      <w:r w:rsidRPr="007A5BBC">
        <w:t xml:space="preserve">rejudgment remedies have an important role to play in the race </w:t>
      </w:r>
      <w:r w:rsidR="00620D16" w:rsidRPr="007A5BBC">
        <w:t xml:space="preserve">between creditors </w:t>
      </w:r>
      <w:r w:rsidRPr="007A5BBC">
        <w:t xml:space="preserve">to the court house </w:t>
      </w:r>
      <w:r w:rsidR="00620D16" w:rsidRPr="007A5BBC">
        <w:t>that is discussed later in this chapter.</w:t>
      </w:r>
    </w:p>
    <w:p w14:paraId="62DE285B" w14:textId="77777777" w:rsidR="00B32E37" w:rsidRPr="007A5BBC" w:rsidRDefault="00B32E37" w:rsidP="00DC3365">
      <w:pPr>
        <w:pStyle w:val="0-NORMAL"/>
      </w:pPr>
    </w:p>
    <w:p w14:paraId="412EEEE4" w14:textId="60854B5A" w:rsidR="00305BA3" w:rsidRPr="007A5BBC" w:rsidRDefault="007D61B0" w:rsidP="00B32E37">
      <w:pPr>
        <w:pStyle w:val="Heading2"/>
        <w:spacing w:line="240" w:lineRule="auto"/>
      </w:pPr>
      <w:bookmarkStart w:id="207" w:name="_Toc417380715"/>
      <w:r>
        <w:t xml:space="preserve"> </w:t>
      </w:r>
      <w:bookmarkStart w:id="208" w:name="_Toc79699052"/>
      <w:bookmarkStart w:id="209" w:name="_Toc79699378"/>
      <w:bookmarkStart w:id="210" w:name="_Toc79699716"/>
      <w:bookmarkStart w:id="211" w:name="_Toc79700036"/>
      <w:bookmarkStart w:id="212" w:name="_Toc79700358"/>
      <w:bookmarkStart w:id="213" w:name="_Toc87039135"/>
      <w:bookmarkStart w:id="214" w:name="_Toc90983531"/>
      <w:r w:rsidR="00F00740">
        <w:t>Cases on</w:t>
      </w:r>
      <w:r w:rsidR="00C60FEF">
        <w:t xml:space="preserve"> </w:t>
      </w:r>
      <w:r w:rsidR="00305BA3" w:rsidRPr="007A5BBC">
        <w:t>The Sheriff’s Duty to Enforce Writs</w:t>
      </w:r>
      <w:bookmarkStart w:id="215" w:name="_Toc79692910"/>
      <w:bookmarkStart w:id="216" w:name="_Toc79693230"/>
      <w:bookmarkStart w:id="217" w:name="_Toc79693550"/>
      <w:bookmarkStart w:id="218" w:name="_Toc79693867"/>
      <w:bookmarkStart w:id="219" w:name="_Toc79694507"/>
      <w:bookmarkStart w:id="220" w:name="_Toc79695135"/>
      <w:bookmarkStart w:id="221" w:name="_Toc79697381"/>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B32E37">
        <w:br/>
      </w:r>
    </w:p>
    <w:bookmarkStart w:id="222" w:name="_Toc87039136"/>
    <w:p w14:paraId="412EEEE7" w14:textId="04E90D7B" w:rsidR="003A4180" w:rsidRPr="00B32E37" w:rsidRDefault="00B32E37" w:rsidP="00B32E37">
      <w:pPr>
        <w:pStyle w:val="Heading3"/>
        <w:rPr>
          <w:u w:val="single"/>
        </w:rPr>
      </w:pPr>
      <w:r w:rsidRPr="00B32E37">
        <w:rPr>
          <w:u w:val="single"/>
        </w:rPr>
        <w:fldChar w:fldCharType="begin"/>
      </w:r>
      <w:r w:rsidRPr="00B32E37">
        <w:rPr>
          <w:u w:val="single"/>
        </w:rPr>
        <w:instrText xml:space="preserve"> HYPERLINK "https://scholar.google.com/scholar_case?case=10604164894560570303&amp;q=184+N.J.+Super+512&amp;hl=en&amp;as_sdt=6,33" </w:instrText>
      </w:r>
      <w:r w:rsidRPr="00B32E37">
        <w:rPr>
          <w:u w:val="single"/>
        </w:rPr>
        <w:fldChar w:fldCharType="separate"/>
      </w:r>
      <w:bookmarkStart w:id="223" w:name="_Toc90983532"/>
      <w:r w:rsidR="003A4180" w:rsidRPr="00B32E37">
        <w:rPr>
          <w:rStyle w:val="Hyperlink"/>
        </w:rPr>
        <w:t>DAVID J. VITALE v. HOTEL CALIFORNIA, INC.</w:t>
      </w:r>
      <w:r w:rsidR="00184B8D" w:rsidRPr="00B32E37">
        <w:rPr>
          <w:rStyle w:val="Hyperlink"/>
        </w:rPr>
        <w:t xml:space="preserve">, </w:t>
      </w:r>
      <w:r w:rsidR="003A4180" w:rsidRPr="00B32E37">
        <w:rPr>
          <w:rStyle w:val="Hyperlink"/>
        </w:rPr>
        <w:t>184 N.J.</w:t>
      </w:r>
      <w:r w:rsidR="008F611D" w:rsidRPr="00B32E37">
        <w:rPr>
          <w:rStyle w:val="Hyperlink"/>
        </w:rPr>
        <w:t xml:space="preserve"> Super 512, </w:t>
      </w:r>
      <w:r w:rsidR="003A4180" w:rsidRPr="00B32E37">
        <w:rPr>
          <w:rStyle w:val="Hyperlink"/>
        </w:rPr>
        <w:t>446 A.2d 880 (1982)</w:t>
      </w:r>
      <w:bookmarkStart w:id="224" w:name="_Toc79692911"/>
      <w:bookmarkStart w:id="225" w:name="_Toc79693231"/>
      <w:bookmarkStart w:id="226" w:name="_Toc79693551"/>
      <w:bookmarkStart w:id="227" w:name="_Toc79693868"/>
      <w:bookmarkStart w:id="228" w:name="_Toc79694186"/>
      <w:bookmarkStart w:id="229" w:name="_Toc79694508"/>
      <w:bookmarkStart w:id="230" w:name="_Toc79694820"/>
      <w:bookmarkStart w:id="231" w:name="_Toc79695136"/>
      <w:bookmarkStart w:id="232" w:name="_Toc79695452"/>
      <w:bookmarkStart w:id="233" w:name="_Toc79695768"/>
      <w:bookmarkStart w:id="234" w:name="_Toc79696084"/>
      <w:bookmarkStart w:id="235" w:name="_Toc79696400"/>
      <w:bookmarkStart w:id="236" w:name="_Toc79696721"/>
      <w:bookmarkStart w:id="237" w:name="_Toc79697053"/>
      <w:bookmarkStart w:id="238" w:name="_Toc79697382"/>
      <w:bookmarkStart w:id="239" w:name="_Toc79699053"/>
      <w:bookmarkStart w:id="240" w:name="_Toc79699379"/>
      <w:bookmarkStart w:id="241" w:name="_Toc79699717"/>
      <w:bookmarkStart w:id="242" w:name="_Toc79700037"/>
      <w:bookmarkStart w:id="243" w:name="_Toc79700359"/>
      <w:bookmarkStart w:id="244" w:name="_Toc7970068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B32E37">
        <w:rPr>
          <w:u w:val="single"/>
        </w:rPr>
        <w:fldChar w:fldCharType="end"/>
      </w:r>
      <w:r w:rsidRPr="00B32E37">
        <w:rPr>
          <w:rStyle w:val="Hyperlink"/>
          <w:color w:val="auto"/>
        </w:rPr>
        <w:br/>
      </w:r>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w:t>
      </w:r>
      <w:r w:rsidRPr="007A5BBC">
        <w:rPr>
          <w:rFonts w:ascii="Times New Roman" w:hAnsi="Times New Roman"/>
          <w:szCs w:val="24"/>
        </w:rPr>
        <w:lastRenderedPageBreak/>
        <w:t xml:space="preserve">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Three basic, interrelated questions are presented for resolution: (1) Are successive levies possible under one writ of execution? (2) When may a sheriff refuse to levy as instructed by a 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That brings us to the second question, whether the sheriff rightly refused to honor an unreasonable request to levy. The particular elements of the request perceived as unreasonable must be reviewed.</w:t>
      </w:r>
    </w:p>
    <w:p w14:paraId="412EEEF4" w14:textId="4FE3AF30"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w:t>
      </w:r>
      <w:r w:rsidR="008B3263">
        <w:rPr>
          <w:rFonts w:ascii="Times New Roman" w:hAnsi="Times New Roman"/>
          <w:szCs w:val="24"/>
        </w:rPr>
        <w:t>mply with plaintiff's wishes. T</w:t>
      </w:r>
      <w:r w:rsidRPr="007A5BBC">
        <w:rPr>
          <w:rFonts w:ascii="Times New Roman" w:hAnsi="Times New Roman"/>
          <w:szCs w:val="24"/>
        </w:rPr>
        <w:t>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216CABA2"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2EF85F85" w14:textId="7FF91910" w:rsidR="005270E5" w:rsidRDefault="003A4180" w:rsidP="00DB2210">
      <w:pPr>
        <w:ind w:firstLine="720"/>
        <w:jc w:val="both"/>
        <w:rPr>
          <w:rFonts w:ascii="Times New Roman" w:hAnsi="Times New Roman"/>
          <w:szCs w:val="24"/>
        </w:rPr>
      </w:pPr>
      <w:r w:rsidRPr="007A5BBC">
        <w:rPr>
          <w:rFonts w:ascii="Times New Roman" w:hAnsi="Times New Roman"/>
          <w:szCs w:val="24"/>
        </w:rPr>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12437F10" w14:textId="77777777" w:rsidR="00410546" w:rsidRDefault="00410546" w:rsidP="00DB2210">
      <w:pPr>
        <w:ind w:firstLine="720"/>
        <w:jc w:val="both"/>
        <w:rPr>
          <w:rFonts w:ascii="Times New Roman" w:hAnsi="Times New Roman"/>
          <w:szCs w:val="24"/>
        </w:rPr>
      </w:pPr>
    </w:p>
    <w:p w14:paraId="412EEF04" w14:textId="505E09CB" w:rsidR="003A4180" w:rsidRPr="007A5BBC" w:rsidRDefault="00921C2C" w:rsidP="00B32E37">
      <w:pPr>
        <w:pStyle w:val="Heading2"/>
        <w:spacing w:line="240" w:lineRule="auto"/>
      </w:pPr>
      <w:bookmarkStart w:id="245" w:name="_Toc417380716"/>
      <w:bookmarkStart w:id="246" w:name="_Toc79699054"/>
      <w:bookmarkStart w:id="247" w:name="_Toc79699380"/>
      <w:bookmarkStart w:id="248" w:name="_Toc79699718"/>
      <w:bookmarkStart w:id="249" w:name="_Toc79700038"/>
      <w:bookmarkStart w:id="250" w:name="_Toc79700360"/>
      <w:bookmarkStart w:id="251" w:name="_Toc87039137"/>
      <w:bookmarkStart w:id="252" w:name="_Toc90983533"/>
      <w:r w:rsidRPr="007A5BBC">
        <w:t xml:space="preserve">Property </w:t>
      </w:r>
      <w:r w:rsidR="003A4180" w:rsidRPr="007A5BBC">
        <w:t>Garnishments</w:t>
      </w:r>
      <w:bookmarkEnd w:id="245"/>
      <w:bookmarkEnd w:id="246"/>
      <w:bookmarkEnd w:id="247"/>
      <w:bookmarkEnd w:id="248"/>
      <w:bookmarkEnd w:id="249"/>
      <w:bookmarkEnd w:id="250"/>
      <w:bookmarkEnd w:id="251"/>
      <w:bookmarkEnd w:id="252"/>
      <w:r w:rsidR="003A4180" w:rsidRPr="007A5BBC">
        <w:t xml:space="preserve"> </w:t>
      </w:r>
      <w:bookmarkStart w:id="253" w:name="_Toc79692912"/>
      <w:bookmarkStart w:id="254" w:name="_Toc79693232"/>
      <w:bookmarkStart w:id="255" w:name="_Toc79693552"/>
      <w:bookmarkStart w:id="256" w:name="_Toc79693869"/>
      <w:bookmarkStart w:id="257" w:name="_Toc79694509"/>
      <w:bookmarkStart w:id="258" w:name="_Toc79695137"/>
      <w:bookmarkStart w:id="259" w:name="_Toc79697383"/>
      <w:bookmarkEnd w:id="253"/>
      <w:bookmarkEnd w:id="254"/>
      <w:bookmarkEnd w:id="255"/>
      <w:bookmarkEnd w:id="256"/>
      <w:bookmarkEnd w:id="257"/>
      <w:bookmarkEnd w:id="258"/>
      <w:bookmarkEnd w:id="259"/>
      <w:r w:rsidR="00B32E37">
        <w:br/>
      </w:r>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lastRenderedPageBreak/>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The garnishee must freeze the judgment debtor’s property or accounts upon being served with the writ of garnishment, or run the risk of personal liability for failing to comply with the writ.</w:t>
      </w:r>
    </w:p>
    <w:p w14:paraId="412EEF07" w14:textId="384641E7" w:rsidR="003A4180"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7A5B173A" w14:textId="77777777" w:rsidR="00B32E37" w:rsidRPr="007A5BBC" w:rsidRDefault="00B32E37" w:rsidP="00DC3365">
      <w:pPr>
        <w:pStyle w:val="0-NORMAL"/>
      </w:pPr>
    </w:p>
    <w:p w14:paraId="412EEF08" w14:textId="7FA86C2F" w:rsidR="003A4180" w:rsidRPr="007A5BBC" w:rsidRDefault="003A4180" w:rsidP="00B32E37">
      <w:pPr>
        <w:pStyle w:val="Heading2"/>
        <w:spacing w:line="240" w:lineRule="auto"/>
      </w:pPr>
      <w:bookmarkStart w:id="260" w:name="_Toc417380717"/>
      <w:bookmarkStart w:id="261" w:name="_Toc79699055"/>
      <w:bookmarkStart w:id="262" w:name="_Toc79699381"/>
      <w:bookmarkStart w:id="263" w:name="_Toc79699719"/>
      <w:bookmarkStart w:id="264" w:name="_Toc79700039"/>
      <w:bookmarkStart w:id="265" w:name="_Toc79700361"/>
      <w:bookmarkStart w:id="266" w:name="_Toc87039138"/>
      <w:bookmarkStart w:id="267" w:name="_Toc90983534"/>
      <w:r w:rsidRPr="007A5BBC">
        <w:t>Wage Garn</w:t>
      </w:r>
      <w:r w:rsidR="00BA6ECA" w:rsidRPr="007A5BBC">
        <w:t>ishments</w:t>
      </w:r>
      <w:bookmarkStart w:id="268" w:name="_Toc79692913"/>
      <w:bookmarkStart w:id="269" w:name="_Toc79693233"/>
      <w:bookmarkStart w:id="270" w:name="_Toc79693553"/>
      <w:bookmarkStart w:id="271" w:name="_Toc79693870"/>
      <w:bookmarkStart w:id="272" w:name="_Toc79694510"/>
      <w:bookmarkStart w:id="273" w:name="_Toc79695138"/>
      <w:bookmarkStart w:id="274" w:name="_Toc79697384"/>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00B32E37">
        <w:br/>
      </w:r>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756A0B76"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31BF9052"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0046A156" w:rsidR="001B11EE"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of the judgment debtor’s 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(1) By how</w:t>
      </w:r>
      <w:r w:rsidRPr="007A5BBC">
        <w:t xml:space="preserve"> much did the judgment debtor’s dis</w:t>
      </w:r>
      <w:r w:rsidR="004446C3" w:rsidRPr="007A5BBC">
        <w:t>posable earnings exceed $217.50</w:t>
      </w:r>
      <w:r w:rsidR="00083725" w:rsidRPr="007A5BBC">
        <w:t xml:space="preserve">? </w:t>
      </w:r>
      <w:r w:rsidRPr="007A5BBC">
        <w:t xml:space="preserve">(2)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083725" w:rsidRPr="007A5BBC">
        <w:t xml:space="preserve">? </w:t>
      </w:r>
      <w:r w:rsidRPr="007A5BBC">
        <w:t>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lastRenderedPageBreak/>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3D4394B9" w14:textId="77777777" w:rsidR="00B32E37" w:rsidRPr="007A5BBC" w:rsidRDefault="00B32E37" w:rsidP="00DC3365">
      <w:pPr>
        <w:pStyle w:val="0-NORMAL"/>
      </w:pPr>
    </w:p>
    <w:p w14:paraId="412EEF27" w14:textId="7A41690B" w:rsidR="003A4180" w:rsidRPr="007A5BBC" w:rsidRDefault="003A4180" w:rsidP="00B32E37">
      <w:pPr>
        <w:pStyle w:val="Heading3"/>
      </w:pPr>
      <w:bookmarkStart w:id="275" w:name="_Toc417380719"/>
      <w:bookmarkStart w:id="276" w:name="_Toc79699056"/>
      <w:bookmarkStart w:id="277" w:name="_Toc79699382"/>
      <w:bookmarkStart w:id="278" w:name="_Toc79699720"/>
      <w:bookmarkStart w:id="279" w:name="_Toc79700040"/>
      <w:bookmarkStart w:id="280" w:name="_Toc79700362"/>
      <w:bookmarkStart w:id="281" w:name="_Toc87039139"/>
      <w:bookmarkStart w:id="282" w:name="_Toc90983535"/>
      <w:r w:rsidRPr="007A5BBC">
        <w:t>State Wage Garnishment Exemptions</w:t>
      </w:r>
      <w:bookmarkStart w:id="283" w:name="_Toc79692914"/>
      <w:bookmarkStart w:id="284" w:name="_Toc79693234"/>
      <w:bookmarkStart w:id="285" w:name="_Toc79693554"/>
      <w:bookmarkStart w:id="286" w:name="_Toc79693871"/>
      <w:bookmarkStart w:id="287" w:name="_Toc79694511"/>
      <w:bookmarkStart w:id="288" w:name="_Toc79695139"/>
      <w:bookmarkStart w:id="289" w:name="_Toc79697385"/>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00B32E37">
        <w:br/>
      </w:r>
    </w:p>
    <w:p w14:paraId="412EEF28" w14:textId="1D105FD9"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8C3330">
        <w:rPr>
          <w:i/>
          <w:iCs/>
        </w:rPr>
        <w:t xml:space="preserve">See </w:t>
      </w:r>
      <w:hyperlink w:anchor="App61677" w:history="1">
        <w:r w:rsidR="00E97D81" w:rsidRPr="007A5BBC">
          <w:rPr>
            <w:rStyle w:val="Hyperlink"/>
          </w:rPr>
          <w:t>15 U.S.C. § 1677</w:t>
        </w:r>
      </w:hyperlink>
      <w:r w:rsidR="00E97D81" w:rsidRPr="007A5BBC">
        <w:t>.</w:t>
      </w:r>
    </w:p>
    <w:p w14:paraId="525D5C1A" w14:textId="38359F79" w:rsidR="00E97D81" w:rsidRPr="007A5BBC" w:rsidRDefault="003A4180" w:rsidP="00DC3365">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As of the date of publication</w:t>
      </w:r>
      <w:r w:rsidR="008F0087" w:rsidRPr="003A2EEC">
        <w:t xml:space="preserve">, </w:t>
      </w:r>
      <w:hyperlink r:id="rId29" w:history="1">
        <w:r w:rsidR="003A2EEC" w:rsidRPr="003A2EEC">
          <w:rPr>
            <w:rStyle w:val="Hyperlink"/>
          </w:rPr>
          <w:t>this website</w:t>
        </w:r>
      </w:hyperlink>
      <w:r w:rsidRPr="003A2EEC">
        <w:rPr>
          <w:color w:val="00B0F0"/>
        </w:rPr>
        <w:t xml:space="preserve"> </w:t>
      </w:r>
      <w:r w:rsidR="008F0087" w:rsidRPr="003A2EEC">
        <w:t>has links</w:t>
      </w:r>
      <w:r w:rsidR="008F0087" w:rsidRPr="007A5BBC">
        <w:t xml:space="preserve"> to the various state garnishment limitations.</w:t>
      </w:r>
    </w:p>
    <w:p w14:paraId="52657200" w14:textId="30A8104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6AAEC4FC" w:rsidR="003A4180" w:rsidRDefault="00E97D81" w:rsidP="00DC3365">
      <w:pPr>
        <w:pStyle w:val="0-NORMAL"/>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DC7DE59" w14:textId="77777777" w:rsidR="00B32E37" w:rsidRPr="007A5BBC" w:rsidRDefault="00B32E37" w:rsidP="00DC3365">
      <w:pPr>
        <w:pStyle w:val="0-NORMAL"/>
        <w:rPr>
          <w:u w:val="single"/>
        </w:rPr>
      </w:pPr>
    </w:p>
    <w:p w14:paraId="412EEF2A" w14:textId="1CA2ADD2" w:rsidR="003A4180" w:rsidRPr="007A5BBC" w:rsidRDefault="003A4180" w:rsidP="00B32E37">
      <w:pPr>
        <w:pStyle w:val="Heading3"/>
      </w:pPr>
      <w:bookmarkStart w:id="290" w:name="_Toc417380720"/>
      <w:bookmarkStart w:id="291" w:name="_Toc79699057"/>
      <w:bookmarkStart w:id="292" w:name="_Toc79699383"/>
      <w:bookmarkStart w:id="293" w:name="_Toc79699721"/>
      <w:bookmarkStart w:id="294" w:name="_Toc79700041"/>
      <w:bookmarkStart w:id="295" w:name="_Toc79700363"/>
      <w:bookmarkStart w:id="296" w:name="_Toc87039140"/>
      <w:bookmarkStart w:id="297" w:name="_Toc90983536"/>
      <w:r w:rsidRPr="007A5BBC">
        <w:t>Exceptions to Wage Garnishment Limits</w:t>
      </w:r>
      <w:bookmarkEnd w:id="290"/>
      <w:bookmarkEnd w:id="291"/>
      <w:bookmarkEnd w:id="292"/>
      <w:bookmarkEnd w:id="293"/>
      <w:bookmarkEnd w:id="294"/>
      <w:bookmarkEnd w:id="295"/>
      <w:bookmarkEnd w:id="296"/>
      <w:bookmarkEnd w:id="297"/>
      <w:r w:rsidRPr="007A5BBC">
        <w:t xml:space="preserve">  </w:t>
      </w:r>
      <w:bookmarkStart w:id="298" w:name="_Toc79692915"/>
      <w:bookmarkStart w:id="299" w:name="_Toc79693235"/>
      <w:bookmarkStart w:id="300" w:name="_Toc79693555"/>
      <w:bookmarkStart w:id="301" w:name="_Toc79693872"/>
      <w:bookmarkStart w:id="302" w:name="_Toc79694512"/>
      <w:bookmarkStart w:id="303" w:name="_Toc79695140"/>
      <w:bookmarkStart w:id="304" w:name="_Toc79697386"/>
      <w:bookmarkEnd w:id="298"/>
      <w:bookmarkEnd w:id="299"/>
      <w:bookmarkEnd w:id="300"/>
      <w:bookmarkEnd w:id="301"/>
      <w:bookmarkEnd w:id="302"/>
      <w:bookmarkEnd w:id="303"/>
      <w:bookmarkEnd w:id="304"/>
      <w:r w:rsidR="00B32E37">
        <w:br/>
      </w:r>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7E9F0025"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0" w:history="1">
        <w:r w:rsidRPr="00E02AAB">
          <w:rPr>
            <w:rStyle w:val="Hyperlink"/>
            <w:color w:val="5B9BD5"/>
          </w:rPr>
          <w:t>chart</w:t>
        </w:r>
      </w:hyperlink>
      <w:r w:rsidRPr="007A5BBC">
        <w:t xml:space="preserve"> showing the exemption amounts.</w:t>
      </w:r>
    </w:p>
    <w:p w14:paraId="412EEF2E" w14:textId="34D59037" w:rsidR="003A4180" w:rsidRPr="007A5BBC" w:rsidRDefault="003A4180" w:rsidP="00DC3365">
      <w:pPr>
        <w:pStyle w:val="0-NORMAL"/>
      </w:pPr>
      <w:r w:rsidRPr="007A5BBC">
        <w:t>Third, federal student loan garnishments are subject to different limits</w:t>
      </w:r>
      <w:r w:rsidR="005F6A8B">
        <w:t xml:space="preserve">. </w:t>
      </w:r>
      <w:hyperlink r:id="rId31" w:history="1">
        <w:r w:rsidR="00B33459" w:rsidRPr="007A5BBC">
          <w:rPr>
            <w:rStyle w:val="Hyperlink"/>
          </w:rPr>
          <w:t>31 U.S.C. § 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1AC099B1" w:rsidR="003A4180"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t>
      </w:r>
      <w:r w:rsidR="00B45943" w:rsidRPr="007A5BBC">
        <w:lastRenderedPageBreak/>
        <w:t xml:space="preserve">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2" w:history="1">
        <w:r w:rsidRPr="007A5BBC">
          <w:rPr>
            <w:rStyle w:val="Hyperlink"/>
          </w:rPr>
          <w:t>Department of Labor Fact Sheet 30</w:t>
        </w:r>
      </w:hyperlink>
      <w:r w:rsidRPr="007A5BBC">
        <w:t xml:space="preserve">; and the full regulations at </w:t>
      </w:r>
      <w:hyperlink r:id="rId33" w:history="1">
        <w:r w:rsidRPr="007A5BBC">
          <w:rPr>
            <w:rStyle w:val="Hyperlink"/>
          </w:rPr>
          <w:t>29 CFR Part 870</w:t>
        </w:r>
      </w:hyperlink>
      <w:r w:rsidRPr="007A5BBC">
        <w:t>.</w:t>
      </w:r>
    </w:p>
    <w:p w14:paraId="69D4DD9C" w14:textId="77777777" w:rsidR="00B32E37" w:rsidRPr="007A5BBC" w:rsidRDefault="00B32E37" w:rsidP="00DC3365">
      <w:pPr>
        <w:pStyle w:val="0-NORMAL"/>
      </w:pPr>
    </w:p>
    <w:p w14:paraId="412EEF31" w14:textId="100CC1B1" w:rsidR="00F0732B" w:rsidRPr="007A5BBC" w:rsidRDefault="00184B8D" w:rsidP="00B32E37">
      <w:pPr>
        <w:pStyle w:val="Heading3"/>
      </w:pPr>
      <w:bookmarkStart w:id="305" w:name="_Toc417380721"/>
      <w:bookmarkStart w:id="306" w:name="_Toc79699058"/>
      <w:bookmarkStart w:id="307" w:name="_Toc79699384"/>
      <w:bookmarkStart w:id="308" w:name="_Toc79699722"/>
      <w:bookmarkStart w:id="309" w:name="_Toc79700042"/>
      <w:bookmarkStart w:id="310" w:name="_Toc79700364"/>
      <w:bookmarkStart w:id="311" w:name="_Toc87039141"/>
      <w:bookmarkStart w:id="312" w:name="_Toc90983537"/>
      <w:r>
        <w:t xml:space="preserve">Practice </w:t>
      </w:r>
      <w:r w:rsidR="007F7919" w:rsidRPr="007A5BBC">
        <w:t>P</w:t>
      </w:r>
      <w:r>
        <w:t>roblems</w:t>
      </w:r>
      <w:r w:rsidR="007F7919" w:rsidRPr="007A5BBC">
        <w:t xml:space="preserve">: </w:t>
      </w:r>
      <w:r w:rsidR="00B45943" w:rsidRPr="007A5BBC">
        <w:t>Calculating Wage Garnishment Limits</w:t>
      </w:r>
      <w:bookmarkEnd w:id="305"/>
      <w:bookmarkEnd w:id="306"/>
      <w:bookmarkEnd w:id="307"/>
      <w:bookmarkEnd w:id="308"/>
      <w:bookmarkEnd w:id="309"/>
      <w:bookmarkEnd w:id="310"/>
      <w:bookmarkEnd w:id="311"/>
      <w:bookmarkEnd w:id="312"/>
      <w:r w:rsidR="00A44C73" w:rsidRPr="007A5BBC">
        <w:t xml:space="preserve"> </w:t>
      </w:r>
      <w:bookmarkStart w:id="313" w:name="_Toc79692916"/>
      <w:bookmarkStart w:id="314" w:name="_Toc79693236"/>
      <w:bookmarkStart w:id="315" w:name="_Toc79693556"/>
      <w:bookmarkStart w:id="316" w:name="_Toc79693873"/>
      <w:bookmarkStart w:id="317" w:name="_Toc79694513"/>
      <w:bookmarkStart w:id="318" w:name="_Toc79695141"/>
      <w:bookmarkStart w:id="319" w:name="_Toc79697387"/>
      <w:bookmarkEnd w:id="313"/>
      <w:bookmarkEnd w:id="314"/>
      <w:bookmarkEnd w:id="315"/>
      <w:bookmarkEnd w:id="316"/>
      <w:bookmarkEnd w:id="317"/>
      <w:bookmarkEnd w:id="318"/>
      <w:bookmarkEnd w:id="319"/>
      <w:r w:rsidR="00B32E37">
        <w:br/>
      </w:r>
    </w:p>
    <w:p w14:paraId="412EEF32" w14:textId="3A8511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E82B878" w:rsidR="003A4180"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in" o:ole="">
            <v:imagedata r:id="rId34" o:title=""/>
          </v:shape>
          <o:OLEObject Type="Embed" ProgID="Excel.Sheet.12" ShapeID="_x0000_i1025" DrawAspect="Content" ObjectID="_1702891099" r:id="rId35"/>
        </w:object>
      </w:r>
    </w:p>
    <w:p w14:paraId="77EBC5A2" w14:textId="77777777" w:rsidR="00B32E37" w:rsidRPr="007A5BBC" w:rsidRDefault="00B32E37" w:rsidP="00D3520C">
      <w:pPr>
        <w:ind w:left="720"/>
        <w:rPr>
          <w:rFonts w:ascii="Times New Roman" w:hAnsi="Times New Roman"/>
          <w:b/>
          <w:szCs w:val="24"/>
        </w:rPr>
      </w:pPr>
    </w:p>
    <w:p w14:paraId="412EEF36" w14:textId="5786C63F" w:rsidR="003A4180" w:rsidRPr="007A5BBC" w:rsidRDefault="003A4180" w:rsidP="00B32E37">
      <w:pPr>
        <w:pStyle w:val="Heading2"/>
        <w:spacing w:line="240" w:lineRule="auto"/>
      </w:pPr>
      <w:bookmarkStart w:id="320" w:name="_Toc417380722"/>
      <w:bookmarkStart w:id="321" w:name="_Toc79699059"/>
      <w:bookmarkStart w:id="322" w:name="_Toc79699385"/>
      <w:bookmarkStart w:id="323" w:name="_Toc79699723"/>
      <w:bookmarkStart w:id="324" w:name="_Toc79700043"/>
      <w:bookmarkStart w:id="325" w:name="_Toc79700365"/>
      <w:bookmarkStart w:id="326" w:name="_Toc87039142"/>
      <w:bookmarkStart w:id="327" w:name="_Toc90983538"/>
      <w:r w:rsidRPr="007A5BBC">
        <w:t xml:space="preserve">State Law </w:t>
      </w:r>
      <w:r w:rsidR="00B45943" w:rsidRPr="000C2595">
        <w:t>Execution</w:t>
      </w:r>
      <w:r w:rsidR="00B45943" w:rsidRPr="007A5BBC">
        <w:t xml:space="preserve"> </w:t>
      </w:r>
      <w:r w:rsidRPr="007A5BBC">
        <w:t>Exemptions</w:t>
      </w:r>
      <w:bookmarkStart w:id="328" w:name="_Toc79692917"/>
      <w:bookmarkStart w:id="329" w:name="_Toc79693237"/>
      <w:bookmarkStart w:id="330" w:name="_Toc79693557"/>
      <w:bookmarkStart w:id="331" w:name="_Toc79693874"/>
      <w:bookmarkStart w:id="332" w:name="_Toc79694514"/>
      <w:bookmarkStart w:id="333" w:name="_Toc79695142"/>
      <w:bookmarkStart w:id="334" w:name="_Toc79697388"/>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B32E37">
        <w:br/>
      </w:r>
    </w:p>
    <w:p w14:paraId="412EEF57" w14:textId="04BF014F" w:rsidR="003A4180" w:rsidRDefault="003A4180" w:rsidP="00410546">
      <w:pPr>
        <w:pStyle w:val="0-NORMAL"/>
      </w:pPr>
      <w:r w:rsidRPr="007A5BBC">
        <w:t>State laws also commonly exempt many kinds of personal property, as well as real estate used as a principal residence (homestead), from execution</w:t>
      </w:r>
      <w:r w:rsidR="005F6A8B">
        <w:t xml:space="preserve">. </w:t>
      </w:r>
      <w:r w:rsidRPr="007A5BBC">
        <w:t>State exemption statutes vary widely – some states provide an unlimited homestead exemption regardless of the value of the home, while other states only exempt a homestead up to a few thousand dollars</w:t>
      </w:r>
      <w:r w:rsidR="005F6A8B">
        <w:t xml:space="preserve">. </w:t>
      </w:r>
      <w:r w:rsidRPr="007A5BBC">
        <w:t>Household goods (clothes, furniture and the like) are usually exempt, as are cars up to a certain value</w:t>
      </w:r>
      <w:r w:rsidR="005F6A8B">
        <w:t xml:space="preserve">. </w:t>
      </w:r>
      <w:r w:rsidRPr="007A5BBC">
        <w:t>In most states, the exemption applies to the judgment debtor’s equity in the property (the va</w:t>
      </w:r>
      <w:r w:rsidR="005270E5">
        <w:t>lue of the property above</w:t>
      </w:r>
      <w:r w:rsidR="00EE0318">
        <w:t xml:space="preserve"> </w:t>
      </w:r>
      <w:r w:rsidR="005270E5">
        <w:t>other </w:t>
      </w:r>
      <w:r w:rsidRPr="007A5BBC">
        <w:t>liens)</w:t>
      </w:r>
      <w:r w:rsidR="005F6A8B">
        <w:t>.</w:t>
      </w:r>
      <w:r w:rsidR="005270E5">
        <w:t> </w:t>
      </w:r>
      <w:r w:rsidRPr="007A5BBC">
        <w:t>A</w:t>
      </w:r>
      <w:r w:rsidR="005270E5">
        <w:t> </w:t>
      </w:r>
      <w:r w:rsidRPr="007A5BBC">
        <w:t>list</w:t>
      </w:r>
      <w:r w:rsidR="005270E5">
        <w:t> </w:t>
      </w:r>
      <w:r w:rsidRPr="007A5BBC">
        <w:t>of</w:t>
      </w:r>
      <w:r w:rsidR="005270E5">
        <w:t> </w:t>
      </w:r>
      <w:r w:rsidRPr="007A5BBC">
        <w:t>state</w:t>
      </w:r>
      <w:r w:rsidR="005270E5">
        <w:t> </w:t>
      </w:r>
      <w:r w:rsidRPr="007A5BBC">
        <w:t>exemption</w:t>
      </w:r>
      <w:r w:rsidR="005270E5">
        <w:t> </w:t>
      </w:r>
      <w:r w:rsidRPr="007A5BBC">
        <w:t>statutes</w:t>
      </w:r>
      <w:r w:rsidR="005270E5">
        <w:t> </w:t>
      </w:r>
      <w:r w:rsidRPr="007A5BBC">
        <w:t>is</w:t>
      </w:r>
      <w:r w:rsidR="005270E5">
        <w:t> </w:t>
      </w:r>
      <w:r w:rsidRPr="007A5BBC">
        <w:t>available</w:t>
      </w:r>
      <w:r w:rsidR="00B45943" w:rsidRPr="007A5BBC">
        <w:t xml:space="preserve"> </w:t>
      </w:r>
      <w:r w:rsidR="00D37927">
        <w:t>at</w:t>
      </w:r>
      <w:r w:rsidR="00410546">
        <w:t xml:space="preserve"> </w:t>
      </w:r>
      <w:hyperlink r:id="rId36" w:history="1">
        <w:r w:rsidR="00410546" w:rsidRPr="00013725">
          <w:rPr>
            <w:rStyle w:val="Hyperlink"/>
          </w:rPr>
          <w:t>http://www.legalconsumer.com/bankruptcy/laws/</w:t>
        </w:r>
      </w:hyperlink>
      <w:r w:rsidR="005F6A8B">
        <w:t xml:space="preserve">. </w:t>
      </w:r>
      <w:r w:rsidR="00B45943" w:rsidRPr="007A5BBC">
        <w:t xml:space="preserve">The New York exemption statute is reprinted in </w:t>
      </w:r>
      <w:hyperlink w:anchor="AppendixC" w:history="1">
        <w:r w:rsidR="00B45943" w:rsidRPr="007A5BBC">
          <w:rPr>
            <w:rStyle w:val="Hyperlink"/>
          </w:rPr>
          <w:t>Appendix C</w:t>
        </w:r>
      </w:hyperlink>
      <w:r w:rsidR="00B45943" w:rsidRPr="007A5BBC">
        <w:t>.</w:t>
      </w:r>
    </w:p>
    <w:p w14:paraId="500AD71A" w14:textId="77777777" w:rsidR="00B32E37" w:rsidRPr="00285386" w:rsidRDefault="00B32E37" w:rsidP="00DC3365">
      <w:pPr>
        <w:pStyle w:val="0-NORMAL"/>
      </w:pPr>
    </w:p>
    <w:p w14:paraId="412EEF58" w14:textId="3BC1E734" w:rsidR="00F0732B" w:rsidRPr="007A5BBC" w:rsidRDefault="00184B8D" w:rsidP="00B32E37">
      <w:pPr>
        <w:pStyle w:val="Heading3"/>
      </w:pPr>
      <w:bookmarkStart w:id="335" w:name="_Toc417380725"/>
      <w:bookmarkStart w:id="336" w:name="_Toc79699060"/>
      <w:bookmarkStart w:id="337" w:name="_Toc79699386"/>
      <w:bookmarkStart w:id="338" w:name="_Toc79699724"/>
      <w:bookmarkStart w:id="339" w:name="_Toc79700044"/>
      <w:bookmarkStart w:id="340" w:name="_Toc79700366"/>
      <w:bookmarkStart w:id="341" w:name="_Toc87039143"/>
      <w:bookmarkStart w:id="342" w:name="_Toc90983539"/>
      <w:r>
        <w:t xml:space="preserve">Practice </w:t>
      </w:r>
      <w:r w:rsidR="003A4180" w:rsidRPr="007A5BBC">
        <w:t>P</w:t>
      </w:r>
      <w:r>
        <w:t>roblems</w:t>
      </w:r>
      <w:r w:rsidR="007F7919" w:rsidRPr="007A5BBC">
        <w:t>: Enforcement of Judgments</w:t>
      </w:r>
      <w:bookmarkStart w:id="343" w:name="_Toc79692918"/>
      <w:bookmarkStart w:id="344" w:name="_Toc79693238"/>
      <w:bookmarkStart w:id="345" w:name="_Toc79693558"/>
      <w:bookmarkStart w:id="346" w:name="_Toc79693875"/>
      <w:bookmarkStart w:id="347" w:name="_Toc79694515"/>
      <w:bookmarkStart w:id="348" w:name="_Toc79695143"/>
      <w:bookmarkStart w:id="349" w:name="_Toc79697389"/>
      <w:bookmarkEnd w:id="335"/>
      <w:bookmarkEnd w:id="336"/>
      <w:bookmarkEnd w:id="337"/>
      <w:bookmarkEnd w:id="338"/>
      <w:bookmarkEnd w:id="339"/>
      <w:bookmarkEnd w:id="340"/>
      <w:bookmarkEnd w:id="343"/>
      <w:bookmarkEnd w:id="344"/>
      <w:bookmarkEnd w:id="345"/>
      <w:bookmarkEnd w:id="346"/>
      <w:bookmarkEnd w:id="347"/>
      <w:bookmarkEnd w:id="348"/>
      <w:bookmarkEnd w:id="349"/>
      <w:r w:rsidR="000C2595">
        <w:t xml:space="preserve"> and Exemptions</w:t>
      </w:r>
      <w:bookmarkEnd w:id="341"/>
      <w:bookmarkEnd w:id="342"/>
      <w:r w:rsidR="00B32E37">
        <w:br/>
      </w:r>
    </w:p>
    <w:p w14:paraId="412EEF59" w14:textId="1DFBE7C3" w:rsidR="003A4180" w:rsidRPr="007A5BBC" w:rsidRDefault="003A4180" w:rsidP="00DC3365">
      <w:pPr>
        <w:pStyle w:val="0-NORMAL"/>
      </w:pPr>
      <w:r w:rsidRPr="007A5BBC">
        <w:t xml:space="preserve">A creditor </w:t>
      </w:r>
      <w:r w:rsidR="00944B7B" w:rsidRPr="007A5BBC">
        <w:t xml:space="preserve">has obtained </w:t>
      </w:r>
      <w:r w:rsidRPr="007A5BBC">
        <w:t>a $100,000 judgment against an unmarried debtor</w:t>
      </w:r>
      <w:r w:rsidR="00944B7B" w:rsidRPr="007A5BBC">
        <w:t xml:space="preserve"> who lives in New York</w:t>
      </w:r>
      <w:r w:rsidRPr="007A5BBC">
        <w:t xml:space="preserve">. The debtor asks you whether the creditor can collect the judgment from the </w:t>
      </w:r>
      <w:r w:rsidR="00944B7B" w:rsidRPr="007A5BBC">
        <w:t>following assets owned by the judgment debtor</w:t>
      </w:r>
      <w:r w:rsidR="005F6A8B">
        <w:t xml:space="preserve">. </w:t>
      </w:r>
      <w:r w:rsidR="00944B7B" w:rsidRPr="007A5BBC">
        <w:t xml:space="preserve">Review the </w:t>
      </w:r>
      <w:hyperlink w:anchor="AppendixC" w:history="1">
        <w:r w:rsidR="00944B7B" w:rsidRPr="007A5BBC">
          <w:rPr>
            <w:rStyle w:val="Hyperlink"/>
          </w:rPr>
          <w:t>New York exemption statute</w:t>
        </w:r>
      </w:hyperlink>
      <w:r w:rsidR="00944B7B" w:rsidRPr="007A5BBC">
        <w:t xml:space="preserve"> and answer the following questions: </w:t>
      </w:r>
    </w:p>
    <w:p w14:paraId="6C1EE1B3" w14:textId="46684ADA" w:rsidR="0007545D" w:rsidRDefault="0007545D" w:rsidP="00406CD8">
      <w:pPr>
        <w:pStyle w:val="0-NORMAL"/>
      </w:pPr>
      <w:r w:rsidRPr="00406CD8">
        <w:rPr>
          <w:b/>
        </w:rPr>
        <w:lastRenderedPageBreak/>
        <w:t>Problem 1</w:t>
      </w:r>
      <w:r w:rsidR="005F6A8B">
        <w:t xml:space="preserve">. </w:t>
      </w:r>
      <w:r w:rsidR="003A4180" w:rsidRPr="0007545D">
        <w:t>The debtor has $10,000 in a bank account</w:t>
      </w:r>
      <w:r w:rsidR="005F6A8B">
        <w:t xml:space="preserve">. </w:t>
      </w:r>
      <w:r w:rsidR="003A4180" w:rsidRPr="0007545D">
        <w:t>How much can the creditor take</w:t>
      </w:r>
      <w:r w:rsidR="00083725" w:rsidRPr="0007545D">
        <w:t xml:space="preserve">? </w:t>
      </w:r>
    </w:p>
    <w:p w14:paraId="5B5FACD2" w14:textId="3B68F875" w:rsidR="0007545D" w:rsidRPr="0007545D" w:rsidRDefault="0007545D" w:rsidP="00406CD8">
      <w:pPr>
        <w:pStyle w:val="0-NORMAL"/>
      </w:pPr>
      <w:r w:rsidRPr="00406CD8">
        <w:rPr>
          <w:b/>
        </w:rPr>
        <w:t>Problem 2</w:t>
      </w:r>
      <w:r w:rsidR="005F6A8B">
        <w:t xml:space="preserve">. </w:t>
      </w:r>
      <w:r w:rsidR="003A4180" w:rsidRPr="0007545D">
        <w:t>Can the creditor take the debtor’s car, worth $5,000</w:t>
      </w:r>
      <w:r w:rsidR="00083725" w:rsidRPr="0007545D">
        <w:t xml:space="preserve">? </w:t>
      </w:r>
    </w:p>
    <w:p w14:paraId="0E122018" w14:textId="32B38B02" w:rsidR="0007545D" w:rsidRDefault="0007545D" w:rsidP="00406CD8">
      <w:pPr>
        <w:pStyle w:val="0-NORMAL"/>
      </w:pPr>
      <w:r w:rsidRPr="00406CD8">
        <w:rPr>
          <w:b/>
        </w:rPr>
        <w:t>Problem 3</w:t>
      </w:r>
      <w:r w:rsidR="005F6A8B">
        <w:t xml:space="preserve">. </w:t>
      </w:r>
      <w:r>
        <w:t xml:space="preserve">May </w:t>
      </w:r>
      <w:r w:rsidR="003A4180" w:rsidRPr="0007545D">
        <w:t>the creditor force the sale of the debtor’s house in Syracuse</w:t>
      </w:r>
      <w:r w:rsidR="00944B7B" w:rsidRPr="0007545D">
        <w:t xml:space="preserve"> (Onondaga </w:t>
      </w:r>
      <w:r w:rsidR="00C21D03" w:rsidRPr="0007545D">
        <w:t>C</w:t>
      </w:r>
      <w:r w:rsidR="00944B7B" w:rsidRPr="0007545D">
        <w:t>ounty)</w:t>
      </w:r>
      <w:r w:rsidR="003A4180" w:rsidRPr="0007545D">
        <w:t xml:space="preserve"> worth $125,000</w:t>
      </w:r>
      <w:r w:rsidR="00083725" w:rsidRPr="0007545D">
        <w:t xml:space="preserve">? </w:t>
      </w:r>
      <w:r w:rsidR="003A4180" w:rsidRPr="0007545D">
        <w:t>The house is subject to a $40,000 mortgage</w:t>
      </w:r>
      <w:r w:rsidR="00083725" w:rsidRPr="0007545D">
        <w:t xml:space="preserve">? </w:t>
      </w:r>
    </w:p>
    <w:p w14:paraId="3D058B0D" w14:textId="51E6DD51" w:rsidR="0007545D" w:rsidRDefault="0007545D" w:rsidP="00406CD8">
      <w:pPr>
        <w:pStyle w:val="0-NORMAL"/>
      </w:pPr>
      <w:r w:rsidRPr="00406CD8">
        <w:rPr>
          <w:b/>
        </w:rPr>
        <w:t>Problem 4</w:t>
      </w:r>
      <w:r w:rsidR="005F6A8B">
        <w:t xml:space="preserve">. </w:t>
      </w:r>
      <w:r w:rsidR="003A4180" w:rsidRPr="0007545D">
        <w:t xml:space="preserve">What if the house </w:t>
      </w:r>
      <w:r w:rsidR="00944B7B" w:rsidRPr="0007545D">
        <w:t xml:space="preserve">is </w:t>
      </w:r>
      <w:r w:rsidR="003A4180" w:rsidRPr="0007545D">
        <w:t>worth $110,000?</w:t>
      </w:r>
    </w:p>
    <w:p w14:paraId="412EEF5E" w14:textId="302F23E6" w:rsidR="003A4180" w:rsidRDefault="0007545D" w:rsidP="00406CD8">
      <w:pPr>
        <w:pStyle w:val="0-NORMAL"/>
      </w:pPr>
      <w:r w:rsidRPr="00406CD8">
        <w:rPr>
          <w:b/>
        </w:rPr>
        <w:t>Problem 5</w:t>
      </w:r>
      <w:r w:rsidR="005F6A8B">
        <w:t xml:space="preserve">. </w:t>
      </w:r>
      <w:r w:rsidR="003A4180" w:rsidRPr="0007545D">
        <w:t>The Debtor purchased a car for $3,000, paying $300 down, and borrowing the $2,700 balance from the car dealer</w:t>
      </w:r>
      <w:r w:rsidR="005F6A8B">
        <w:t xml:space="preserve">. </w:t>
      </w:r>
      <w:r w:rsidR="003A4180" w:rsidRPr="0007545D">
        <w:t>The car dealer has a security interest in the car</w:t>
      </w:r>
      <w:r w:rsidR="005F6A8B">
        <w:t xml:space="preserve">. </w:t>
      </w:r>
      <w:r w:rsidR="003A4180" w:rsidRPr="0007545D">
        <w:t>If the debtor stops paying, what can the car dealer do?</w:t>
      </w:r>
    </w:p>
    <w:p w14:paraId="1B80F36B" w14:textId="77777777" w:rsidR="00B32E37" w:rsidRPr="0007545D" w:rsidRDefault="00B32E37" w:rsidP="00406CD8">
      <w:pPr>
        <w:pStyle w:val="0-NORMAL"/>
      </w:pPr>
    </w:p>
    <w:p w14:paraId="412EEF5F" w14:textId="146961FE" w:rsidR="003A4180" w:rsidRPr="007A5BBC" w:rsidRDefault="003A4180" w:rsidP="00B32E37">
      <w:pPr>
        <w:pStyle w:val="Heading2"/>
        <w:spacing w:line="240" w:lineRule="auto"/>
      </w:pPr>
      <w:bookmarkStart w:id="350" w:name="_Toc417380726"/>
      <w:bookmarkStart w:id="351" w:name="_Toc79699061"/>
      <w:bookmarkStart w:id="352" w:name="_Toc79699387"/>
      <w:bookmarkStart w:id="353" w:name="_Toc79699725"/>
      <w:bookmarkStart w:id="354" w:name="_Toc79700045"/>
      <w:bookmarkStart w:id="355" w:name="_Toc79700367"/>
      <w:bookmarkStart w:id="356" w:name="_Toc87039144"/>
      <w:bookmarkStart w:id="357" w:name="_Toc90983540"/>
      <w:r w:rsidRPr="007A5BBC">
        <w:t>Other Federal and State Exemptions</w:t>
      </w:r>
      <w:bookmarkStart w:id="358" w:name="_Toc79692919"/>
      <w:bookmarkStart w:id="359" w:name="_Toc79693239"/>
      <w:bookmarkStart w:id="360" w:name="_Toc79693559"/>
      <w:bookmarkStart w:id="361" w:name="_Toc79693876"/>
      <w:bookmarkStart w:id="362" w:name="_Toc79694516"/>
      <w:bookmarkStart w:id="363" w:name="_Toc79695144"/>
      <w:bookmarkStart w:id="364" w:name="_Toc79697390"/>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00B32E37">
        <w:br/>
      </w:r>
    </w:p>
    <w:p w14:paraId="412EEF65" w14:textId="76413CD5" w:rsidR="003A4180"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The most important 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 xml:space="preserve">Act, 42 U.S.C. § 407, which is contained in </w:t>
      </w:r>
      <w:hyperlink w:anchor="AppendisE" w:history="1">
        <w:r w:rsidR="007B5C30" w:rsidRPr="007A5BBC">
          <w:rPr>
            <w:rStyle w:val="Hyperlink"/>
          </w:rPr>
          <w:t xml:space="preserve">Appendix </w:t>
        </w:r>
        <w:r w:rsidR="00EE0318">
          <w:rPr>
            <w:rStyle w:val="Hyperlink"/>
          </w:rPr>
          <w:t>D</w:t>
        </w:r>
      </w:hyperlink>
      <w:r w:rsidR="005F6A8B">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to keep their social security proceeds in an account that contains only social security proceeds (and not any other form of income)</w:t>
      </w:r>
      <w:r w:rsidR="00083725" w:rsidRPr="007A5BBC">
        <w:t xml:space="preserve">? </w:t>
      </w:r>
    </w:p>
    <w:p w14:paraId="3FC7B8B5" w14:textId="77777777" w:rsidR="00B32E37" w:rsidRPr="007A5BBC" w:rsidRDefault="00B32E37" w:rsidP="00DC3365">
      <w:pPr>
        <w:pStyle w:val="0-NORMAL"/>
      </w:pPr>
    </w:p>
    <w:p w14:paraId="412EEF67" w14:textId="0979EE62" w:rsidR="003A4180" w:rsidRPr="007A5BBC" w:rsidRDefault="003A4180" w:rsidP="00B32E37">
      <w:pPr>
        <w:pStyle w:val="Heading2"/>
        <w:spacing w:line="240" w:lineRule="auto"/>
      </w:pPr>
      <w:bookmarkStart w:id="365" w:name="_Toc417380728"/>
      <w:bookmarkStart w:id="366" w:name="_Toc79699062"/>
      <w:bookmarkStart w:id="367" w:name="_Toc79699388"/>
      <w:bookmarkStart w:id="368" w:name="_Toc79699726"/>
      <w:bookmarkStart w:id="369" w:name="_Toc79700046"/>
      <w:bookmarkStart w:id="370" w:name="_Toc79700368"/>
      <w:bookmarkStart w:id="371" w:name="_Toc87039145"/>
      <w:bookmarkStart w:id="372" w:name="_Toc90983541"/>
      <w:r w:rsidRPr="007A5BBC">
        <w:t>Federal Tax Collection</w:t>
      </w:r>
      <w:bookmarkStart w:id="373" w:name="_Toc79692920"/>
      <w:bookmarkStart w:id="374" w:name="_Toc79693240"/>
      <w:bookmarkStart w:id="375" w:name="_Toc79693560"/>
      <w:bookmarkStart w:id="376" w:name="_Toc79693877"/>
      <w:bookmarkStart w:id="377" w:name="_Toc79694517"/>
      <w:bookmarkStart w:id="378" w:name="_Toc79695145"/>
      <w:bookmarkStart w:id="379" w:name="_Toc79697391"/>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00B32E37">
        <w:br/>
      </w:r>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63F6DC09"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(2) the IRS can file a substitute for return if the taxpayer does not file one (generally based on reported income and the standard deduction) and assess the taxes shown as owing, or (3) the IRS can follow 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2C692107" w:rsidR="003A4180" w:rsidRDefault="003A4180" w:rsidP="00DC3365">
      <w:pPr>
        <w:pStyle w:val="0-NORMAL"/>
      </w:pPr>
      <w:r w:rsidRPr="007A5BBC">
        <w:lastRenderedPageBreak/>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5824C436" w14:textId="77777777" w:rsidR="00B32E37" w:rsidRPr="007A5BBC" w:rsidRDefault="00B32E37" w:rsidP="00DC3365">
      <w:pPr>
        <w:pStyle w:val="0-NORMAL"/>
      </w:pPr>
    </w:p>
    <w:p w14:paraId="412EEF6B" w14:textId="5DEBBC29" w:rsidR="003A4180" w:rsidRPr="007A5BBC" w:rsidRDefault="003A4180" w:rsidP="00B32E37">
      <w:pPr>
        <w:pStyle w:val="Heading2"/>
        <w:spacing w:line="240" w:lineRule="auto"/>
      </w:pPr>
      <w:bookmarkStart w:id="380" w:name="_Toc417380729"/>
      <w:bookmarkStart w:id="381" w:name="_Toc79699063"/>
      <w:bookmarkStart w:id="382" w:name="_Toc79699389"/>
      <w:bookmarkStart w:id="383" w:name="_Toc79699727"/>
      <w:bookmarkStart w:id="384" w:name="_Toc79700047"/>
      <w:bookmarkStart w:id="385" w:name="_Toc79700369"/>
      <w:bookmarkStart w:id="386" w:name="_Toc87039146"/>
      <w:bookmarkStart w:id="387" w:name="_Toc90983542"/>
      <w:r w:rsidRPr="007A5BBC">
        <w:t>State Law Avoiding Powers</w:t>
      </w:r>
      <w:bookmarkStart w:id="388" w:name="_Toc79692921"/>
      <w:bookmarkStart w:id="389" w:name="_Toc79693241"/>
      <w:bookmarkStart w:id="390" w:name="_Toc79693561"/>
      <w:bookmarkStart w:id="391" w:name="_Toc79693878"/>
      <w:bookmarkStart w:id="392" w:name="_Toc79694518"/>
      <w:bookmarkStart w:id="393" w:name="_Toc79695146"/>
      <w:bookmarkStart w:id="394" w:name="_Toc79697392"/>
      <w:bookmarkEnd w:id="380"/>
      <w:bookmarkEnd w:id="381"/>
      <w:bookmarkEnd w:id="382"/>
      <w:bookmarkEnd w:id="383"/>
      <w:bookmarkEnd w:id="384"/>
      <w:bookmarkEnd w:id="385"/>
      <w:bookmarkEnd w:id="388"/>
      <w:bookmarkEnd w:id="389"/>
      <w:bookmarkEnd w:id="390"/>
      <w:bookmarkEnd w:id="391"/>
      <w:bookmarkEnd w:id="392"/>
      <w:bookmarkEnd w:id="393"/>
      <w:bookmarkEnd w:id="394"/>
      <w:r w:rsidR="000C2595">
        <w:t xml:space="preserve"> – Fraudulent Transfers Law</w:t>
      </w:r>
      <w:bookmarkEnd w:id="386"/>
      <w:bookmarkEnd w:id="387"/>
      <w:r w:rsidR="00B32E37">
        <w:br/>
      </w:r>
    </w:p>
    <w:p w14:paraId="20E08EB7" w14:textId="65DE244B" w:rsidR="008B42AE" w:rsidRDefault="00FE5546" w:rsidP="00352992">
      <w:pPr>
        <w:pStyle w:val="0-NORMAL"/>
      </w:pPr>
      <w:r>
        <w:t xml:space="preserve">In order to prevent debtors from </w:t>
      </w:r>
      <w:r w:rsidR="00B11CB9">
        <w:t xml:space="preserve">harming creditors by </w:t>
      </w:r>
      <w:r>
        <w:t xml:space="preserve">fraudulently transferring </w:t>
      </w:r>
      <w:r w:rsidR="00B11CB9">
        <w:t xml:space="preserve">the debtor’s </w:t>
      </w:r>
      <w:r>
        <w:t>property</w:t>
      </w:r>
      <w:r w:rsidR="00B11CB9">
        <w:t xml:space="preserve"> to others, state law gives </w:t>
      </w:r>
      <w:r w:rsidR="00694F0A">
        <w:t xml:space="preserve">creditors </w:t>
      </w:r>
      <w:r w:rsidR="00B11CB9">
        <w:t xml:space="preserve">a right to avoid or set aside </w:t>
      </w:r>
      <w:r w:rsidR="003A4180" w:rsidRPr="007A5BBC">
        <w:t>a transaction between the debtor and a third party that harmed (or is presumed to have harmed) the creditor</w:t>
      </w:r>
      <w:r w:rsidR="005F6A8B">
        <w:t xml:space="preserve">. </w:t>
      </w:r>
      <w:r w:rsidR="00DF4285">
        <w:t xml:space="preserve">Under the fraudulent transfer laws, the debtor’s creditors can sue the transferees to recover the property, or in some cases </w:t>
      </w:r>
      <w:r w:rsidR="008B42AE">
        <w:t xml:space="preserve">can recover </w:t>
      </w:r>
      <w:r w:rsidR="00DF4285">
        <w:t>the value of the property</w:t>
      </w:r>
      <w:r w:rsidR="008B42AE">
        <w:t xml:space="preserve"> from the transferees</w:t>
      </w:r>
      <w:r w:rsidR="00DF4285">
        <w:t>.</w:t>
      </w:r>
    </w:p>
    <w:p w14:paraId="412EEF6C" w14:textId="57511A7D" w:rsidR="003A4180" w:rsidRPr="007A5BBC" w:rsidRDefault="003A4180" w:rsidP="00352992">
      <w:pPr>
        <w:pStyle w:val="0-NORMAL"/>
      </w:pPr>
      <w:r w:rsidRPr="007A5BBC">
        <w:t xml:space="preserve">There is a long history </w:t>
      </w:r>
      <w:r w:rsidR="008B42AE">
        <w:t xml:space="preserve">of fraudulent </w:t>
      </w:r>
      <w:r w:rsidRPr="007A5BBC">
        <w:t>law</w:t>
      </w:r>
      <w:r w:rsidR="008B42AE">
        <w:t>s</w:t>
      </w:r>
      <w:r w:rsidRPr="007A5BBC">
        <w:t xml:space="preserve"> dating back to the English Statute of 13 Elizabeth (13 Eliz 1, c 5) in 1571</w:t>
      </w:r>
      <w:r w:rsidR="005F6A8B">
        <w:t xml:space="preserve">. </w:t>
      </w:r>
      <w:r w:rsidR="009F5CAF">
        <w:t>In modern times, t</w:t>
      </w:r>
      <w:r w:rsidR="00437D31">
        <w:t xml:space="preserve">he </w:t>
      </w:r>
      <w:r w:rsidRPr="007A5BBC">
        <w:t xml:space="preserve">Uniform Fraudulent Conveyance Act (“UFCA”) was promulgated in 1918 </w:t>
      </w:r>
      <w:r w:rsidR="008B3263">
        <w:t xml:space="preserve">by the </w:t>
      </w:r>
      <w:r w:rsidRPr="007A5BBC">
        <w:t xml:space="preserve">National Conference of Commissioners on Uniform State Laws, and became the law in most states until </w:t>
      </w:r>
      <w:r w:rsidR="00437D31">
        <w:t xml:space="preserve">the National Conference proposed a more </w:t>
      </w:r>
      <w:r w:rsidRPr="007A5BBC">
        <w:t xml:space="preserve">modern version called the </w:t>
      </w:r>
      <w:hyperlink w:anchor="UFTA1" w:history="1">
        <w:r w:rsidRPr="002E70F0">
          <w:rPr>
            <w:rStyle w:val="Hyperlink"/>
          </w:rPr>
          <w:t>Uniform Fraudulent Transfers Act</w:t>
        </w:r>
      </w:hyperlink>
      <w:r w:rsidRPr="007A5BBC">
        <w:t xml:space="preserve"> (“UFTA”) in 1984</w:t>
      </w:r>
      <w:r w:rsidR="00437D31">
        <w:t xml:space="preserve">. The UFTA was adopted in every state </w:t>
      </w:r>
      <w:r w:rsidR="00352992">
        <w:t xml:space="preserve">except New York (which had stubbornly </w:t>
      </w:r>
      <w:r w:rsidR="00437D31">
        <w:t xml:space="preserve">clung </w:t>
      </w:r>
      <w:r w:rsidR="00352992">
        <w:t xml:space="preserve">to the old UFCA). In 2014, the </w:t>
      </w:r>
      <w:r w:rsidR="00437D31">
        <w:t xml:space="preserve">National Conference adopted </w:t>
      </w:r>
      <w:r w:rsidR="00352992">
        <w:t xml:space="preserve">a new version </w:t>
      </w:r>
      <w:r w:rsidR="00437D31">
        <w:t xml:space="preserve">of the law </w:t>
      </w:r>
      <w:r w:rsidR="00352992">
        <w:t xml:space="preserve">called the </w:t>
      </w:r>
      <w:hyperlink r:id="rId37" w:history="1">
        <w:r w:rsidR="00352992" w:rsidRPr="000F7E50">
          <w:rPr>
            <w:rStyle w:val="Hyperlink"/>
          </w:rPr>
          <w:t>Uniform Voidable Transactions Act</w:t>
        </w:r>
      </w:hyperlink>
      <w:r w:rsidR="00352992">
        <w:t xml:space="preserve"> (“UVTA”), which </w:t>
      </w:r>
      <w:r w:rsidR="00FD42DD">
        <w:t xml:space="preserve">at the time this book is written </w:t>
      </w:r>
      <w:r w:rsidR="00352992">
        <w:t>has been adopted in 22 states, including the big commercial states of New York and California. The New York version of the UVTA</w:t>
      </w:r>
      <w:r w:rsidR="00DE3101">
        <w:t>, which became effective in 2020,</w:t>
      </w:r>
      <w:r w:rsidR="00352992">
        <w:t xml:space="preserve"> is attached in </w:t>
      </w:r>
      <w:hyperlink w:anchor="AppendixE" w:history="1">
        <w:r w:rsidR="002E70F0" w:rsidRPr="002E70F0">
          <w:rPr>
            <w:rStyle w:val="Hyperlink"/>
          </w:rPr>
          <w:t xml:space="preserve">Appendix </w:t>
        </w:r>
        <w:r w:rsidR="00E31DD2">
          <w:rPr>
            <w:rStyle w:val="Hyperlink"/>
          </w:rPr>
          <w:t>E</w:t>
        </w:r>
      </w:hyperlink>
      <w:r w:rsidR="002E70F0">
        <w:t>.</w:t>
      </w:r>
    </w:p>
    <w:p w14:paraId="412EEF6D" w14:textId="4D4FBA15" w:rsidR="003A4180" w:rsidRDefault="003A4180" w:rsidP="00DC3365">
      <w:pPr>
        <w:pStyle w:val="0-NORMAL"/>
      </w:pPr>
      <w:r w:rsidRPr="007A5BBC">
        <w:t xml:space="preserve">It is important to note several things about the </w:t>
      </w:r>
      <w:r w:rsidR="00437D31">
        <w:t>NY-UVTA</w:t>
      </w:r>
      <w:r w:rsidR="005F6A8B">
        <w:t xml:space="preserve">. </w:t>
      </w:r>
      <w:r w:rsidR="00C21D03" w:rsidRPr="007A5BBC">
        <w:t xml:space="preserve">First, the </w:t>
      </w:r>
      <w:r w:rsidR="00AB3EFD">
        <w:t>A</w:t>
      </w:r>
      <w:r w:rsidR="00352992">
        <w:t>ct</w:t>
      </w:r>
      <w:r w:rsidR="0009101E">
        <w:t xml:space="preserve"> </w:t>
      </w:r>
      <w:r w:rsidR="00352992">
        <w:t>address</w:t>
      </w:r>
      <w:r w:rsidR="0009101E">
        <w:t>es</w:t>
      </w:r>
      <w:r w:rsidR="00352992">
        <w:t xml:space="preserve"> two primary kinds of </w:t>
      </w:r>
      <w:r w:rsidRPr="007A5BBC">
        <w:t xml:space="preserve">transfers: (1) transfers </w:t>
      </w:r>
      <w:r w:rsidR="00183D4E">
        <w:t xml:space="preserve">made </w:t>
      </w:r>
      <w:r w:rsidRPr="007A5BBC">
        <w:t xml:space="preserve">with </w:t>
      </w:r>
      <w:r w:rsidRPr="00352992">
        <w:rPr>
          <w:b/>
          <w:bCs/>
        </w:rPr>
        <w:t>actual intent</w:t>
      </w:r>
      <w:r w:rsidRPr="007A5BBC">
        <w:t xml:space="preserve"> to </w:t>
      </w:r>
      <w:r w:rsidR="00352992">
        <w:t xml:space="preserve">hinder, </w:t>
      </w:r>
      <w:r w:rsidRPr="007A5BBC">
        <w:t xml:space="preserve">delay or </w:t>
      </w:r>
      <w:r w:rsidR="00352992">
        <w:t xml:space="preserve">defraud </w:t>
      </w:r>
      <w:r w:rsidRPr="007A5BBC">
        <w:t>creditors</w:t>
      </w:r>
      <w:r w:rsidR="00352992">
        <w:t xml:space="preserve"> </w:t>
      </w:r>
      <w:r w:rsidR="0009101E">
        <w:t xml:space="preserve">(or </w:t>
      </w:r>
      <w:r w:rsidR="00183D4E">
        <w:t xml:space="preserve">certain kinds of </w:t>
      </w:r>
      <w:r w:rsidR="0009101E">
        <w:t xml:space="preserve">knowledge that the transfer will likely result in an inability to pay creditors) </w:t>
      </w:r>
      <w:r w:rsidR="00352992">
        <w:t>(</w:t>
      </w:r>
      <w:hyperlink w:anchor="NYUVTA273" w:history="1">
        <w:r w:rsidR="00437D31">
          <w:rPr>
            <w:rStyle w:val="Hyperlink"/>
          </w:rPr>
          <w:t>NY-UVTA</w:t>
        </w:r>
        <w:r w:rsidR="00D87357" w:rsidRPr="00437D31">
          <w:rPr>
            <w:rStyle w:val="Hyperlink"/>
          </w:rPr>
          <w:t xml:space="preserve"> § 273</w:t>
        </w:r>
      </w:hyperlink>
      <w:r w:rsidR="00D87357">
        <w:t>)</w:t>
      </w:r>
      <w:r w:rsidR="0009101E">
        <w:t xml:space="preserve"> </w:t>
      </w:r>
      <w:r w:rsidRPr="007A5BBC">
        <w:t xml:space="preserve">and (2) transfers that are </w:t>
      </w:r>
      <w:r w:rsidRPr="00352992">
        <w:rPr>
          <w:b/>
          <w:bCs/>
        </w:rPr>
        <w:t>constructively fraudulent</w:t>
      </w:r>
      <w:r w:rsidRPr="007A5BBC">
        <w:t xml:space="preserve"> </w:t>
      </w:r>
      <w:r w:rsidR="00352992">
        <w:t xml:space="preserve">(without </w:t>
      </w:r>
      <w:r w:rsidR="00183D4E">
        <w:t xml:space="preserve">requiring a showing of fraudulent </w:t>
      </w:r>
      <w:r w:rsidR="00352992">
        <w:t xml:space="preserve">intent) </w:t>
      </w:r>
      <w:r w:rsidRPr="007A5BBC">
        <w:t xml:space="preserve">because the debtor did not receive reasonably equivalent value (“REV”) in return for the transfer, and was </w:t>
      </w:r>
      <w:r w:rsidR="00CD12A4">
        <w:t xml:space="preserve">insolvent or </w:t>
      </w:r>
      <w:r w:rsidR="00D66717">
        <w:t xml:space="preserve">was rendered </w:t>
      </w:r>
      <w:r w:rsidRPr="007A5BBC">
        <w:t>insolvent (or something like insolvent) by the transfer</w:t>
      </w:r>
      <w:r w:rsidR="00D87357">
        <w:t xml:space="preserve"> (</w:t>
      </w:r>
      <w:hyperlink w:anchor="NYUVTA274" w:history="1">
        <w:r w:rsidR="00437D31" w:rsidRPr="005B0A4C">
          <w:rPr>
            <w:rStyle w:val="Hyperlink"/>
          </w:rPr>
          <w:t>NY-UVTA</w:t>
        </w:r>
        <w:r w:rsidR="00D87357" w:rsidRPr="005B0A4C">
          <w:rPr>
            <w:rStyle w:val="Hyperlink"/>
          </w:rPr>
          <w:t xml:space="preserve"> § 274</w:t>
        </w:r>
      </w:hyperlink>
      <w:r w:rsidR="00D87357">
        <w:t>)</w:t>
      </w:r>
      <w:r w:rsidR="005F6A8B">
        <w:t xml:space="preserve">. </w:t>
      </w:r>
      <w:r w:rsidRPr="007A5BBC">
        <w:t xml:space="preserve">The </w:t>
      </w:r>
      <w:r w:rsidR="00D87357">
        <w:t xml:space="preserve">idea behind </w:t>
      </w:r>
      <w:r w:rsidRPr="007A5BBC">
        <w:t xml:space="preserve">a constructive fraudulent conveyance is that an insolvent debtor is </w:t>
      </w:r>
      <w:r w:rsidR="00D87357">
        <w:t xml:space="preserve">essentially </w:t>
      </w:r>
      <w:r w:rsidRPr="007A5BBC">
        <w:t xml:space="preserve">giving away money </w:t>
      </w:r>
      <w:r w:rsidR="00352992">
        <w:t xml:space="preserve">or property to the transferee </w:t>
      </w:r>
      <w:r w:rsidRPr="007A5BBC">
        <w:t xml:space="preserve">that should rightfully belong to </w:t>
      </w:r>
      <w:r w:rsidR="0009101E">
        <w:t xml:space="preserve">the insolvent debtor’s </w:t>
      </w:r>
      <w:r w:rsidRPr="007A5BBC">
        <w:t>creditors.</w:t>
      </w:r>
      <w:r w:rsidR="003779A8">
        <w:t xml:space="preserve"> </w:t>
      </w:r>
    </w:p>
    <w:p w14:paraId="412EEF6E" w14:textId="1C876C49" w:rsidR="003A4180" w:rsidRPr="007A5BBC" w:rsidRDefault="003A4180" w:rsidP="00DC3365">
      <w:pPr>
        <w:pStyle w:val="0-NORMAL"/>
      </w:pPr>
      <w:r w:rsidRPr="007A5BBC">
        <w:t xml:space="preserve">Second, </w:t>
      </w:r>
      <w:r w:rsidR="008D13DB">
        <w:t xml:space="preserve">the NY-UVTA </w:t>
      </w:r>
      <w:r w:rsidRPr="007A5BBC">
        <w:t>covers not only transfers of property, but also the incurrence of fraudulent obligations which would dilute the distributions to other unsecured creditors</w:t>
      </w:r>
      <w:r w:rsidR="001976FB">
        <w:t xml:space="preserve">. </w:t>
      </w:r>
      <w:r w:rsidR="001976FB" w:rsidRPr="001976FB">
        <w:rPr>
          <w:i/>
          <w:iCs/>
        </w:rPr>
        <w:t>See</w:t>
      </w:r>
      <w:r w:rsidR="001976FB">
        <w:t xml:space="preserve"> </w:t>
      </w:r>
      <w:hyperlink w:anchor="NYUVTA273" w:history="1">
        <w:r w:rsidR="00437D31" w:rsidRPr="005B0A4C">
          <w:rPr>
            <w:rStyle w:val="Hyperlink"/>
          </w:rPr>
          <w:t>NY-UVTA</w:t>
        </w:r>
        <w:r w:rsidR="00D87357" w:rsidRPr="005B0A4C">
          <w:rPr>
            <w:rStyle w:val="Hyperlink"/>
          </w:rPr>
          <w:t xml:space="preserve"> § 273</w:t>
        </w:r>
      </w:hyperlink>
      <w:r w:rsidR="00D87357">
        <w:t xml:space="preserve">, </w:t>
      </w:r>
      <w:hyperlink w:anchor="NYUVTA274" w:history="1">
        <w:r w:rsidR="00D87357" w:rsidRPr="005B0A4C">
          <w:rPr>
            <w:rStyle w:val="Hyperlink"/>
          </w:rPr>
          <w:t>274</w:t>
        </w:r>
      </w:hyperlink>
      <w:r w:rsidR="00D87357">
        <w:t xml:space="preserve"> (“transfer made or obligation incurred”)</w:t>
      </w:r>
      <w:r w:rsidR="005F6A8B">
        <w:t xml:space="preserve">. </w:t>
      </w:r>
    </w:p>
    <w:p w14:paraId="213EECF0" w14:textId="3A5BF284" w:rsidR="002D4726" w:rsidRDefault="003A4180" w:rsidP="002D4726">
      <w:pPr>
        <w:pStyle w:val="0-NORMAL"/>
      </w:pPr>
      <w:r w:rsidRPr="007A5BBC">
        <w:t xml:space="preserve">Third, the definition of “value” </w:t>
      </w:r>
      <w:r w:rsidR="00325952">
        <w:t xml:space="preserve">in </w:t>
      </w:r>
      <w:hyperlink w:anchor="NYUVTA272" w:history="1">
        <w:r w:rsidR="00437D31" w:rsidRPr="005B0A4C">
          <w:rPr>
            <w:rStyle w:val="Hyperlink"/>
          </w:rPr>
          <w:t>NY-UVTA</w:t>
        </w:r>
        <w:r w:rsidR="00325952" w:rsidRPr="005B0A4C">
          <w:rPr>
            <w:rStyle w:val="Hyperlink"/>
          </w:rPr>
          <w:t xml:space="preserve"> § 272</w:t>
        </w:r>
      </w:hyperlink>
      <w:r w:rsidR="00325952">
        <w:t xml:space="preserve"> </w:t>
      </w:r>
      <w:r w:rsidR="00352992">
        <w:t>is important</w:t>
      </w:r>
      <w:r w:rsidR="00D87357">
        <w:t xml:space="preserve">. </w:t>
      </w:r>
      <w:r w:rsidR="002D4726">
        <w:t>With an exception for transfers to insiders discussed below, payments or transfers to creditors (or transfers of security interests to unsecured creditors), in preference to other creditors, are not avoidable because they are deemed to be for “</w:t>
      </w:r>
      <w:r w:rsidR="001976FB">
        <w:t>reasonably</w:t>
      </w:r>
      <w:r w:rsidR="002D4726">
        <w:t xml:space="preserve"> equivalent value,” since “value” includes the payment or securing of an antecedent debt. </w:t>
      </w:r>
      <w:r w:rsidR="002D4726" w:rsidRPr="00DF5C5F">
        <w:rPr>
          <w:i/>
          <w:iCs/>
        </w:rPr>
        <w:t>Id</w:t>
      </w:r>
      <w:r w:rsidR="002D4726">
        <w:t xml:space="preserve">. </w:t>
      </w:r>
      <w:r w:rsidR="00736352">
        <w:t xml:space="preserve">Similarly, transferring a security interest in property to an existing unsecured creditor is not avoidable </w:t>
      </w:r>
      <w:r w:rsidR="00B0525B">
        <w:t xml:space="preserve">because the antecedent debt is “value” in exchange for the </w:t>
      </w:r>
      <w:r w:rsidR="00B0525B">
        <w:lastRenderedPageBreak/>
        <w:t xml:space="preserve">security interest, even though other creditors are </w:t>
      </w:r>
      <w:r w:rsidR="001976FB">
        <w:t xml:space="preserve">diluted </w:t>
      </w:r>
      <w:r w:rsidR="00B0525B">
        <w:t>by the transfer of the security interest</w:t>
      </w:r>
      <w:r w:rsidR="001976FB">
        <w:t xml:space="preserve"> if the debtor is insolvent</w:t>
      </w:r>
      <w:r w:rsidR="00B0525B">
        <w:t xml:space="preserve">. </w:t>
      </w:r>
      <w:r w:rsidR="002D4726">
        <w:t xml:space="preserve">With the one exception for transfers to insiders discussed below, </w:t>
      </w:r>
      <w:r w:rsidR="00E7508D">
        <w:t xml:space="preserve">these </w:t>
      </w:r>
      <w:r w:rsidR="002D4726">
        <w:t xml:space="preserve">preferential transfers </w:t>
      </w:r>
      <w:r w:rsidR="00736352">
        <w:t xml:space="preserve">to creditors </w:t>
      </w:r>
      <w:r w:rsidR="002D4726">
        <w:t>are not avoidable under state law.</w:t>
      </w:r>
    </w:p>
    <w:p w14:paraId="669EFF4E" w14:textId="1DB9184F" w:rsidR="00325952" w:rsidRDefault="00F86B69" w:rsidP="00DC3365">
      <w:pPr>
        <w:pStyle w:val="0-NORMAL"/>
      </w:pPr>
      <w:r>
        <w:t xml:space="preserve">The exception </w:t>
      </w:r>
      <w:r w:rsidR="00325952">
        <w:t xml:space="preserve">allows unsecured creditors to avoid preferential payments to </w:t>
      </w:r>
      <w:r w:rsidR="00325952" w:rsidRPr="00325952">
        <w:rPr>
          <w:b/>
          <w:bCs/>
        </w:rPr>
        <w:t>insiders</w:t>
      </w:r>
      <w:r w:rsidR="00325952">
        <w:t xml:space="preserve"> on account of an antecedent deb</w:t>
      </w:r>
      <w:r w:rsidR="00DF5C5F">
        <w:t xml:space="preserve">t and made </w:t>
      </w:r>
      <w:r w:rsidR="00325952">
        <w:t xml:space="preserve">while </w:t>
      </w:r>
      <w:r w:rsidR="00DF5C5F">
        <w:t xml:space="preserve">the debtor is </w:t>
      </w:r>
      <w:r w:rsidR="00325952">
        <w:t xml:space="preserve">insolvent. </w:t>
      </w:r>
      <w:hyperlink w:anchor="NYUVTA274" w:history="1">
        <w:r w:rsidR="005B0A4C" w:rsidRPr="005B0A4C">
          <w:rPr>
            <w:rStyle w:val="Hyperlink"/>
          </w:rPr>
          <w:t>NY-UVTA</w:t>
        </w:r>
        <w:r w:rsidR="00325952" w:rsidRPr="005B0A4C">
          <w:rPr>
            <w:rStyle w:val="Hyperlink"/>
          </w:rPr>
          <w:t xml:space="preserve"> § 274</w:t>
        </w:r>
      </w:hyperlink>
      <w:r w:rsidR="00325952">
        <w:t xml:space="preserve">(b). Insiders are defined in lengthy rules as relatives within the third degree of </w:t>
      </w:r>
      <w:r w:rsidR="00325952" w:rsidRPr="00325952">
        <w:t>consanguinity</w:t>
      </w:r>
      <w:r w:rsidR="00325952">
        <w:t xml:space="preserve">, and affiliated entities. </w:t>
      </w:r>
      <w:r w:rsidR="00325952" w:rsidRPr="003A2EEC">
        <w:rPr>
          <w:i/>
          <w:iCs/>
        </w:rPr>
        <w:t>See</w:t>
      </w:r>
      <w:r w:rsidR="00325952">
        <w:t xml:space="preserve"> </w:t>
      </w:r>
      <w:hyperlink w:anchor="NYUVTA270" w:history="1">
        <w:r w:rsidR="005B0A4C" w:rsidRPr="005B0A4C">
          <w:rPr>
            <w:rStyle w:val="Hyperlink"/>
          </w:rPr>
          <w:t>NY-UVTA</w:t>
        </w:r>
        <w:r w:rsidR="00325952" w:rsidRPr="005B0A4C">
          <w:rPr>
            <w:rStyle w:val="Hyperlink"/>
          </w:rPr>
          <w:t xml:space="preserve"> 270</w:t>
        </w:r>
      </w:hyperlink>
      <w:r w:rsidR="00325952">
        <w:t>(h) and (n).</w:t>
      </w:r>
    </w:p>
    <w:p w14:paraId="1455995D" w14:textId="0059BDEC" w:rsidR="0009101E" w:rsidRDefault="007C1024" w:rsidP="00DC3365">
      <w:pPr>
        <w:pStyle w:val="0-NORMAL"/>
      </w:pPr>
      <w:hyperlink w:anchor="NYUVTA276A" w:history="1">
        <w:r w:rsidR="005B0A4C" w:rsidRPr="005B0A4C">
          <w:rPr>
            <w:rStyle w:val="Hyperlink"/>
          </w:rPr>
          <w:t>NY-UVTA</w:t>
        </w:r>
        <w:r w:rsidR="0009101E" w:rsidRPr="005B0A4C">
          <w:rPr>
            <w:rStyle w:val="Hyperlink"/>
          </w:rPr>
          <w:t xml:space="preserve"> § 276(A)</w:t>
        </w:r>
      </w:hyperlink>
      <w:r w:rsidR="0009101E">
        <w:t xml:space="preserve"> is a new and rather strange addition </w:t>
      </w:r>
      <w:r w:rsidR="00DF5C5F">
        <w:t xml:space="preserve">(not contained in the official </w:t>
      </w:r>
      <w:r w:rsidR="005B0A4C">
        <w:t>UVTA</w:t>
      </w:r>
      <w:r w:rsidR="00DF5C5F">
        <w:t xml:space="preserve">) </w:t>
      </w:r>
      <w:r w:rsidR="0009101E">
        <w:t>allowing a creditor who has a statutory right to recover attorney</w:t>
      </w:r>
      <w:r w:rsidR="001976FB">
        <w:t>s’</w:t>
      </w:r>
      <w:r w:rsidR="0009101E">
        <w:t xml:space="preserve"> fees in the underlying action to recover reasonable attorney</w:t>
      </w:r>
      <w:r w:rsidR="003F59AF">
        <w:t>s’</w:t>
      </w:r>
      <w:r w:rsidR="0009101E">
        <w:t xml:space="preserve"> fees </w:t>
      </w:r>
      <w:r w:rsidR="00A23CD4">
        <w:t xml:space="preserve">incurred in avoiding a fraudulent transfer </w:t>
      </w:r>
      <w:r w:rsidR="0009101E">
        <w:t>(</w:t>
      </w:r>
      <w:r w:rsidR="00BC237C">
        <w:t xml:space="preserve">notwithstanding </w:t>
      </w:r>
      <w:r w:rsidR="0009101E">
        <w:t xml:space="preserve">the </w:t>
      </w:r>
      <w:r w:rsidR="00BC237C">
        <w:t xml:space="preserve">creditors’ </w:t>
      </w:r>
      <w:r w:rsidR="0009101E">
        <w:t>fee arrangement with its lawyer</w:t>
      </w:r>
      <w:r w:rsidR="00BC237C">
        <w:t>, or its waiver of fees in the underlying action</w:t>
      </w:r>
      <w:r w:rsidR="0009101E">
        <w:t xml:space="preserve">). It is odd that the provision </w:t>
      </w:r>
      <w:r w:rsidR="00466788">
        <w:t xml:space="preserve">appears </w:t>
      </w:r>
      <w:r w:rsidR="0009101E">
        <w:t xml:space="preserve">only </w:t>
      </w:r>
      <w:r w:rsidR="00466788">
        <w:t xml:space="preserve">to apply to creditors </w:t>
      </w:r>
      <w:r w:rsidR="003B5657">
        <w:t xml:space="preserve">who have </w:t>
      </w:r>
      <w:r w:rsidR="0009101E" w:rsidRPr="00EC23D4">
        <w:rPr>
          <w:b/>
          <w:bCs/>
        </w:rPr>
        <w:t>statutory</w:t>
      </w:r>
      <w:r w:rsidR="0009101E">
        <w:t xml:space="preserve"> right</w:t>
      </w:r>
      <w:r w:rsidR="00466788">
        <w:t>s</w:t>
      </w:r>
      <w:r w:rsidR="0009101E">
        <w:t xml:space="preserve"> to </w:t>
      </w:r>
      <w:r w:rsidR="00466788">
        <w:t xml:space="preserve">recover </w:t>
      </w:r>
      <w:r w:rsidR="0009101E">
        <w:t>attorney</w:t>
      </w:r>
      <w:r w:rsidR="001976FB">
        <w:t>s’</w:t>
      </w:r>
      <w:r w:rsidR="0009101E">
        <w:t xml:space="preserve"> fees, and not to creditor</w:t>
      </w:r>
      <w:r w:rsidR="009E04B2">
        <w:t>s</w:t>
      </w:r>
      <w:r w:rsidR="0009101E">
        <w:t xml:space="preserve"> </w:t>
      </w:r>
      <w:r w:rsidR="003B5657">
        <w:t xml:space="preserve">who have </w:t>
      </w:r>
      <w:r w:rsidR="0009101E" w:rsidRPr="00EC23D4">
        <w:rPr>
          <w:b/>
          <w:bCs/>
        </w:rPr>
        <w:t>contractual</w:t>
      </w:r>
      <w:r w:rsidR="0009101E">
        <w:t xml:space="preserve"> right</w:t>
      </w:r>
      <w:r w:rsidR="009E04B2">
        <w:t>s</w:t>
      </w:r>
      <w:r w:rsidR="0009101E">
        <w:t xml:space="preserve"> to </w:t>
      </w:r>
      <w:r w:rsidR="004B54C3">
        <w:t xml:space="preserve">recover </w:t>
      </w:r>
      <w:r w:rsidR="0009101E">
        <w:t>attorney</w:t>
      </w:r>
      <w:r w:rsidR="001976FB">
        <w:t>’s</w:t>
      </w:r>
      <w:r w:rsidR="0009101E">
        <w:t xml:space="preserve"> fees</w:t>
      </w:r>
      <w:r w:rsidR="001163F1">
        <w:t xml:space="preserve">). </w:t>
      </w:r>
      <w:r w:rsidR="0009101E">
        <w:t xml:space="preserve">Does this </w:t>
      </w:r>
      <w:r w:rsidR="00F00F0E">
        <w:t xml:space="preserve">provision </w:t>
      </w:r>
      <w:r w:rsidR="0009101E">
        <w:t xml:space="preserve">imply that </w:t>
      </w:r>
      <w:r w:rsidR="008A3478">
        <w:t xml:space="preserve">creditors having </w:t>
      </w:r>
      <w:r w:rsidR="0009101E">
        <w:t xml:space="preserve">contractual </w:t>
      </w:r>
      <w:r w:rsidR="008A3478">
        <w:t>rights to attorney</w:t>
      </w:r>
      <w:r w:rsidR="001976FB">
        <w:t>s’</w:t>
      </w:r>
      <w:r w:rsidR="008A3478">
        <w:t xml:space="preserve"> fees </w:t>
      </w:r>
      <w:r w:rsidR="0009101E">
        <w:t xml:space="preserve">will not </w:t>
      </w:r>
      <w:r w:rsidR="008A3478">
        <w:t xml:space="preserve">be able to recover </w:t>
      </w:r>
      <w:r w:rsidR="001976FB">
        <w:t xml:space="preserve">attorneys’ </w:t>
      </w:r>
      <w:r w:rsidR="00DF5C5F">
        <w:t xml:space="preserve">fees incurred in avoiding </w:t>
      </w:r>
      <w:r w:rsidR="0009101E">
        <w:t>fraudulent transfers</w:t>
      </w:r>
      <w:r w:rsidR="008A3478">
        <w:t xml:space="preserve">, or </w:t>
      </w:r>
      <w:r w:rsidR="001976FB">
        <w:t xml:space="preserve">does the </w:t>
      </w:r>
      <w:r w:rsidR="008A3478">
        <w:t xml:space="preserve">limitation </w:t>
      </w:r>
      <w:r w:rsidR="001976FB">
        <w:t xml:space="preserve">only apply when seeking to recover </w:t>
      </w:r>
      <w:r w:rsidR="008A3478">
        <w:t>such fees from the transferee</w:t>
      </w:r>
      <w:r w:rsidR="001976FB">
        <w:t xml:space="preserve"> (who was not a party to the attorney’s fee clause)</w:t>
      </w:r>
      <w:r w:rsidR="008A3478">
        <w:t>?</w:t>
      </w:r>
    </w:p>
    <w:p w14:paraId="62D04169" w14:textId="494F5FA2" w:rsidR="002410F9" w:rsidRPr="007A5BBC" w:rsidRDefault="003A4180" w:rsidP="00DC3365">
      <w:pPr>
        <w:pStyle w:val="0-NORMAL"/>
      </w:pPr>
      <w:r w:rsidRPr="007A5BBC">
        <w:t>Finally, the statute of limitations requires a creditor to act promptly after the transfer is made (or in certain cases after learning of the transfer)</w:t>
      </w:r>
      <w:r w:rsidR="005F6A8B">
        <w:t>.</w:t>
      </w:r>
      <w:r w:rsidR="0009101E">
        <w:t xml:space="preserve"> Under </w:t>
      </w:r>
      <w:hyperlink w:anchor="NYUVTA278" w:history="1">
        <w:r w:rsidR="005B0A4C" w:rsidRPr="005B0A4C">
          <w:rPr>
            <w:rStyle w:val="Hyperlink"/>
          </w:rPr>
          <w:t>NY-UVTA</w:t>
        </w:r>
        <w:r w:rsidR="0009101E" w:rsidRPr="005B0A4C">
          <w:rPr>
            <w:rStyle w:val="Hyperlink"/>
          </w:rPr>
          <w:t xml:space="preserve"> § 278</w:t>
        </w:r>
      </w:hyperlink>
      <w:r w:rsidR="0009101E">
        <w:t xml:space="preserve">(a), actual intent fraudulent conveyances are avoidable for 4 years after the transfer was made, but creditors are given at least one year after discovery to avoid the transfer. Under </w:t>
      </w:r>
      <w:hyperlink w:anchor="NYUVTA278" w:history="1">
        <w:r w:rsidR="005B0A4C" w:rsidRPr="005B0A4C">
          <w:rPr>
            <w:rStyle w:val="Hyperlink"/>
          </w:rPr>
          <w:t>NY-UVTA</w:t>
        </w:r>
        <w:r w:rsidR="0009101E" w:rsidRPr="005B0A4C">
          <w:rPr>
            <w:rStyle w:val="Hyperlink"/>
          </w:rPr>
          <w:t xml:space="preserve"> § 278</w:t>
        </w:r>
      </w:hyperlink>
      <w:r w:rsidR="0009101E">
        <w:t xml:space="preserve">(b), constructive fraudulent transfers are avoidable for 4 years after the transfer was made, and discovery is irrelevant. Finally, under </w:t>
      </w:r>
      <w:hyperlink w:anchor="NYUVTA278" w:history="1">
        <w:r w:rsidR="005B0A4C" w:rsidRPr="005B0A4C">
          <w:rPr>
            <w:rStyle w:val="Hyperlink"/>
          </w:rPr>
          <w:t>NY-UVTA</w:t>
        </w:r>
        <w:r w:rsidR="0009101E" w:rsidRPr="005B0A4C">
          <w:rPr>
            <w:rStyle w:val="Hyperlink"/>
          </w:rPr>
          <w:t xml:space="preserve"> § 278</w:t>
        </w:r>
      </w:hyperlink>
      <w:r w:rsidR="0009101E">
        <w:t xml:space="preserve">(c), insider preferences are avoidable only if the action is brought within 1 year after the transfer. </w:t>
      </w:r>
    </w:p>
    <w:p w14:paraId="0B8E6E43" w14:textId="750918B6" w:rsidR="00572A82" w:rsidRDefault="003A4180" w:rsidP="005948A0">
      <w:pPr>
        <w:pStyle w:val="0-NORMAL"/>
      </w:pPr>
      <w:r w:rsidRPr="007A5BBC">
        <w:t xml:space="preserve">Review </w:t>
      </w:r>
      <w:r w:rsidR="00EC23D4">
        <w:t xml:space="preserve">New York’s UVTA in </w:t>
      </w:r>
      <w:hyperlink w:anchor="AppendixE" w:history="1">
        <w:r w:rsidR="00EC23D4" w:rsidRPr="00EE0318">
          <w:rPr>
            <w:rStyle w:val="Hyperlink"/>
          </w:rPr>
          <w:t>Appendix E</w:t>
        </w:r>
      </w:hyperlink>
      <w:r w:rsidR="00EC23D4">
        <w:t xml:space="preserve"> </w:t>
      </w:r>
      <w:r w:rsidRPr="007A5BBC">
        <w:t xml:space="preserve">and answer the </w:t>
      </w:r>
      <w:r w:rsidR="00410546">
        <w:t xml:space="preserve">following </w:t>
      </w:r>
      <w:r w:rsidRPr="007A5BBC">
        <w:t>questions:</w:t>
      </w:r>
    </w:p>
    <w:p w14:paraId="7905E4D7" w14:textId="77777777" w:rsidR="005948A0" w:rsidRPr="007A5BBC" w:rsidRDefault="005948A0" w:rsidP="005948A0">
      <w:pPr>
        <w:pStyle w:val="0-NORMAL"/>
      </w:pPr>
    </w:p>
    <w:p w14:paraId="412EEFF2" w14:textId="4F23A205" w:rsidR="00583744" w:rsidRPr="007A5BBC" w:rsidRDefault="00184B8D" w:rsidP="00C1014B">
      <w:pPr>
        <w:pStyle w:val="Heading3"/>
      </w:pPr>
      <w:bookmarkStart w:id="395" w:name="_Toc417380731"/>
      <w:bookmarkStart w:id="396" w:name="_Toc79699064"/>
      <w:bookmarkStart w:id="397" w:name="_Toc79699390"/>
      <w:bookmarkStart w:id="398" w:name="_Toc79699728"/>
      <w:bookmarkStart w:id="399" w:name="_Toc79700048"/>
      <w:bookmarkStart w:id="400" w:name="_Toc79700370"/>
      <w:bookmarkStart w:id="401" w:name="_Toc87039147"/>
      <w:bookmarkStart w:id="402" w:name="_Toc90983543"/>
      <w:bookmarkStart w:id="403" w:name="_Hlk90561310"/>
      <w:bookmarkStart w:id="404" w:name="OLE_LINK213"/>
      <w:bookmarkStart w:id="405" w:name="OLE_LINK214"/>
      <w:r>
        <w:t xml:space="preserve">Practice </w:t>
      </w:r>
      <w:r w:rsidR="00583744" w:rsidRPr="007A5BBC">
        <w:t>P</w:t>
      </w:r>
      <w:r>
        <w:t>roblems</w:t>
      </w:r>
      <w:r w:rsidR="007F7919" w:rsidRPr="007A5BBC">
        <w:t>: Fraudulent Transfers</w:t>
      </w:r>
      <w:bookmarkStart w:id="406" w:name="_Toc79692922"/>
      <w:bookmarkStart w:id="407" w:name="_Toc79693242"/>
      <w:bookmarkStart w:id="408" w:name="_Toc79693562"/>
      <w:bookmarkStart w:id="409" w:name="_Toc79693879"/>
      <w:bookmarkStart w:id="410" w:name="_Toc79694519"/>
      <w:bookmarkStart w:id="411" w:name="_Toc79695147"/>
      <w:bookmarkStart w:id="412" w:name="_Toc79697393"/>
      <w:bookmarkEnd w:id="395"/>
      <w:bookmarkEnd w:id="396"/>
      <w:bookmarkEnd w:id="397"/>
      <w:bookmarkEnd w:id="398"/>
      <w:bookmarkEnd w:id="399"/>
      <w:bookmarkEnd w:id="400"/>
      <w:bookmarkEnd w:id="401"/>
      <w:bookmarkEnd w:id="402"/>
      <w:bookmarkEnd w:id="406"/>
      <w:bookmarkEnd w:id="407"/>
      <w:bookmarkEnd w:id="408"/>
      <w:bookmarkEnd w:id="409"/>
      <w:bookmarkEnd w:id="410"/>
      <w:bookmarkEnd w:id="411"/>
      <w:bookmarkEnd w:id="412"/>
      <w:r w:rsidR="00C1014B">
        <w:br/>
      </w:r>
    </w:p>
    <w:bookmarkEnd w:id="403"/>
    <w:p w14:paraId="27F0972D" w14:textId="608ADCDD" w:rsidR="00F31D04" w:rsidRDefault="0007545D" w:rsidP="00F31D04">
      <w:pPr>
        <w:pStyle w:val="0-NORMAL"/>
      </w:pPr>
      <w:r w:rsidRPr="00406CD8">
        <w:rPr>
          <w:b/>
        </w:rPr>
        <w:t>Problem 1</w:t>
      </w:r>
      <w:r w:rsidR="005F6A8B">
        <w:t xml:space="preserve">. </w:t>
      </w:r>
      <w:r w:rsidR="003A4180" w:rsidRPr="0007545D">
        <w:t>Debtor owes $100,000 to creditors</w:t>
      </w:r>
      <w:r w:rsidR="005F6A8B">
        <w:t xml:space="preserve">. </w:t>
      </w:r>
      <w:r w:rsidR="003A4180" w:rsidRPr="0007545D">
        <w:t>Debtor’s assets are worth $50,000</w:t>
      </w:r>
      <w:r w:rsidR="005F6A8B">
        <w:t xml:space="preserve">. </w:t>
      </w:r>
      <w:r w:rsidR="003A4180" w:rsidRPr="0007545D">
        <w:t xml:space="preserve">Debtor </w:t>
      </w:r>
      <w:r w:rsidR="00DF5C5F">
        <w:t xml:space="preserve">gives her </w:t>
      </w:r>
      <w:r w:rsidR="003A4180" w:rsidRPr="0007545D">
        <w:t xml:space="preserve">$10,000 tax refund to help her </w:t>
      </w:r>
      <w:r w:rsidR="009035B8" w:rsidRPr="0007545D">
        <w:t xml:space="preserve">adult </w:t>
      </w:r>
      <w:r w:rsidR="003A4180" w:rsidRPr="0007545D">
        <w:t xml:space="preserve">son </w:t>
      </w:r>
      <w:r w:rsidR="00DF5C5F">
        <w:t xml:space="preserve">so that he can </w:t>
      </w:r>
      <w:r w:rsidR="003A4180" w:rsidRPr="0007545D">
        <w:t>rent an apartment and buy a car to get to work</w:t>
      </w:r>
      <w:r w:rsidR="005F6A8B">
        <w:t xml:space="preserve">. </w:t>
      </w:r>
      <w:r w:rsidR="009B56D8" w:rsidRPr="0007545D">
        <w:t xml:space="preserve">Can the creditors </w:t>
      </w:r>
      <w:r w:rsidR="003A4180" w:rsidRPr="0007545D">
        <w:t xml:space="preserve">do </w:t>
      </w:r>
      <w:r w:rsidR="009B56D8" w:rsidRPr="0007545D">
        <w:t xml:space="preserve">anything </w:t>
      </w:r>
      <w:r w:rsidR="003A4180" w:rsidRPr="0007545D">
        <w:t xml:space="preserve">about the expenditure? </w:t>
      </w:r>
      <w:r w:rsidR="00EC23D4" w:rsidRPr="0007545D">
        <w:t>Read carefully</w:t>
      </w:r>
      <w:r w:rsidR="00EC23D4">
        <w:t xml:space="preserve"> </w:t>
      </w:r>
      <w:hyperlink w:anchor="NYUVTA274" w:history="1">
        <w:r w:rsidR="008E6698" w:rsidRPr="005B0A4C">
          <w:rPr>
            <w:rStyle w:val="Hyperlink"/>
          </w:rPr>
          <w:t>NY-UVTA</w:t>
        </w:r>
        <w:r w:rsidR="00EC23D4" w:rsidRPr="005B0A4C">
          <w:rPr>
            <w:rStyle w:val="Hyperlink"/>
          </w:rPr>
          <w:t xml:space="preserve"> § 274</w:t>
        </w:r>
      </w:hyperlink>
      <w:r w:rsidR="00EC23D4">
        <w:t xml:space="preserve">(a), and the definition of insolvency in </w:t>
      </w:r>
      <w:hyperlink w:anchor="NYUVTA271" w:history="1">
        <w:r w:rsidR="008E6698" w:rsidRPr="005B0A4C">
          <w:rPr>
            <w:rStyle w:val="Hyperlink"/>
          </w:rPr>
          <w:t>NY-UVTA</w:t>
        </w:r>
        <w:r w:rsidR="00EC23D4" w:rsidRPr="005B0A4C">
          <w:rPr>
            <w:rStyle w:val="Hyperlink"/>
          </w:rPr>
          <w:t xml:space="preserve"> § 271</w:t>
        </w:r>
      </w:hyperlink>
      <w:r w:rsidR="00EC23D4">
        <w:t xml:space="preserve">. </w:t>
      </w:r>
      <w:r w:rsidR="008E48B8">
        <w:t>I</w:t>
      </w:r>
      <w:r w:rsidR="00DF5C5F">
        <w:t xml:space="preserve">f instead of giving </w:t>
      </w:r>
      <w:r w:rsidR="008E48B8">
        <w:t xml:space="preserve">her </w:t>
      </w:r>
      <w:r w:rsidR="00DF5C5F">
        <w:t>son a tax refund, the Debtor gave her son a car worth $10,000</w:t>
      </w:r>
      <w:r w:rsidR="008E48B8">
        <w:t xml:space="preserve">, could unsecured creditors recover the car? </w:t>
      </w:r>
      <w:hyperlink w:anchor="NYUVTA276" w:history="1">
        <w:r w:rsidR="008E6698" w:rsidRPr="005B0A4C">
          <w:rPr>
            <w:rStyle w:val="Hyperlink"/>
          </w:rPr>
          <w:t>NY-UVTA</w:t>
        </w:r>
        <w:r w:rsidR="008E48B8" w:rsidRPr="005B0A4C">
          <w:rPr>
            <w:rStyle w:val="Hyperlink"/>
          </w:rPr>
          <w:t xml:space="preserve"> § 276</w:t>
        </w:r>
      </w:hyperlink>
      <w:r w:rsidR="008E48B8">
        <w:t xml:space="preserve">(a)(1) and (b). Could they recover a judgment against the son for $10,000? </w:t>
      </w:r>
      <w:hyperlink w:anchor="NYUVTA277" w:history="1">
        <w:r w:rsidR="008E6698" w:rsidRPr="005B0A4C">
          <w:rPr>
            <w:rStyle w:val="Hyperlink"/>
          </w:rPr>
          <w:t>NY-UVTA</w:t>
        </w:r>
        <w:r w:rsidR="008E48B8" w:rsidRPr="005B0A4C">
          <w:rPr>
            <w:rStyle w:val="Hyperlink"/>
          </w:rPr>
          <w:t xml:space="preserve"> § 277</w:t>
        </w:r>
      </w:hyperlink>
      <w:r w:rsidR="008E48B8">
        <w:t xml:space="preserve">(b)(1). </w:t>
      </w:r>
      <w:r w:rsidR="00EC23D4">
        <w:t xml:space="preserve">What if the </w:t>
      </w:r>
      <w:r w:rsidR="008E48B8">
        <w:t xml:space="preserve">Debtor gave the son </w:t>
      </w:r>
      <w:r w:rsidR="00EC23D4">
        <w:t xml:space="preserve">$10,000 </w:t>
      </w:r>
      <w:r w:rsidR="008E48B8">
        <w:t xml:space="preserve">from her </w:t>
      </w:r>
      <w:r w:rsidR="00EC23D4">
        <w:t xml:space="preserve">social security payments that were exempt from execution? </w:t>
      </w:r>
      <w:r w:rsidR="00EC23D4" w:rsidRPr="008C3330">
        <w:rPr>
          <w:i/>
          <w:iCs/>
        </w:rPr>
        <w:t xml:space="preserve">See </w:t>
      </w:r>
      <w:hyperlink w:anchor="NYUVTA270" w:history="1">
        <w:r w:rsidR="008E6698" w:rsidRPr="005B0A4C">
          <w:rPr>
            <w:rStyle w:val="Hyperlink"/>
          </w:rPr>
          <w:t>NY-UVTA</w:t>
        </w:r>
        <w:r w:rsidR="00EC23D4" w:rsidRPr="005B0A4C">
          <w:rPr>
            <w:rStyle w:val="Hyperlink"/>
          </w:rPr>
          <w:t xml:space="preserve"> §</w:t>
        </w:r>
        <w:r w:rsidR="002D0626" w:rsidRPr="005B0A4C">
          <w:rPr>
            <w:rStyle w:val="Hyperlink"/>
          </w:rPr>
          <w:t xml:space="preserve"> </w:t>
        </w:r>
        <w:r w:rsidR="00EC23D4" w:rsidRPr="005B0A4C">
          <w:rPr>
            <w:rStyle w:val="Hyperlink"/>
          </w:rPr>
          <w:t>270</w:t>
        </w:r>
      </w:hyperlink>
      <w:r w:rsidR="00EC23D4">
        <w:t xml:space="preserve">(b)(2). </w:t>
      </w:r>
      <w:r w:rsidR="003A4180" w:rsidRPr="0007545D">
        <w:t xml:space="preserve">Would your answer </w:t>
      </w:r>
      <w:r w:rsidR="00EC23D4">
        <w:t xml:space="preserve">to </w:t>
      </w:r>
      <w:r w:rsidR="008E48B8">
        <w:t xml:space="preserve">these questions change if the value of the debtor’s assets exceeded her liabilities by more than $10,000? </w:t>
      </w:r>
    </w:p>
    <w:p w14:paraId="412EEFF4" w14:textId="5FAA555C" w:rsidR="00906055" w:rsidRPr="0007545D" w:rsidRDefault="0007545D" w:rsidP="00F31D04">
      <w:pPr>
        <w:pStyle w:val="0-NORMAL"/>
      </w:pPr>
      <w:r w:rsidRPr="00406CD8">
        <w:rPr>
          <w:b/>
        </w:rPr>
        <w:t>Problem 2</w:t>
      </w:r>
      <w:r w:rsidR="005F6A8B">
        <w:t xml:space="preserve">. </w:t>
      </w:r>
      <w:r w:rsidR="003A4180" w:rsidRPr="0007545D">
        <w:t>Debtor owes $100,000 to creditors, and has assets worth $50,000</w:t>
      </w:r>
      <w:r w:rsidR="005F6A8B">
        <w:t xml:space="preserve">. </w:t>
      </w:r>
      <w:r w:rsidR="003A4180" w:rsidRPr="0007545D">
        <w:t>Debtor’s son needs an apartment</w:t>
      </w:r>
      <w:r w:rsidR="005F6A8B">
        <w:t xml:space="preserve">. </w:t>
      </w:r>
      <w:r w:rsidR="003A4180" w:rsidRPr="0007545D">
        <w:t xml:space="preserve">The landlord is </w:t>
      </w:r>
      <w:r w:rsidR="009B56D8" w:rsidRPr="0007545D">
        <w:t xml:space="preserve">not </w:t>
      </w:r>
      <w:r w:rsidR="003A4180" w:rsidRPr="0007545D">
        <w:t xml:space="preserve">willing to rent the apartment to Debtor’s son unless </w:t>
      </w:r>
      <w:r w:rsidR="009B56D8" w:rsidRPr="0007545D">
        <w:t>D</w:t>
      </w:r>
      <w:r w:rsidR="003A4180" w:rsidRPr="0007545D">
        <w:t>ebtor guarantees the rent</w:t>
      </w:r>
      <w:r w:rsidR="005F6A8B">
        <w:t xml:space="preserve">. </w:t>
      </w:r>
      <w:r w:rsidR="003A4180" w:rsidRPr="0007545D">
        <w:t>Would creditors be harmed by the guaranty?</w:t>
      </w:r>
      <w:r w:rsidR="009B56D8" w:rsidRPr="0007545D">
        <w:t xml:space="preserve"> If so, what can creditors do if Debtor guaranties the rent? </w:t>
      </w:r>
      <w:hyperlink w:anchor="NYUVTA274" w:history="1">
        <w:r w:rsidR="008E6698" w:rsidRPr="005B0A4C">
          <w:rPr>
            <w:rStyle w:val="Hyperlink"/>
          </w:rPr>
          <w:t>NY-UVTA</w:t>
        </w:r>
        <w:r w:rsidR="00F31D04" w:rsidRPr="005B0A4C">
          <w:rPr>
            <w:rStyle w:val="Hyperlink"/>
          </w:rPr>
          <w:t xml:space="preserve"> § 274(</w:t>
        </w:r>
      </w:hyperlink>
      <w:r w:rsidR="00F31D04">
        <w:t xml:space="preserve">a). Can creditors </w:t>
      </w:r>
      <w:r w:rsidR="00EE3B34">
        <w:t>a</w:t>
      </w:r>
      <w:r w:rsidR="00F31D04">
        <w:t xml:space="preserve">void the guaranty </w:t>
      </w:r>
      <w:r w:rsidR="00EE3B34">
        <w:t xml:space="preserve">as a </w:t>
      </w:r>
      <w:r w:rsidR="00EE3B34">
        <w:lastRenderedPageBreak/>
        <w:t xml:space="preserve">fraudulent transfer </w:t>
      </w:r>
      <w:r w:rsidR="00F31D04">
        <w:t xml:space="preserve">even though the creditor gave value by allowing the son to occupy the apartment? </w:t>
      </w:r>
      <w:r w:rsidR="00F31D04" w:rsidRPr="008C3330">
        <w:rPr>
          <w:i/>
          <w:iCs/>
        </w:rPr>
        <w:t xml:space="preserve">See </w:t>
      </w:r>
      <w:hyperlink w:anchor="NYUVTA277" w:history="1">
        <w:r w:rsidR="008E6698" w:rsidRPr="005B0A4C">
          <w:rPr>
            <w:rStyle w:val="Hyperlink"/>
          </w:rPr>
          <w:t>NY-UVTA</w:t>
        </w:r>
        <w:r w:rsidR="00F31D04" w:rsidRPr="005B0A4C">
          <w:rPr>
            <w:rStyle w:val="Hyperlink"/>
          </w:rPr>
          <w:t xml:space="preserve"> § 277</w:t>
        </w:r>
      </w:hyperlink>
      <w:r w:rsidR="00F31D04">
        <w:t>(a).</w:t>
      </w:r>
    </w:p>
    <w:p w14:paraId="38DDE989" w14:textId="588B98CE" w:rsidR="0051795B" w:rsidRPr="0007545D" w:rsidRDefault="0007545D" w:rsidP="00406CD8">
      <w:pPr>
        <w:pStyle w:val="0-NORMAL"/>
      </w:pPr>
      <w:r w:rsidRPr="00406CD8">
        <w:rPr>
          <w:b/>
        </w:rPr>
        <w:t>Problem 3</w:t>
      </w:r>
      <w:r w:rsidR="005F6A8B">
        <w:t xml:space="preserve">. </w:t>
      </w:r>
      <w:r w:rsidR="003A4180" w:rsidRPr="0007545D">
        <w:t>Debtor owes $100,000 to her father, and $50,000 to EasyBank</w:t>
      </w:r>
      <w:r w:rsidR="005F6A8B">
        <w:t xml:space="preserve">. </w:t>
      </w:r>
      <w:r w:rsidR="003A4180" w:rsidRPr="0007545D">
        <w:t xml:space="preserve">Debtor owns a </w:t>
      </w:r>
      <w:r w:rsidR="009636ED" w:rsidRPr="0007545D">
        <w:t xml:space="preserve">(non-exempt) </w:t>
      </w:r>
      <w:r w:rsidR="003A4180" w:rsidRPr="0007545D">
        <w:t>house worth $75,000</w:t>
      </w:r>
      <w:r w:rsidR="005F6A8B">
        <w:t xml:space="preserve">. </w:t>
      </w:r>
      <w:r w:rsidR="003A4180" w:rsidRPr="0007545D">
        <w:t xml:space="preserve">Debtor offers </w:t>
      </w:r>
      <w:r w:rsidR="008E48B8">
        <w:t xml:space="preserve">to give </w:t>
      </w:r>
      <w:r w:rsidR="003A4180" w:rsidRPr="0007545D">
        <w:t xml:space="preserve">her father a lien on </w:t>
      </w:r>
      <w:r w:rsidR="008E48B8">
        <w:t xml:space="preserve">the </w:t>
      </w:r>
      <w:r w:rsidR="003A4180" w:rsidRPr="0007545D">
        <w:t>house to secure the $100,000 debt</w:t>
      </w:r>
      <w:r w:rsidR="005F6A8B">
        <w:t xml:space="preserve">. </w:t>
      </w:r>
      <w:r w:rsidR="003A4180" w:rsidRPr="0007545D">
        <w:t xml:space="preserve">Would EasyBank be harmed by the granting of the lien? Could EasyBank avoid the granting of the lien </w:t>
      </w:r>
      <w:r w:rsidR="008B3263">
        <w:t xml:space="preserve">as </w:t>
      </w:r>
      <w:r w:rsidR="003A4180" w:rsidRPr="0007545D">
        <w:t xml:space="preserve">a fraudulent </w:t>
      </w:r>
      <w:r w:rsidR="009B56D8" w:rsidRPr="0007545D">
        <w:t>transfer</w:t>
      </w:r>
      <w:r w:rsidR="003A4180" w:rsidRPr="0007545D">
        <w:t xml:space="preserve">? </w:t>
      </w:r>
      <w:r w:rsidR="003A4180" w:rsidRPr="005B0A4C">
        <w:rPr>
          <w:i/>
          <w:iCs/>
        </w:rPr>
        <w:t>See</w:t>
      </w:r>
      <w:r w:rsidR="003A4180" w:rsidRPr="00D37927">
        <w:t xml:space="preserve"> </w:t>
      </w:r>
      <w:hyperlink w:anchor="NYUVTA274" w:history="1">
        <w:r w:rsidR="008E6698" w:rsidRPr="005B0A4C">
          <w:rPr>
            <w:rStyle w:val="Hyperlink"/>
          </w:rPr>
          <w:t>NY-UVTA</w:t>
        </w:r>
        <w:r w:rsidR="00F31D04" w:rsidRPr="005B0A4C">
          <w:rPr>
            <w:rStyle w:val="Hyperlink"/>
          </w:rPr>
          <w:t xml:space="preserve"> § 274</w:t>
        </w:r>
      </w:hyperlink>
      <w:r w:rsidR="00F31D04">
        <w:t xml:space="preserve">(b). </w:t>
      </w:r>
      <w:r w:rsidR="00340190">
        <w:t xml:space="preserve">What if the lien was given to the Debtor’s best friend who </w:t>
      </w:r>
      <w:r w:rsidR="008E48B8">
        <w:t xml:space="preserve">had lent </w:t>
      </w:r>
      <w:r w:rsidR="00340190">
        <w:t xml:space="preserve">the Debtor $100,000 </w:t>
      </w:r>
      <w:r w:rsidR="008E48B8">
        <w:t xml:space="preserve">on an unsecured basis </w:t>
      </w:r>
      <w:r w:rsidR="00340190">
        <w:t>six months earlier?</w:t>
      </w:r>
    </w:p>
    <w:p w14:paraId="412EEFF6" w14:textId="5BEF6994" w:rsidR="00906055" w:rsidRDefault="0007545D" w:rsidP="008E6698">
      <w:pPr>
        <w:pStyle w:val="0-NORMAL"/>
      </w:pPr>
      <w:r w:rsidRPr="00406CD8">
        <w:rPr>
          <w:b/>
        </w:rPr>
        <w:t>Problem 4</w:t>
      </w:r>
      <w:r w:rsidR="005F6A8B">
        <w:t xml:space="preserve">. </w:t>
      </w:r>
      <w:r w:rsidR="003A4180" w:rsidRPr="0007545D">
        <w:t xml:space="preserve">In need </w:t>
      </w:r>
      <w:r w:rsidR="00906055" w:rsidRPr="0007545D">
        <w:t xml:space="preserve">of </w:t>
      </w:r>
      <w:r w:rsidR="003A4180" w:rsidRPr="0007545D">
        <w:t>fast money, Insolvent Al pawns his only valuable asset, a 1935 Martin Guitar, at a local pawn shop</w:t>
      </w:r>
      <w:r w:rsidR="009B56D8" w:rsidRPr="0007545D">
        <w:t xml:space="preserve"> called PawnWorld </w:t>
      </w:r>
      <w:r w:rsidR="003A4180" w:rsidRPr="0007545D">
        <w:t>for $500 cash</w:t>
      </w:r>
      <w:r w:rsidR="005F6A8B">
        <w:t xml:space="preserve">. </w:t>
      </w:r>
      <w:r w:rsidR="003A4180" w:rsidRPr="0007545D">
        <w:t xml:space="preserve">A similar guitar recently sold on </w:t>
      </w:r>
      <w:r w:rsidR="003A2EEC" w:rsidRPr="0007545D">
        <w:t>eBay</w:t>
      </w:r>
      <w:r w:rsidR="003A4180" w:rsidRPr="0007545D">
        <w:t xml:space="preserve"> for $1,500</w:t>
      </w:r>
      <w:r w:rsidR="005F6A8B">
        <w:t xml:space="preserve">. </w:t>
      </w:r>
      <w:r w:rsidR="003A4180" w:rsidRPr="0007545D">
        <w:t xml:space="preserve">Is </w:t>
      </w:r>
      <w:r w:rsidR="009B56D8" w:rsidRPr="0007545D">
        <w:t xml:space="preserve">the pawn </w:t>
      </w:r>
      <w:r w:rsidR="003A4180" w:rsidRPr="0007545D">
        <w:t xml:space="preserve">a fraudulent conveyance? Would Al’s failure to redeem the pawn be a fraudulent conveyance? </w:t>
      </w:r>
      <w:r w:rsidR="008E48B8">
        <w:t xml:space="preserve">If it is a fraudulent conveyance, could unsecured creditors recover the guitar? </w:t>
      </w:r>
      <w:hyperlink w:anchor="NYUVTA276" w:history="1">
        <w:r w:rsidR="008E6698" w:rsidRPr="005B0A4C">
          <w:rPr>
            <w:rStyle w:val="Hyperlink"/>
          </w:rPr>
          <w:t xml:space="preserve">NY-UVTA § </w:t>
        </w:r>
        <w:r w:rsidR="005B0A4C" w:rsidRPr="005B0A4C">
          <w:rPr>
            <w:rStyle w:val="Hyperlink"/>
          </w:rPr>
          <w:t>2</w:t>
        </w:r>
        <w:r w:rsidR="008E6698" w:rsidRPr="005B0A4C">
          <w:rPr>
            <w:rStyle w:val="Hyperlink"/>
          </w:rPr>
          <w:t>76</w:t>
        </w:r>
      </w:hyperlink>
      <w:r w:rsidR="008E6698">
        <w:t xml:space="preserve">. Could creditors recover a money judgment from Pawnworld? </w:t>
      </w:r>
      <w:hyperlink w:anchor="NYUVTA277" w:history="1">
        <w:r w:rsidR="008E6698" w:rsidRPr="005B0A4C">
          <w:rPr>
            <w:rStyle w:val="Hyperlink"/>
          </w:rPr>
          <w:t>NY-UVTA § 277</w:t>
        </w:r>
      </w:hyperlink>
      <w:r w:rsidR="008E6698">
        <w:t xml:space="preserve">(b)(1). </w:t>
      </w:r>
      <w:r w:rsidR="003A4180" w:rsidRPr="0007545D">
        <w:t xml:space="preserve">Does it matter </w:t>
      </w:r>
      <w:r w:rsidR="008E6698">
        <w:t xml:space="preserve">that </w:t>
      </w:r>
      <w:r w:rsidR="003A4180" w:rsidRPr="0007545D">
        <w:t xml:space="preserve">PawnWorld </w:t>
      </w:r>
      <w:r w:rsidR="008E6698">
        <w:t xml:space="preserve">did not know </w:t>
      </w:r>
      <w:r w:rsidR="009B56D8" w:rsidRPr="0007545D">
        <w:t xml:space="preserve">that </w:t>
      </w:r>
      <w:r w:rsidR="003A4180" w:rsidRPr="0007545D">
        <w:t>Al was insolvent?</w:t>
      </w:r>
      <w:r w:rsidR="00340190">
        <w:t xml:space="preserve"> </w:t>
      </w:r>
      <w:r w:rsidR="00340190" w:rsidRPr="005B0A4C">
        <w:rPr>
          <w:i/>
          <w:iCs/>
        </w:rPr>
        <w:t>See</w:t>
      </w:r>
      <w:r w:rsidR="00340190">
        <w:t xml:space="preserve"> </w:t>
      </w:r>
      <w:hyperlink w:anchor="NYUVTA274" w:history="1">
        <w:r w:rsidR="008E6698" w:rsidRPr="005B0A4C">
          <w:rPr>
            <w:rStyle w:val="Hyperlink"/>
          </w:rPr>
          <w:t>NY-UVTA</w:t>
        </w:r>
        <w:r w:rsidR="00340190" w:rsidRPr="005B0A4C">
          <w:rPr>
            <w:rStyle w:val="Hyperlink"/>
          </w:rPr>
          <w:t xml:space="preserve"> § 274</w:t>
        </w:r>
      </w:hyperlink>
      <w:r w:rsidR="00340190">
        <w:t xml:space="preserve">(a). Would it make any difference if PawnWorld was required by state law to hold a public sale of pawns that were not redeemed, and bought the guitar for $500 at the sale? </w:t>
      </w:r>
      <w:r w:rsidR="00340190" w:rsidRPr="005B0A4C">
        <w:rPr>
          <w:i/>
          <w:iCs/>
        </w:rPr>
        <w:t>See</w:t>
      </w:r>
      <w:r w:rsidR="00340190">
        <w:t xml:space="preserve"> </w:t>
      </w:r>
      <w:hyperlink w:anchor="NYUVTA272" w:history="1">
        <w:r w:rsidR="008E6698" w:rsidRPr="005B0A4C">
          <w:rPr>
            <w:rStyle w:val="Hyperlink"/>
          </w:rPr>
          <w:t>NY-UVTA</w:t>
        </w:r>
        <w:r w:rsidR="00340190" w:rsidRPr="005B0A4C">
          <w:rPr>
            <w:rStyle w:val="Hyperlink"/>
          </w:rPr>
          <w:t xml:space="preserve"> § 272</w:t>
        </w:r>
      </w:hyperlink>
      <w:r w:rsidR="00340190">
        <w:t>(b).</w:t>
      </w:r>
    </w:p>
    <w:p w14:paraId="29CFFFBE" w14:textId="4F105D7C" w:rsidR="0007545D" w:rsidRDefault="0007545D" w:rsidP="00406CD8">
      <w:pPr>
        <w:pStyle w:val="0-NORMAL"/>
      </w:pPr>
      <w:r w:rsidRPr="00406CD8">
        <w:rPr>
          <w:b/>
        </w:rPr>
        <w:t>Problem 5</w:t>
      </w:r>
      <w:r w:rsidR="005F6A8B">
        <w:t xml:space="preserve">. </w:t>
      </w:r>
      <w:r w:rsidR="008E6698">
        <w:t>A</w:t>
      </w:r>
      <w:r w:rsidR="003A4180" w:rsidRPr="0007545D">
        <w:t xml:space="preserve">fter Al in Problem </w:t>
      </w:r>
      <w:r w:rsidRPr="0007545D">
        <w:t>(4)</w:t>
      </w:r>
      <w:r w:rsidR="003A4180" w:rsidRPr="0007545D">
        <w:t xml:space="preserve"> failed to timely redeem the pawn</w:t>
      </w:r>
      <w:r w:rsidR="00340190">
        <w:t>, and PawnWorld became the owner of the guitar automatically under the agreement</w:t>
      </w:r>
      <w:r w:rsidR="008E6698">
        <w:t>, y</w:t>
      </w:r>
      <w:r w:rsidR="003A4180" w:rsidRPr="0007545D">
        <w:t xml:space="preserve">ou </w:t>
      </w:r>
      <w:r w:rsidR="00C41382">
        <w:t xml:space="preserve">then </w:t>
      </w:r>
      <w:r w:rsidR="003A4180" w:rsidRPr="0007545D">
        <w:t>purchased the guitar from PawnWorld for $1,000 knowing nothing about Al or his financial problems</w:t>
      </w:r>
      <w:r w:rsidR="005F6A8B">
        <w:t xml:space="preserve">. </w:t>
      </w:r>
      <w:r w:rsidR="003A4180" w:rsidRPr="0007545D">
        <w:t>Could creditors recover the guitar or its excess value from you</w:t>
      </w:r>
      <w:r w:rsidR="003A4180" w:rsidRPr="00D37927">
        <w:t xml:space="preserve">? </w:t>
      </w:r>
      <w:r w:rsidR="00C41382" w:rsidRPr="005B0A4C">
        <w:rPr>
          <w:i/>
          <w:iCs/>
        </w:rPr>
        <w:t>See</w:t>
      </w:r>
      <w:r w:rsidR="00C41382">
        <w:t xml:space="preserve"> </w:t>
      </w:r>
      <w:hyperlink w:anchor="NYUVTA276" w:history="1">
        <w:r w:rsidR="008E6698" w:rsidRPr="005B0A4C">
          <w:rPr>
            <w:rStyle w:val="Hyperlink"/>
          </w:rPr>
          <w:t>NY-UVTA</w:t>
        </w:r>
        <w:r w:rsidR="00C41382" w:rsidRPr="005B0A4C">
          <w:rPr>
            <w:rStyle w:val="Hyperlink"/>
          </w:rPr>
          <w:t xml:space="preserve"> </w:t>
        </w:r>
        <w:r w:rsidR="008E6698" w:rsidRPr="005B0A4C">
          <w:rPr>
            <w:rStyle w:val="Hyperlink"/>
          </w:rPr>
          <w:t>§§ 276</w:t>
        </w:r>
      </w:hyperlink>
      <w:r w:rsidR="008E6698">
        <w:t xml:space="preserve"> and </w:t>
      </w:r>
      <w:hyperlink w:anchor="NYUVTA277" w:history="1">
        <w:r w:rsidR="00C41382" w:rsidRPr="005B0A4C">
          <w:rPr>
            <w:rStyle w:val="Hyperlink"/>
          </w:rPr>
          <w:t>277</w:t>
        </w:r>
      </w:hyperlink>
      <w:r w:rsidR="00C41382">
        <w:t>(b)(1)(ii)</w:t>
      </w:r>
      <w:r w:rsidR="008E6698">
        <w:t>.</w:t>
      </w:r>
    </w:p>
    <w:p w14:paraId="2BF80261" w14:textId="1D8C5EC6" w:rsidR="005948A0" w:rsidRDefault="0007545D" w:rsidP="007B589E">
      <w:pPr>
        <w:pStyle w:val="0-NORMAL"/>
      </w:pPr>
      <w:r w:rsidRPr="00406CD8">
        <w:rPr>
          <w:b/>
        </w:rPr>
        <w:t>Problem 6</w:t>
      </w:r>
      <w:r w:rsidR="005F6A8B">
        <w:t xml:space="preserve">. </w:t>
      </w:r>
      <w:r w:rsidR="00C41382">
        <w:t xml:space="preserve">What if </w:t>
      </w:r>
      <w:r w:rsidR="003A4180" w:rsidRPr="0007545D">
        <w:t>the guitar was worth $20,000 rather than $1,500</w:t>
      </w:r>
      <w:r w:rsidR="00C41382">
        <w:t xml:space="preserve">, and Al’s creditors came after you for </w:t>
      </w:r>
      <w:r w:rsidR="00C42BDD">
        <w:t xml:space="preserve">$19,000 (the difference between the value and what you paid). </w:t>
      </w:r>
      <w:r w:rsidR="00C41382">
        <w:t xml:space="preserve">Do you have a defense under </w:t>
      </w:r>
      <w:hyperlink w:anchor="NYUVTA277" w:history="1">
        <w:r w:rsidR="008E6698" w:rsidRPr="005B0A4C">
          <w:rPr>
            <w:rStyle w:val="Hyperlink"/>
          </w:rPr>
          <w:t>NY-</w:t>
        </w:r>
        <w:r w:rsidR="00C41382" w:rsidRPr="005B0A4C">
          <w:rPr>
            <w:rStyle w:val="Hyperlink"/>
          </w:rPr>
          <w:t xml:space="preserve">UVTA </w:t>
        </w:r>
        <w:r w:rsidR="00C42BDD" w:rsidRPr="005B0A4C">
          <w:rPr>
            <w:rStyle w:val="Hyperlink"/>
          </w:rPr>
          <w:t xml:space="preserve">§ </w:t>
        </w:r>
        <w:r w:rsidR="00C41382" w:rsidRPr="005B0A4C">
          <w:rPr>
            <w:rStyle w:val="Hyperlink"/>
          </w:rPr>
          <w:t>277</w:t>
        </w:r>
      </w:hyperlink>
      <w:r w:rsidR="00C41382">
        <w:t>(b)(1)(ii)?</w:t>
      </w:r>
      <w:r w:rsidR="00C42BDD">
        <w:t xml:space="preserve"> Is there anything the creditors could recover from you?</w:t>
      </w:r>
      <w:r w:rsidR="008E6698">
        <w:t xml:space="preserve"> </w:t>
      </w:r>
      <w:r w:rsidR="008E6698" w:rsidRPr="003A2EEC">
        <w:rPr>
          <w:i/>
          <w:iCs/>
        </w:rPr>
        <w:t>See</w:t>
      </w:r>
      <w:r w:rsidR="008E6698">
        <w:t xml:space="preserve"> </w:t>
      </w:r>
      <w:hyperlink w:anchor="NYUVTA276" w:history="1">
        <w:r w:rsidR="008E6698" w:rsidRPr="005B0A4C">
          <w:rPr>
            <w:rStyle w:val="Hyperlink"/>
          </w:rPr>
          <w:t>NY-UVTA §§ 276</w:t>
        </w:r>
      </w:hyperlink>
      <w:r w:rsidR="008E6698">
        <w:t xml:space="preserve">, </w:t>
      </w:r>
      <w:hyperlink w:anchor="NYUVTA277" w:history="1">
        <w:r w:rsidR="008E6698" w:rsidRPr="005B0A4C">
          <w:rPr>
            <w:rStyle w:val="Hyperlink"/>
          </w:rPr>
          <w:t>277</w:t>
        </w:r>
      </w:hyperlink>
      <w:r w:rsidR="008E6698">
        <w:t>(d).</w:t>
      </w:r>
    </w:p>
    <w:p w14:paraId="2F69B438" w14:textId="77777777" w:rsidR="005948A0" w:rsidRPr="0007545D" w:rsidRDefault="005948A0" w:rsidP="00406CD8">
      <w:pPr>
        <w:pStyle w:val="0-NORMAL"/>
      </w:pPr>
    </w:p>
    <w:p w14:paraId="412EEFF9" w14:textId="580FC310" w:rsidR="003A4180" w:rsidRPr="007A5BBC" w:rsidRDefault="003A4180" w:rsidP="00C1014B">
      <w:pPr>
        <w:pStyle w:val="Heading2"/>
        <w:spacing w:line="240" w:lineRule="auto"/>
      </w:pPr>
      <w:bookmarkStart w:id="413" w:name="_Toc417380732"/>
      <w:bookmarkStart w:id="414" w:name="_Toc79699065"/>
      <w:bookmarkStart w:id="415" w:name="_Toc79699391"/>
      <w:bookmarkStart w:id="416" w:name="_Toc79699729"/>
      <w:bookmarkStart w:id="417" w:name="_Toc79700049"/>
      <w:bookmarkStart w:id="418" w:name="_Toc79700371"/>
      <w:bookmarkStart w:id="419" w:name="_Toc87039148"/>
      <w:bookmarkStart w:id="420" w:name="_Toc90983544"/>
      <w:bookmarkEnd w:id="404"/>
      <w:bookmarkEnd w:id="405"/>
      <w:r w:rsidRPr="007A5BBC">
        <w:t>The Race to the Courthouse and the Concept of Bankruptcy</w:t>
      </w:r>
      <w:bookmarkEnd w:id="413"/>
      <w:bookmarkEnd w:id="414"/>
      <w:bookmarkEnd w:id="415"/>
      <w:bookmarkEnd w:id="416"/>
      <w:bookmarkEnd w:id="417"/>
      <w:bookmarkEnd w:id="418"/>
      <w:bookmarkEnd w:id="419"/>
      <w:bookmarkEnd w:id="420"/>
      <w:r w:rsidR="00C1014B">
        <w:br/>
      </w:r>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lastRenderedPageBreak/>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0AB22EC8" w:rsidR="003A4180" w:rsidRPr="007A5BBC" w:rsidRDefault="003A4180" w:rsidP="008B3263">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008B3263">
        <w:t>who seek</w:t>
      </w:r>
      <w:r w:rsidRPr="007A5BBC">
        <w:t xml:space="preserve"> bankruptcy protection in order to obtain the benefits of a bankruptcy </w:t>
      </w:r>
      <w:r w:rsidR="009D0200" w:rsidRPr="007A5BBC">
        <w:t xml:space="preserve">automatic stay and </w:t>
      </w:r>
      <w:r w:rsidRPr="007A5BBC">
        <w:t>discharge</w:t>
      </w:r>
      <w:r w:rsidR="005F6A8B">
        <w:t>.</w:t>
      </w:r>
      <w:r w:rsidR="008B3263">
        <w:t xml:space="preserve"> See David S. Kennedy, James E. Bailey, III &amp; R. Spencer Clift, III, </w:t>
      </w:r>
      <w:r w:rsidR="008B3263" w:rsidRPr="008B3263">
        <w:rPr>
          <w:smallCaps/>
        </w:rPr>
        <w:t>The Involuntary Bankruptcy Process: A Study of the Relevant Statutory and Procedural Provisions and Related Matters</w:t>
      </w:r>
      <w:r w:rsidR="008B3263">
        <w:t>, 31 UMEM L. REV. 1, 3 (2000) (In 1998 less than 1/1000 of one percent of all filings were involuntary).</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69451E60" w:rsidR="00991E76" w:rsidRPr="007A5BBC" w:rsidRDefault="00BF19DF">
      <w:pPr>
        <w:spacing w:after="0"/>
        <w:rPr>
          <w:rFonts w:ascii="Times New Roman" w:hAnsi="Times New Roman"/>
          <w:szCs w:val="24"/>
        </w:rPr>
      </w:pPr>
      <w:r>
        <w:rPr>
          <w:rFonts w:ascii="Times New Roman" w:hAnsi="Times New Roman"/>
          <w:szCs w:val="24"/>
        </w:rPr>
        <w:br w:type="page"/>
      </w:r>
    </w:p>
    <w:p w14:paraId="38B41B24" w14:textId="337DCBF4" w:rsidR="00C1014B" w:rsidRPr="00C1014B" w:rsidRDefault="00AF597A" w:rsidP="00C1014B">
      <w:pPr>
        <w:pStyle w:val="Heading1"/>
        <w:spacing w:line="240" w:lineRule="auto"/>
      </w:pPr>
      <w:bookmarkStart w:id="421" w:name="_Toc417380733"/>
      <w:bookmarkStart w:id="422" w:name="_Toc79699066"/>
      <w:bookmarkStart w:id="423" w:name="_Toc79699392"/>
      <w:bookmarkStart w:id="424" w:name="_Toc79699730"/>
      <w:bookmarkStart w:id="425" w:name="_Toc79700050"/>
      <w:bookmarkStart w:id="426" w:name="_Toc79700372"/>
      <w:bookmarkStart w:id="427" w:name="_Toc87039149"/>
      <w:bookmarkStart w:id="428" w:name="_Toc90983545"/>
      <w:r w:rsidRPr="007A5BBC">
        <w:lastRenderedPageBreak/>
        <w:t xml:space="preserve">Secured </w:t>
      </w:r>
      <w:r w:rsidRPr="00665BF4">
        <w:t>Claims</w:t>
      </w:r>
      <w:bookmarkStart w:id="429" w:name="_Toc417378872"/>
      <w:bookmarkStart w:id="430" w:name="_Toc417380734"/>
      <w:bookmarkStart w:id="431" w:name="_Toc417378873"/>
      <w:bookmarkStart w:id="432" w:name="_Toc417380735"/>
      <w:bookmarkStart w:id="433" w:name="_Toc417378874"/>
      <w:bookmarkStart w:id="434" w:name="_Toc417380736"/>
      <w:bookmarkStart w:id="435" w:name="_Toc438473095"/>
      <w:bookmarkStart w:id="436" w:name="_Toc438473411"/>
      <w:bookmarkStart w:id="437" w:name="_Toc438473727"/>
      <w:bookmarkStart w:id="438" w:name="_Toc438474043"/>
      <w:bookmarkStart w:id="439" w:name="_Toc438476504"/>
      <w:bookmarkStart w:id="440" w:name="_Toc438661257"/>
      <w:bookmarkStart w:id="441" w:name="_Toc438661588"/>
      <w:bookmarkStart w:id="442" w:name="_Toc438661983"/>
      <w:bookmarkStart w:id="443" w:name="_Toc438662315"/>
      <w:bookmarkStart w:id="444" w:name="_Toc438662653"/>
      <w:bookmarkStart w:id="445" w:name="_Toc438662985"/>
      <w:bookmarkStart w:id="446" w:name="_Toc438663312"/>
      <w:bookmarkStart w:id="447" w:name="_Toc438663639"/>
      <w:bookmarkStart w:id="448" w:name="_Toc438663964"/>
      <w:bookmarkStart w:id="449" w:name="_Toc438664291"/>
      <w:bookmarkStart w:id="450" w:name="_Toc438665036"/>
      <w:bookmarkStart w:id="451" w:name="_Toc450734980"/>
      <w:bookmarkStart w:id="452" w:name="_Toc450735309"/>
      <w:bookmarkStart w:id="453" w:name="_Toc450739705"/>
      <w:bookmarkStart w:id="454" w:name="_Toc457995525"/>
      <w:bookmarkStart w:id="455" w:name="_Toc457997354"/>
      <w:bookmarkStart w:id="456" w:name="_Toc458006586"/>
      <w:bookmarkStart w:id="457" w:name="_Toc458074898"/>
      <w:bookmarkStart w:id="458" w:name="_Toc485065432"/>
      <w:bookmarkStart w:id="459" w:name="_Toc438473096"/>
      <w:bookmarkStart w:id="460" w:name="_Toc438473412"/>
      <w:bookmarkStart w:id="461" w:name="_Toc438473728"/>
      <w:bookmarkStart w:id="462" w:name="_Toc438474044"/>
      <w:bookmarkStart w:id="463" w:name="_Toc438476505"/>
      <w:bookmarkStart w:id="464" w:name="_Toc438661258"/>
      <w:bookmarkStart w:id="465" w:name="_Toc438661589"/>
      <w:bookmarkStart w:id="466" w:name="_Toc438661984"/>
      <w:bookmarkStart w:id="467" w:name="_Toc438662316"/>
      <w:bookmarkStart w:id="468" w:name="_Toc438662654"/>
      <w:bookmarkStart w:id="469" w:name="_Toc438662986"/>
      <w:bookmarkStart w:id="470" w:name="_Toc438663313"/>
      <w:bookmarkStart w:id="471" w:name="_Toc438663640"/>
      <w:bookmarkStart w:id="472" w:name="_Toc438663965"/>
      <w:bookmarkStart w:id="473" w:name="_Toc438664292"/>
      <w:bookmarkStart w:id="474" w:name="_Toc438665037"/>
      <w:bookmarkStart w:id="475" w:name="_Toc450734981"/>
      <w:bookmarkStart w:id="476" w:name="_Toc450735310"/>
      <w:bookmarkStart w:id="477" w:name="_Toc450739706"/>
      <w:bookmarkStart w:id="478" w:name="_Toc457995526"/>
      <w:bookmarkStart w:id="479" w:name="_Toc457997355"/>
      <w:bookmarkStart w:id="480" w:name="_Toc458006587"/>
      <w:bookmarkStart w:id="481" w:name="_Toc458074899"/>
      <w:bookmarkStart w:id="482" w:name="_Toc485065433"/>
      <w:bookmarkStart w:id="483" w:name="_Toc79687282"/>
      <w:bookmarkStart w:id="484" w:name="_Toc79687606"/>
      <w:bookmarkStart w:id="485" w:name="_Toc79687973"/>
      <w:bookmarkStart w:id="486" w:name="_Toc79688302"/>
      <w:bookmarkStart w:id="487" w:name="_Toc79689238"/>
      <w:bookmarkStart w:id="488" w:name="_Toc79692924"/>
      <w:bookmarkStart w:id="489" w:name="_Toc79693244"/>
      <w:bookmarkStart w:id="490" w:name="_Toc79693564"/>
      <w:bookmarkStart w:id="491" w:name="_Toc79693881"/>
      <w:bookmarkStart w:id="492" w:name="_Toc79694199"/>
      <w:bookmarkStart w:id="493" w:name="_Toc79694521"/>
      <w:bookmarkStart w:id="494" w:name="_Toc79694833"/>
      <w:bookmarkStart w:id="495" w:name="_Toc79695149"/>
      <w:bookmarkStart w:id="496" w:name="_Toc79695465"/>
      <w:bookmarkStart w:id="497" w:name="_Toc79695781"/>
      <w:bookmarkStart w:id="498" w:name="_Toc79696097"/>
      <w:bookmarkStart w:id="499" w:name="_Toc79696413"/>
      <w:bookmarkStart w:id="500" w:name="_Toc79696734"/>
      <w:bookmarkStart w:id="501" w:name="_Toc79697066"/>
      <w:bookmarkStart w:id="502" w:name="_Toc79697395"/>
      <w:bookmarkStart w:id="503" w:name="_Toc417380737"/>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00C1014B">
        <w:br/>
      </w:r>
    </w:p>
    <w:p w14:paraId="412EF001" w14:textId="727DFB83" w:rsidR="00991E76" w:rsidRPr="007A5BBC" w:rsidRDefault="00991E76" w:rsidP="00C1014B">
      <w:pPr>
        <w:pStyle w:val="Heading2"/>
        <w:spacing w:line="240" w:lineRule="auto"/>
      </w:pPr>
      <w:bookmarkStart w:id="504" w:name="_Toc79699067"/>
      <w:bookmarkStart w:id="505" w:name="_Toc79699393"/>
      <w:bookmarkStart w:id="506" w:name="_Toc79699731"/>
      <w:bookmarkStart w:id="507" w:name="_Toc79700051"/>
      <w:bookmarkStart w:id="508" w:name="_Toc79700373"/>
      <w:bookmarkStart w:id="509" w:name="_Toc87039150"/>
      <w:bookmarkStart w:id="510" w:name="_Toc90983546"/>
      <w:r w:rsidRPr="007A5BBC">
        <w:t>L</w:t>
      </w:r>
      <w:r w:rsidR="00906055" w:rsidRPr="007A5BBC">
        <w:t>iens and Priority</w:t>
      </w:r>
      <w:bookmarkEnd w:id="503"/>
      <w:bookmarkEnd w:id="504"/>
      <w:bookmarkEnd w:id="505"/>
      <w:bookmarkEnd w:id="506"/>
      <w:bookmarkEnd w:id="507"/>
      <w:bookmarkEnd w:id="508"/>
      <w:bookmarkEnd w:id="509"/>
      <w:bookmarkEnd w:id="510"/>
      <w:r w:rsidR="00906055" w:rsidRPr="007A5BBC">
        <w:t xml:space="preserve"> </w:t>
      </w:r>
      <w:bookmarkStart w:id="511" w:name="_Toc79692925"/>
      <w:bookmarkStart w:id="512" w:name="_Toc79693245"/>
      <w:bookmarkStart w:id="513" w:name="_Toc79693565"/>
      <w:bookmarkStart w:id="514" w:name="_Toc79693882"/>
      <w:bookmarkStart w:id="515" w:name="_Toc79694522"/>
      <w:bookmarkStart w:id="516" w:name="_Toc79695150"/>
      <w:bookmarkStart w:id="517" w:name="_Toc79697396"/>
      <w:bookmarkEnd w:id="511"/>
      <w:bookmarkEnd w:id="512"/>
      <w:bookmarkEnd w:id="513"/>
      <w:bookmarkEnd w:id="514"/>
      <w:bookmarkEnd w:id="515"/>
      <w:bookmarkEnd w:id="516"/>
      <w:bookmarkEnd w:id="517"/>
      <w:r w:rsidR="00C1014B">
        <w:br/>
      </w:r>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106427F4"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083725">
        <w:rPr>
          <w:rFonts w:ascii="Times New Roman" w:hAnsi="Times New Roman"/>
          <w:szCs w:val="24"/>
        </w:rPr>
        <w:t xml:space="preserve">. </w:t>
      </w:r>
      <w:r w:rsidR="000E205E" w:rsidRPr="007A5BBC">
        <w:rPr>
          <w:rFonts w:ascii="Times New Roman" w:hAnsi="Times New Roman"/>
          <w:szCs w:val="24"/>
        </w:rPr>
        <w:t xml:space="preserve">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000A633A" w:rsidR="00645DD6"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298D5F4B" w14:textId="77777777" w:rsidR="00C1014B" w:rsidRPr="007A5BBC" w:rsidRDefault="00C1014B" w:rsidP="00EC261D">
      <w:pPr>
        <w:ind w:firstLine="720"/>
        <w:jc w:val="both"/>
        <w:rPr>
          <w:rFonts w:ascii="Times New Roman" w:hAnsi="Times New Roman"/>
          <w:szCs w:val="24"/>
        </w:rPr>
      </w:pPr>
    </w:p>
    <w:p w14:paraId="412EF003" w14:textId="2B93BCF7" w:rsidR="00991E76" w:rsidRPr="007A5BBC" w:rsidRDefault="00991E76" w:rsidP="00C1014B">
      <w:pPr>
        <w:pStyle w:val="Heading2"/>
        <w:spacing w:line="240" w:lineRule="auto"/>
      </w:pPr>
      <w:bookmarkStart w:id="518" w:name="_Toc417380738"/>
      <w:bookmarkStart w:id="519" w:name="_Toc79699068"/>
      <w:bookmarkStart w:id="520" w:name="_Toc79699394"/>
      <w:bookmarkStart w:id="521" w:name="_Toc79699732"/>
      <w:bookmarkStart w:id="522" w:name="_Toc79700052"/>
      <w:bookmarkStart w:id="523" w:name="_Toc79700374"/>
      <w:bookmarkStart w:id="524" w:name="_Toc87039151"/>
      <w:bookmarkStart w:id="525" w:name="_Toc90983547"/>
      <w:r w:rsidRPr="007A5BBC">
        <w:t>Attachment of Consensual Liens</w:t>
      </w:r>
      <w:bookmarkStart w:id="526" w:name="_Toc79692926"/>
      <w:bookmarkStart w:id="527" w:name="_Toc79693246"/>
      <w:bookmarkStart w:id="528" w:name="_Toc79693566"/>
      <w:bookmarkStart w:id="529" w:name="_Toc79693883"/>
      <w:bookmarkStart w:id="530" w:name="_Toc79694523"/>
      <w:bookmarkStart w:id="531" w:name="_Toc79695151"/>
      <w:bookmarkStart w:id="532" w:name="_Toc7969739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00C1014B">
        <w:br/>
      </w:r>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758AB88B" w:rsidR="00647B1A" w:rsidRDefault="001567BE" w:rsidP="00D3520C">
      <w:pPr>
        <w:ind w:firstLine="720"/>
        <w:jc w:val="both"/>
        <w:rPr>
          <w:rFonts w:ascii="Times New Roman" w:hAnsi="Times New Roman"/>
          <w:szCs w:val="24"/>
        </w:rPr>
      </w:pPr>
      <w:r w:rsidRPr="007A5BBC">
        <w:rPr>
          <w:rFonts w:ascii="Times New Roman" w:hAnsi="Times New Roman"/>
          <w:szCs w:val="24"/>
        </w:rPr>
        <w:lastRenderedPageBreak/>
        <w:t>Different documents are used to create consensual liens on real property and personal property (everything other than real property)</w:t>
      </w:r>
      <w:r w:rsidR="005F6A8B">
        <w:rPr>
          <w:rFonts w:ascii="Times New Roman" w:hAnsi="Times New Roman"/>
          <w:szCs w:val="24"/>
        </w:rPr>
        <w:t xml:space="preserve">. </w:t>
      </w:r>
    </w:p>
    <w:p w14:paraId="65D69BD6" w14:textId="77777777" w:rsidR="00C1014B" w:rsidRPr="007A5BBC" w:rsidRDefault="00C1014B" w:rsidP="00D3520C">
      <w:pPr>
        <w:ind w:firstLine="720"/>
        <w:jc w:val="both"/>
        <w:rPr>
          <w:rFonts w:ascii="Times New Roman" w:hAnsi="Times New Roman"/>
          <w:szCs w:val="24"/>
        </w:rPr>
      </w:pPr>
    </w:p>
    <w:p w14:paraId="4D1AB9B8" w14:textId="2EC32055" w:rsidR="00647B1A" w:rsidRPr="007A5BBC" w:rsidRDefault="006C7D47" w:rsidP="00C1014B">
      <w:pPr>
        <w:pStyle w:val="Heading2"/>
        <w:spacing w:line="240" w:lineRule="auto"/>
      </w:pPr>
      <w:bookmarkStart w:id="533" w:name="_Toc79699069"/>
      <w:bookmarkStart w:id="534" w:name="_Toc79699395"/>
      <w:bookmarkStart w:id="535" w:name="_Toc79699733"/>
      <w:bookmarkStart w:id="536" w:name="_Toc79700053"/>
      <w:bookmarkStart w:id="537" w:name="_Toc79700375"/>
      <w:bookmarkStart w:id="538" w:name="_Toc87039152"/>
      <w:bookmarkStart w:id="539" w:name="_Toc90983548"/>
      <w:r w:rsidRPr="007A5BBC">
        <w:t xml:space="preserve">Attachment of </w:t>
      </w:r>
      <w:r w:rsidR="00647B1A" w:rsidRPr="007A5BBC">
        <w:t>Consensual Liens on Real Property</w:t>
      </w:r>
      <w:bookmarkStart w:id="540" w:name="_Toc79692927"/>
      <w:bookmarkStart w:id="541" w:name="_Toc79693247"/>
      <w:bookmarkStart w:id="542" w:name="_Toc79693567"/>
      <w:bookmarkStart w:id="543" w:name="_Toc79693884"/>
      <w:bookmarkStart w:id="544" w:name="_Toc79694524"/>
      <w:bookmarkStart w:id="545" w:name="_Toc79695152"/>
      <w:bookmarkStart w:id="546" w:name="_Toc79697398"/>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r w:rsidR="00C1014B">
        <w:br/>
      </w:r>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0F3467F6" w:rsidR="00991E76"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6884FF4A" w14:textId="77777777" w:rsidR="00C1014B" w:rsidRPr="007A5BBC" w:rsidRDefault="00C1014B" w:rsidP="00D3520C">
      <w:pPr>
        <w:ind w:firstLine="720"/>
        <w:jc w:val="both"/>
        <w:rPr>
          <w:rFonts w:ascii="Times New Roman" w:hAnsi="Times New Roman"/>
          <w:szCs w:val="24"/>
        </w:rPr>
      </w:pPr>
    </w:p>
    <w:p w14:paraId="4CAFD68E" w14:textId="6A82C19C" w:rsidR="00647B1A" w:rsidRPr="007A5BBC" w:rsidRDefault="006C7D47" w:rsidP="00C1014B">
      <w:pPr>
        <w:pStyle w:val="Heading2"/>
        <w:spacing w:line="240" w:lineRule="auto"/>
      </w:pPr>
      <w:bookmarkStart w:id="547" w:name="_Toc79699070"/>
      <w:bookmarkStart w:id="548" w:name="_Toc79699396"/>
      <w:bookmarkStart w:id="549" w:name="_Toc79699734"/>
      <w:bookmarkStart w:id="550" w:name="_Toc79700054"/>
      <w:bookmarkStart w:id="551" w:name="_Toc79700376"/>
      <w:bookmarkStart w:id="552" w:name="_Toc87039153"/>
      <w:bookmarkStart w:id="553" w:name="_Toc90983549"/>
      <w:r w:rsidRPr="007A5BBC">
        <w:t xml:space="preserve">Attachment of </w:t>
      </w:r>
      <w:r w:rsidR="00647B1A" w:rsidRPr="007A5BBC">
        <w:t>Consensual Liens on Personal Property</w:t>
      </w:r>
      <w:bookmarkStart w:id="554" w:name="_Toc79692928"/>
      <w:bookmarkStart w:id="555" w:name="_Toc79693248"/>
      <w:bookmarkStart w:id="556" w:name="_Toc79693568"/>
      <w:bookmarkStart w:id="557" w:name="_Toc79693885"/>
      <w:bookmarkStart w:id="558" w:name="_Toc79694525"/>
      <w:bookmarkStart w:id="559" w:name="_Toc79695153"/>
      <w:bookmarkStart w:id="560" w:name="_Toc79697399"/>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00C1014B">
        <w:br/>
      </w:r>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6A86FA10"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8B3263">
        <w:rPr>
          <w:rFonts w:ascii="Times New Roman" w:hAnsi="Times New Roman"/>
          <w:szCs w:val="24"/>
        </w:rPr>
        <w:t xml:space="preserve">New York’s </w:t>
      </w:r>
      <w:r w:rsidR="00C638B6" w:rsidRPr="007A5BBC">
        <w:rPr>
          <w:rFonts w:ascii="Times New Roman" w:hAnsi="Times New Roman"/>
          <w:szCs w:val="24"/>
        </w:rPr>
        <w:t xml:space="preserve">version of </w:t>
      </w:r>
      <w:r w:rsidR="008B3263">
        <w:rPr>
          <w:rFonts w:ascii="Times New Roman" w:hAnsi="Times New Roman"/>
          <w:szCs w:val="24"/>
        </w:rPr>
        <w:t xml:space="preserve">UCC </w:t>
      </w:r>
      <w:r w:rsidR="00C638B6" w:rsidRPr="007A5BBC">
        <w:rPr>
          <w:rFonts w:ascii="Times New Roman" w:hAnsi="Times New Roman"/>
          <w:szCs w:val="24"/>
        </w:rPr>
        <w:t xml:space="preserve">Article 9 is reprinted in </w:t>
      </w:r>
      <w:hyperlink w:anchor="AppendixF" w:history="1">
        <w:r w:rsidR="00C638B6" w:rsidRPr="007A5BBC">
          <w:rPr>
            <w:rStyle w:val="Hyperlink"/>
            <w:rFonts w:ascii="Times New Roman" w:hAnsi="Times New Roman"/>
            <w:szCs w:val="24"/>
          </w:rPr>
          <w:t xml:space="preserve">Appendix </w:t>
        </w:r>
        <w:r w:rsidR="00737C19">
          <w:rPr>
            <w:rStyle w:val="Hyperlink"/>
            <w:rFonts w:ascii="Times New Roman" w:hAnsi="Times New Roman"/>
            <w:szCs w:val="24"/>
          </w:rPr>
          <w:t>F</w:t>
        </w:r>
      </w:hyperlink>
      <w:r w:rsidR="005F6A8B">
        <w:rPr>
          <w:rFonts w:ascii="Times New Roman" w:hAnsi="Times New Roman"/>
          <w:szCs w:val="24"/>
        </w:rPr>
        <w:t xml:space="preserve">. </w:t>
      </w:r>
      <w:r w:rsidR="00C638B6" w:rsidRPr="007A5BBC">
        <w:rPr>
          <w:rFonts w:ascii="Times New Roman" w:hAnsi="Times New Roman"/>
          <w:szCs w:val="24"/>
        </w:rPr>
        <w:t xml:space="preserve">For </w:t>
      </w:r>
      <w:r w:rsidR="008B3263">
        <w:rPr>
          <w:rFonts w:ascii="Times New Roman" w:hAnsi="Times New Roman"/>
          <w:szCs w:val="24"/>
        </w:rPr>
        <w:t xml:space="preserve">your </w:t>
      </w:r>
      <w:r w:rsidR="00C638B6" w:rsidRPr="007A5BBC">
        <w:rPr>
          <w:rFonts w:ascii="Times New Roman" w:hAnsi="Times New Roman"/>
          <w:szCs w:val="24"/>
        </w:rPr>
        <w:t>convenience, the Article 9 code sections in this book are linked – if you are reading an electronic copy of this book you may click on the links to jump to the full code sections.</w:t>
      </w:r>
    </w:p>
    <w:p w14:paraId="412EF006" w14:textId="46A22443"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 xml:space="preserve">However, vehicles held by a dealer </w:t>
      </w:r>
      <w:r w:rsidR="008B3263">
        <w:rPr>
          <w:rFonts w:ascii="Times New Roman" w:hAnsi="Times New Roman"/>
          <w:szCs w:val="24"/>
        </w:rPr>
        <w:t xml:space="preserve">in inventory for sale or rental </w:t>
      </w:r>
      <w:r w:rsidRPr="007A5BBC">
        <w:rPr>
          <w:rFonts w:ascii="Times New Roman" w:hAnsi="Times New Roman"/>
          <w:szCs w:val="24"/>
        </w:rPr>
        <w:t>are generally governed by the Article 9</w:t>
      </w:r>
      <w:r w:rsidR="005F6A8B">
        <w:rPr>
          <w:rFonts w:ascii="Times New Roman" w:hAnsi="Times New Roman"/>
          <w:szCs w:val="24"/>
        </w:rPr>
        <w:t xml:space="preserve">. </w:t>
      </w:r>
    </w:p>
    <w:p w14:paraId="27E8DF8B" w14:textId="3E45A56F"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lastRenderedPageBreak/>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10E86932"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Note the three requirements in 9-203(b) that all must occur before the lien exists</w:t>
      </w:r>
      <w:r w:rsidR="005F6A8B">
        <w:rPr>
          <w:rFonts w:ascii="Times New Roman" w:hAnsi="Times New Roman"/>
          <w:szCs w:val="24"/>
        </w:rPr>
        <w:t xml:space="preserve">. </w:t>
      </w:r>
      <w:r w:rsidR="008B3263">
        <w:rPr>
          <w:rFonts w:ascii="Times New Roman" w:hAnsi="Times New Roman"/>
          <w:szCs w:val="24"/>
        </w:rPr>
        <w:t>The lien exists a</w:t>
      </w:r>
      <w:r w:rsidR="005F68C2" w:rsidRPr="007A5BBC">
        <w:rPr>
          <w:rFonts w:ascii="Times New Roman" w:hAnsi="Times New Roman"/>
          <w:szCs w:val="24"/>
        </w:rPr>
        <w:t xml:space="preserve">s soon as </w:t>
      </w:r>
      <w:r w:rsidR="00A4591A" w:rsidRPr="007A5BBC">
        <w:rPr>
          <w:rFonts w:ascii="Times New Roman" w:hAnsi="Times New Roman"/>
          <w:szCs w:val="24"/>
        </w:rPr>
        <w:t xml:space="preserve">all </w:t>
      </w:r>
      <w:r w:rsidRPr="007A5BBC">
        <w:rPr>
          <w:rFonts w:ascii="Times New Roman" w:hAnsi="Times New Roman"/>
          <w:szCs w:val="24"/>
        </w:rPr>
        <w:t xml:space="preserve">three </w:t>
      </w:r>
      <w:r w:rsidR="008B3263">
        <w:rPr>
          <w:rFonts w:ascii="Times New Roman" w:hAnsi="Times New Roman"/>
          <w:szCs w:val="24"/>
        </w:rPr>
        <w:t xml:space="preserve">of those </w:t>
      </w:r>
      <w:r w:rsidRPr="007A5BBC">
        <w:rPr>
          <w:rFonts w:ascii="Times New Roman" w:hAnsi="Times New Roman"/>
          <w:szCs w:val="24"/>
        </w:rPr>
        <w:t xml:space="preserve">requirements </w:t>
      </w:r>
      <w:r w:rsidR="005F68C2" w:rsidRPr="007A5BBC">
        <w:rPr>
          <w:rFonts w:ascii="Times New Roman" w:hAnsi="Times New Roman"/>
          <w:szCs w:val="24"/>
        </w:rPr>
        <w:t xml:space="preserve">occur, </w:t>
      </w:r>
      <w:r w:rsidRPr="007A5BBC">
        <w:rPr>
          <w:rFonts w:ascii="Times New Roman" w:hAnsi="Times New Roman"/>
          <w:szCs w:val="24"/>
        </w:rPr>
        <w:t xml:space="preserve">and </w:t>
      </w:r>
      <w:r w:rsidR="005F68C2" w:rsidRPr="007A5BBC">
        <w:rPr>
          <w:rFonts w:ascii="Times New Roman" w:hAnsi="Times New Roman"/>
          <w:szCs w:val="24"/>
        </w:rPr>
        <w:t>the creditor (no</w:t>
      </w:r>
      <w:r w:rsidR="008B3263">
        <w:rPr>
          <w:rFonts w:ascii="Times New Roman" w:hAnsi="Times New Roman"/>
          <w:szCs w:val="24"/>
        </w:rPr>
        <w:t>w</w:t>
      </w:r>
      <w:r w:rsidR="005F68C2" w:rsidRPr="007A5BBC">
        <w:rPr>
          <w:rFonts w:ascii="Times New Roman" w:hAnsi="Times New Roman"/>
          <w:szCs w:val="24"/>
        </w:rPr>
        <w:t xml:space="preserve"> the “secured party”</w:t>
      </w:r>
      <w:r w:rsidR="008B3263">
        <w:rPr>
          <w:rFonts w:ascii="Times New Roman" w:hAnsi="Times New Roman"/>
          <w:szCs w:val="24"/>
        </w:rPr>
        <w:t>)</w:t>
      </w:r>
      <w:r w:rsidR="005F68C2" w:rsidRPr="007A5BBC">
        <w:rPr>
          <w:rFonts w:ascii="Times New Roman" w:hAnsi="Times New Roman"/>
          <w:szCs w:val="24"/>
        </w:rPr>
        <w:t xml:space="preserve"> </w:t>
      </w:r>
      <w:r w:rsidR="008B3263">
        <w:rPr>
          <w:rFonts w:ascii="Times New Roman" w:hAnsi="Times New Roman"/>
          <w:szCs w:val="24"/>
        </w:rPr>
        <w:t xml:space="preserve">may then </w:t>
      </w:r>
      <w:r w:rsidR="005F68C2" w:rsidRPr="007A5BBC">
        <w:rPr>
          <w:rFonts w:ascii="Times New Roman" w:hAnsi="Times New Roman"/>
          <w:szCs w:val="24"/>
        </w:rPr>
        <w:t>enforce the lien against the debtor</w:t>
      </w:r>
      <w:r w:rsidR="008B3263">
        <w:rPr>
          <w:rFonts w:ascii="Times New Roman" w:hAnsi="Times New Roman"/>
          <w:szCs w:val="24"/>
        </w:rPr>
        <w:t>’s property upon default.</w:t>
      </w:r>
    </w:p>
    <w:p w14:paraId="7C67AD4C" w14:textId="3F185CC9"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24AC58A6" w:rsidR="00E00032" w:rsidRPr="007A5BBC" w:rsidRDefault="005F68C2"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1B0661" w:rsidRPr="008C3330">
        <w:rPr>
          <w:rFonts w:ascii="Times New Roman" w:hAnsi="Times New Roman"/>
          <w:i/>
          <w:iCs/>
          <w:szCs w:val="24"/>
        </w:rPr>
        <w:t xml:space="preserve">See </w:t>
      </w:r>
      <w:r w:rsidRPr="007A5BBC">
        <w:rPr>
          <w:rFonts w:ascii="Times New Roman" w:hAnsi="Times New Roman"/>
          <w:szCs w:val="24"/>
        </w:rPr>
        <w:t xml:space="preserve">UCC § </w:t>
      </w:r>
      <w:hyperlink w:anchor="U9315" w:history="1">
        <w:r w:rsidRPr="007A5BBC">
          <w:rPr>
            <w:rStyle w:val="Hyperlink"/>
            <w:rFonts w:ascii="Times New Roman" w:hAnsi="Times New Roman"/>
            <w:szCs w:val="24"/>
          </w:rPr>
          <w:t>9-315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5D41FBF" w:rsidR="00991E76"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UCC §§ 2-103(p);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6695D6A5" w14:textId="77777777" w:rsidR="00572A82" w:rsidRPr="007A5BBC" w:rsidRDefault="00572A82" w:rsidP="007B589E">
      <w:pPr>
        <w:jc w:val="both"/>
        <w:rPr>
          <w:rFonts w:ascii="Times New Roman" w:hAnsi="Times New Roman"/>
          <w:szCs w:val="24"/>
        </w:rPr>
      </w:pPr>
    </w:p>
    <w:p w14:paraId="412EF019" w14:textId="25821FB7" w:rsidR="00991E76" w:rsidRPr="007A5BBC" w:rsidRDefault="00991E76" w:rsidP="00C1014B">
      <w:pPr>
        <w:pStyle w:val="Heading2"/>
        <w:spacing w:line="240" w:lineRule="auto"/>
      </w:pPr>
      <w:bookmarkStart w:id="561" w:name="_Toc417380741"/>
      <w:bookmarkStart w:id="562" w:name="_Toc79699071"/>
      <w:bookmarkStart w:id="563" w:name="_Toc79699397"/>
      <w:bookmarkStart w:id="564" w:name="_Toc79699735"/>
      <w:bookmarkStart w:id="565" w:name="_Toc79700055"/>
      <w:bookmarkStart w:id="566" w:name="_Toc79700377"/>
      <w:bookmarkStart w:id="567" w:name="_Toc87039154"/>
      <w:bookmarkStart w:id="568" w:name="_Toc90983550"/>
      <w:r w:rsidRPr="007A5BBC">
        <w:t>Attachment of Judicial Liens</w:t>
      </w:r>
      <w:bookmarkStart w:id="569" w:name="_Toc79692929"/>
      <w:bookmarkStart w:id="570" w:name="_Toc79693249"/>
      <w:bookmarkStart w:id="571" w:name="_Toc79693569"/>
      <w:bookmarkStart w:id="572" w:name="_Toc79693886"/>
      <w:bookmarkStart w:id="573" w:name="_Toc79694526"/>
      <w:bookmarkStart w:id="574" w:name="_Toc79695154"/>
      <w:bookmarkStart w:id="575" w:name="_Toc7969740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00C1014B">
        <w:br/>
      </w:r>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165B88C1"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lastRenderedPageBreak/>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In California, an “abstract of judgment” must be recorded in the real property records</w:t>
      </w:r>
      <w:r w:rsidR="005F6A8B">
        <w:rPr>
          <w:rFonts w:ascii="Times New Roman" w:hAnsi="Times New Roman"/>
          <w:szCs w:val="24"/>
        </w:rPr>
        <w:t xml:space="preserve">. </w:t>
      </w:r>
      <w:hyperlink r:id="rId38" w:history="1">
        <w:r w:rsidR="00991E76" w:rsidRPr="008B3263">
          <w:rPr>
            <w:rStyle w:val="Hyperlink"/>
            <w:rFonts w:ascii="Times New Roman" w:hAnsi="Times New Roman"/>
            <w:szCs w:val="24"/>
          </w:rPr>
          <w:t>Cal. Civ. Proc. Code § 697.310</w:t>
        </w:r>
      </w:hyperlink>
      <w:r w:rsidR="00083725">
        <w:rPr>
          <w:rFonts w:ascii="Times New Roman" w:hAnsi="Times New Roman"/>
          <w:szCs w:val="24"/>
        </w:rPr>
        <w:t xml:space="preserve">. </w:t>
      </w:r>
      <w:r w:rsidR="00991E76" w:rsidRPr="007A5BBC">
        <w:rPr>
          <w:rFonts w:ascii="Times New Roman" w:hAnsi="Times New Roman"/>
          <w:szCs w:val="24"/>
        </w:rPr>
        <w:t xml:space="preserve">In New 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hyperlink w:anchor="_APPENDIX_C:_" w:history="1">
        <w:r w:rsidR="00991E76" w:rsidRPr="008B3263">
          <w:rPr>
            <w:rStyle w:val="Hyperlink"/>
            <w:rFonts w:ascii="Times New Roman" w:hAnsi="Times New Roman"/>
            <w:szCs w:val="24"/>
          </w:rPr>
          <w:t>NYCPLR § 5203</w:t>
        </w:r>
      </w:hyperlink>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5EBE202A"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hyperlink r:id="rId39" w:history="1">
        <w:r w:rsidRPr="00915279">
          <w:rPr>
            <w:rStyle w:val="Hyperlink"/>
            <w:rFonts w:ascii="Times New Roman" w:hAnsi="Times New Roman"/>
            <w:szCs w:val="24"/>
          </w:rPr>
          <w:t>10 years in New York</w:t>
        </w:r>
      </w:hyperlink>
      <w:r w:rsidRPr="007A5BBC">
        <w:rPr>
          <w:rFonts w:ascii="Times New Roman" w:hAnsi="Times New Roman"/>
          <w:szCs w:val="24"/>
        </w:rPr>
        <w:t xml:space="preserve">),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401C3DC9"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083725">
        <w:rPr>
          <w:rFonts w:ascii="Times New Roman" w:hAnsi="Times New Roman"/>
          <w:szCs w:val="24"/>
        </w:rPr>
        <w:t xml:space="preserve">. </w:t>
      </w:r>
      <w:r w:rsidR="00991E76" w:rsidRPr="008C3330">
        <w:rPr>
          <w:rFonts w:ascii="Times New Roman" w:hAnsi="Times New Roman"/>
          <w:i/>
          <w:iCs/>
          <w:szCs w:val="24"/>
        </w:rPr>
        <w:t xml:space="preserve">See </w:t>
      </w:r>
      <w:r w:rsidR="00991E76" w:rsidRPr="007A5BBC">
        <w:rPr>
          <w:rFonts w:ascii="Times New Roman" w:hAnsi="Times New Roman"/>
          <w:szCs w:val="24"/>
        </w:rPr>
        <w:t xml:space="preserve">e.g. </w:t>
      </w:r>
      <w:hyperlink r:id="rId40" w:history="1">
        <w:r w:rsidR="00991E76" w:rsidRPr="00915279">
          <w:rPr>
            <w:rStyle w:val="Hyperlink"/>
            <w:rFonts w:ascii="Times New Roman" w:hAnsi="Times New Roman"/>
            <w:szCs w:val="24"/>
          </w:rPr>
          <w:t>Cal. Civ. Proc. Code 697.510</w:t>
        </w:r>
      </w:hyperlink>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717227A4" w14:textId="2D1C8781" w:rsidR="00C1014B" w:rsidRDefault="00AB687E" w:rsidP="00572A82">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3A8734D5" w14:textId="77777777" w:rsidR="007B589E" w:rsidRPr="007A5BBC" w:rsidRDefault="007B589E" w:rsidP="00572A82">
      <w:pPr>
        <w:ind w:firstLine="720"/>
        <w:jc w:val="both"/>
        <w:rPr>
          <w:rFonts w:ascii="Times New Roman" w:hAnsi="Times New Roman"/>
          <w:szCs w:val="24"/>
        </w:rPr>
      </w:pPr>
    </w:p>
    <w:p w14:paraId="412EF01F" w14:textId="75E43A0C" w:rsidR="00991E76" w:rsidRPr="007A5BBC" w:rsidRDefault="00991E76" w:rsidP="00C1014B">
      <w:pPr>
        <w:pStyle w:val="Heading2"/>
        <w:spacing w:line="240" w:lineRule="auto"/>
      </w:pPr>
      <w:bookmarkStart w:id="576" w:name="_Toc417380742"/>
      <w:bookmarkStart w:id="577" w:name="_Toc79699072"/>
      <w:bookmarkStart w:id="578" w:name="_Toc79699398"/>
      <w:bookmarkStart w:id="579" w:name="_Toc79699736"/>
      <w:bookmarkStart w:id="580" w:name="_Toc79700056"/>
      <w:bookmarkStart w:id="581" w:name="_Toc79700378"/>
      <w:bookmarkStart w:id="582" w:name="_Toc87039155"/>
      <w:bookmarkStart w:id="583" w:name="_Toc90983551"/>
      <w:r w:rsidRPr="007A5BBC">
        <w:t>Attachment of Statutory Liens</w:t>
      </w:r>
      <w:bookmarkStart w:id="584" w:name="_Toc79692930"/>
      <w:bookmarkStart w:id="585" w:name="_Toc79693250"/>
      <w:bookmarkStart w:id="586" w:name="_Toc79693570"/>
      <w:bookmarkStart w:id="587" w:name="_Toc79693887"/>
      <w:bookmarkStart w:id="588" w:name="_Toc79694527"/>
      <w:bookmarkStart w:id="589" w:name="_Toc79695155"/>
      <w:bookmarkStart w:id="590" w:name="_Toc79697401"/>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00C1014B">
        <w:br/>
      </w:r>
    </w:p>
    <w:p w14:paraId="412EF021" w14:textId="7121E386" w:rsidR="00FF7A1D"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w:t>
      </w:r>
      <w:r w:rsidRPr="007A5BBC">
        <w:rPr>
          <w:rFonts w:ascii="Times New Roman" w:hAnsi="Times New Roman"/>
          <w:szCs w:val="24"/>
        </w:rPr>
        <w:lastRenderedPageBreak/>
        <w:t>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C2292B3" w14:textId="77777777" w:rsidR="00C1014B" w:rsidRPr="007A5BBC" w:rsidRDefault="00C1014B" w:rsidP="00D3520C">
      <w:pPr>
        <w:ind w:firstLine="720"/>
        <w:jc w:val="both"/>
        <w:rPr>
          <w:rFonts w:ascii="Times New Roman" w:hAnsi="Times New Roman"/>
          <w:szCs w:val="24"/>
        </w:rPr>
      </w:pPr>
    </w:p>
    <w:p w14:paraId="338BF350" w14:textId="686ADBC3" w:rsidR="002158B1" w:rsidRPr="007A5BBC" w:rsidRDefault="002158B1" w:rsidP="00C1014B">
      <w:pPr>
        <w:pStyle w:val="Heading2"/>
        <w:spacing w:line="240" w:lineRule="auto"/>
      </w:pPr>
      <w:bookmarkStart w:id="591" w:name="_Toc79699073"/>
      <w:bookmarkStart w:id="592" w:name="_Toc79699399"/>
      <w:bookmarkStart w:id="593" w:name="_Toc79699737"/>
      <w:bookmarkStart w:id="594" w:name="_Toc79700057"/>
      <w:bookmarkStart w:id="595" w:name="_Toc79700379"/>
      <w:bookmarkStart w:id="596" w:name="_Toc87039156"/>
      <w:bookmarkStart w:id="597" w:name="_Toc90983552"/>
      <w:r w:rsidRPr="007A5BBC">
        <w:t>The Concept of Perfecting Liens</w:t>
      </w:r>
      <w:bookmarkStart w:id="598" w:name="_Toc79692931"/>
      <w:bookmarkStart w:id="599" w:name="_Toc79693251"/>
      <w:bookmarkStart w:id="600" w:name="_Toc79693571"/>
      <w:bookmarkStart w:id="601" w:name="_Toc79693888"/>
      <w:bookmarkStart w:id="602" w:name="_Toc79694528"/>
      <w:bookmarkStart w:id="603" w:name="_Toc79695156"/>
      <w:bookmarkStart w:id="604" w:name="_Toc79697402"/>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00C1014B">
        <w:br/>
      </w:r>
    </w:p>
    <w:p w14:paraId="28BF7C87" w14:textId="1DD59F31" w:rsidR="002158B1"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2748E475" w14:textId="77777777" w:rsidR="00C1014B" w:rsidRPr="007A5BBC" w:rsidRDefault="00C1014B" w:rsidP="005F33A2">
      <w:pPr>
        <w:ind w:firstLine="720"/>
        <w:jc w:val="both"/>
        <w:rPr>
          <w:rFonts w:ascii="Times New Roman" w:hAnsi="Times New Roman"/>
          <w:szCs w:val="24"/>
        </w:rPr>
      </w:pPr>
    </w:p>
    <w:p w14:paraId="412EF025" w14:textId="518AEF4E" w:rsidR="00991E76" w:rsidRPr="007A5BBC" w:rsidRDefault="005F33A2" w:rsidP="00C1014B">
      <w:pPr>
        <w:pStyle w:val="Heading3"/>
      </w:pPr>
      <w:bookmarkStart w:id="605" w:name="_Toc417380744"/>
      <w:bookmarkStart w:id="606" w:name="_Toc79699074"/>
      <w:bookmarkStart w:id="607" w:name="_Toc79699400"/>
      <w:bookmarkStart w:id="608" w:name="_Toc79699738"/>
      <w:bookmarkStart w:id="609" w:name="_Toc79700058"/>
      <w:bookmarkStart w:id="610" w:name="_Toc79700380"/>
      <w:bookmarkStart w:id="611" w:name="_Toc87039157"/>
      <w:bookmarkStart w:id="612" w:name="_Toc90983553"/>
      <w:r w:rsidRPr="007A5BBC">
        <w:t xml:space="preserve">Perfection </w:t>
      </w:r>
      <w:r w:rsidR="00991E76" w:rsidRPr="007A5BBC">
        <w:t xml:space="preserve">of </w:t>
      </w:r>
      <w:r w:rsidRPr="007A5BBC">
        <w:t xml:space="preserve">Consensual </w:t>
      </w:r>
      <w:r w:rsidR="00991E76" w:rsidRPr="007A5BBC">
        <w:t>Personal Property Liens</w:t>
      </w:r>
      <w:bookmarkStart w:id="613" w:name="_Toc79692932"/>
      <w:bookmarkStart w:id="614" w:name="_Toc79693252"/>
      <w:bookmarkStart w:id="615" w:name="_Toc79693572"/>
      <w:bookmarkStart w:id="616" w:name="_Toc79693889"/>
      <w:bookmarkStart w:id="617" w:name="_Toc79694529"/>
      <w:bookmarkStart w:id="618" w:name="_Toc79695157"/>
      <w:bookmarkStart w:id="619" w:name="_Toc7969740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r w:rsidR="00C1014B">
        <w:br/>
      </w:r>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Some statutory liens (like real property liens) become a first charge against the 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692244FC"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357C009D"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lastRenderedPageBreak/>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Pr="007A5BBC">
          <w:rPr>
            <w:rStyle w:val="Hyperlink"/>
            <w:rFonts w:ascii="Times New Roman" w:hAnsi="Times New Roman"/>
            <w:szCs w:val="24"/>
          </w:rPr>
          <w:t>§ 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I" w:history="1">
        <w:r w:rsidR="004B35E4" w:rsidRPr="007A5BBC">
          <w:rPr>
            <w:rStyle w:val="Hyperlink"/>
            <w:rFonts w:ascii="Times New Roman" w:hAnsi="Times New Roman"/>
            <w:szCs w:val="24"/>
          </w:rPr>
          <w:t xml:space="preserve">Appendix </w:t>
        </w:r>
        <w:r w:rsidR="00EE0318">
          <w:rPr>
            <w:rStyle w:val="Hyperlink"/>
            <w:rFonts w:ascii="Times New Roman" w:hAnsi="Times New Roman"/>
            <w:szCs w:val="24"/>
          </w:rPr>
          <w:t>I</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55E6407D"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7D44D3D2" w:rsidR="00991E76" w:rsidRPr="007A5BBC" w:rsidRDefault="007C1024"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547F2C61" w:rsidR="00991E76" w:rsidRPr="007A5BBC" w:rsidRDefault="007C1024" w:rsidP="00F57796">
      <w:pPr>
        <w:ind w:left="1080" w:right="1440"/>
        <w:jc w:val="both"/>
        <w:rPr>
          <w:rFonts w:ascii="Times New Roman" w:hAnsi="Times New Roman"/>
          <w:b/>
          <w:szCs w:val="24"/>
        </w:rPr>
      </w:pPr>
      <w:hyperlink w:anchor="U9303" w:history="1">
        <w:r w:rsidR="00991E76" w:rsidRPr="007A5BBC">
          <w:rPr>
            <w:rStyle w:val="Hyperlink"/>
            <w:rFonts w:ascii="Times New Roman" w:hAnsi="Times New Roman"/>
            <w:szCs w:val="24"/>
          </w:rPr>
          <w:t>§ 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If such steps are taken before the security interest attaches, it is perfected at the time when it attaches</w:t>
      </w:r>
      <w:r w:rsidRPr="007A5BBC">
        <w:rPr>
          <w:rFonts w:ascii="Times New Roman" w:hAnsi="Times New Roman"/>
          <w:szCs w:val="24"/>
        </w:rPr>
        <w:t>.</w:t>
      </w:r>
    </w:p>
    <w:p w14:paraId="412EF032" w14:textId="2DD66047" w:rsidR="00991E76" w:rsidRPr="007A5BBC" w:rsidRDefault="007C1024" w:rsidP="00F57796">
      <w:pPr>
        <w:ind w:left="1080" w:right="1440"/>
        <w:jc w:val="both"/>
        <w:rPr>
          <w:rFonts w:ascii="Times New Roman" w:hAnsi="Times New Roman"/>
          <w:szCs w:val="24"/>
        </w:rPr>
      </w:pPr>
      <w:hyperlink w:anchor="U9309" w:history="1">
        <w:r w:rsidR="00991E76" w:rsidRPr="007A5BBC">
          <w:rPr>
            <w:rStyle w:val="Hyperlink"/>
            <w:rFonts w:ascii="Times New Roman" w:hAnsi="Times New Roman"/>
            <w:szCs w:val="24"/>
          </w:rPr>
          <w:t>§ 9-309</w:t>
        </w:r>
      </w:hyperlink>
      <w:r w:rsidR="00991E76" w:rsidRPr="007A5BBC">
        <w:rPr>
          <w:rFonts w:ascii="Times New Roman" w:hAnsi="Times New Roman"/>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143851DF"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24827702" w14:textId="7002A877" w:rsidR="00C1014B" w:rsidRPr="007A5BBC" w:rsidRDefault="00F57796" w:rsidP="007B589E">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2E588EF4" w:rsidR="00D73F50" w:rsidRPr="007A5BBC" w:rsidRDefault="00D73F50" w:rsidP="00C1014B">
      <w:pPr>
        <w:pStyle w:val="Heading3"/>
      </w:pPr>
      <w:bookmarkStart w:id="620" w:name="_Toc417380746"/>
      <w:bookmarkStart w:id="621" w:name="_Toc79699075"/>
      <w:bookmarkStart w:id="622" w:name="_Toc79699401"/>
      <w:bookmarkStart w:id="623" w:name="_Toc79699739"/>
      <w:bookmarkStart w:id="624" w:name="_Toc79700059"/>
      <w:bookmarkStart w:id="625" w:name="_Toc79700381"/>
      <w:bookmarkStart w:id="626" w:name="_Toc87039158"/>
      <w:bookmarkStart w:id="627" w:name="_Toc90983554"/>
      <w:r w:rsidRPr="007A5BBC">
        <w:lastRenderedPageBreak/>
        <w:t>P</w:t>
      </w:r>
      <w:r w:rsidR="005F33A2" w:rsidRPr="007A5BBC">
        <w:t xml:space="preserve">riority </w:t>
      </w:r>
      <w:r w:rsidRPr="007A5BBC">
        <w:t>of Consensual Liens</w:t>
      </w:r>
      <w:r w:rsidR="005F2596">
        <w:t xml:space="preserve"> on Personal Property</w:t>
      </w:r>
      <w:bookmarkStart w:id="628" w:name="_Toc79692933"/>
      <w:bookmarkStart w:id="629" w:name="_Toc79693253"/>
      <w:bookmarkStart w:id="630" w:name="_Toc79693573"/>
      <w:bookmarkStart w:id="631" w:name="_Toc79693890"/>
      <w:bookmarkStart w:id="632" w:name="_Toc79694530"/>
      <w:bookmarkStart w:id="633" w:name="_Toc79695158"/>
      <w:bookmarkStart w:id="634" w:name="_Toc79697404"/>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00C1014B">
        <w:br/>
      </w:r>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635" w:name="_Toc417380747"/>
    </w:p>
    <w:p w14:paraId="412EF03A" w14:textId="148A8A9C" w:rsidR="00991E76" w:rsidRPr="007A5BBC" w:rsidRDefault="00991E76" w:rsidP="00DC3365">
      <w:pPr>
        <w:pStyle w:val="0-NORMAL"/>
      </w:pPr>
      <w:r w:rsidRPr="007A5BBC">
        <w:t>U</w:t>
      </w:r>
      <w:r w:rsidR="00034427" w:rsidRPr="007A5BBC">
        <w:t>niform Commercial Code</w:t>
      </w:r>
      <w:bookmarkEnd w:id="635"/>
      <w:r w:rsidR="00034427" w:rsidRPr="007A5BBC">
        <w:t xml:space="preserve"> </w:t>
      </w:r>
    </w:p>
    <w:p w14:paraId="412EF03B" w14:textId="4FA995D4" w:rsidR="00991E76" w:rsidRPr="007A5BBC" w:rsidRDefault="007C1024" w:rsidP="00924194">
      <w:pPr>
        <w:ind w:left="1080" w:right="1440"/>
        <w:jc w:val="both"/>
        <w:rPr>
          <w:rFonts w:ascii="Times New Roman" w:hAnsi="Times New Roman"/>
          <w:szCs w:val="24"/>
        </w:rPr>
      </w:pPr>
      <w:hyperlink w:anchor="U9317" w:history="1">
        <w:r w:rsidR="00991E76" w:rsidRPr="007A5BBC">
          <w:rPr>
            <w:rStyle w:val="Hyperlink"/>
            <w:rFonts w:ascii="Times New Roman" w:hAnsi="Times New Roman"/>
            <w:szCs w:val="24"/>
          </w:rPr>
          <w:t>§ 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37E5BA3C"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41"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03266FEF"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42"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636" w:name="s9-317e"/>
    <w:bookmarkEnd w:id="636"/>
    <w:p w14:paraId="412EF03F" w14:textId="74A0D905" w:rsidR="00991E76" w:rsidRPr="007A5BBC" w:rsidRDefault="00917185" w:rsidP="00924194">
      <w:pPr>
        <w:ind w:left="1080" w:right="1440"/>
        <w:jc w:val="both"/>
        <w:rPr>
          <w:rFonts w:ascii="Times New Roman" w:hAnsi="Times New Roman"/>
          <w:szCs w:val="24"/>
        </w:rPr>
      </w:pPr>
      <w:r w:rsidRPr="007A5BBC">
        <w:rPr>
          <w:rFonts w:ascii="Times New Roman" w:hAnsi="Times New Roman"/>
          <w:szCs w:val="24"/>
        </w:rPr>
        <w:fldChar w:fldCharType="begin"/>
      </w:r>
      <w:r w:rsidRPr="007A5BBC">
        <w:rPr>
          <w:rFonts w:ascii="Times New Roman" w:hAnsi="Times New Roman"/>
          <w:szCs w:val="24"/>
        </w:rPr>
        <w:instrText xml:space="preserve"> HYPERLINK  \l "U9322" </w:instrText>
      </w:r>
      <w:r w:rsidRPr="007A5BBC">
        <w:rPr>
          <w:rFonts w:ascii="Times New Roman" w:hAnsi="Times New Roman"/>
          <w:szCs w:val="24"/>
        </w:rPr>
        <w:fldChar w:fldCharType="separate"/>
      </w:r>
      <w:r w:rsidR="00991E76" w:rsidRPr="007A5BBC">
        <w:rPr>
          <w:rStyle w:val="Hyperlink"/>
          <w:rFonts w:ascii="Times New Roman" w:hAnsi="Times New Roman"/>
          <w:szCs w:val="24"/>
        </w:rPr>
        <w:t>§ 9-322</w:t>
      </w:r>
      <w:r w:rsidRPr="007A5BBC">
        <w:rPr>
          <w:rFonts w:ascii="Times New Roman" w:hAnsi="Times New Roman"/>
          <w:szCs w:val="24"/>
        </w:rPr>
        <w:fldChar w:fldCharType="end"/>
      </w:r>
      <w:r w:rsidR="00991E76" w:rsidRPr="007A5BBC">
        <w:rPr>
          <w:rFonts w:ascii="Times New Roman" w:hAnsi="Times New Roman"/>
          <w:szCs w:val="24"/>
        </w:rPr>
        <w:t>. PRIORITIES AMONG CONFLICTING SECURITY INTERESTS . . . ON SAME COLLATERAL.</w:t>
      </w:r>
    </w:p>
    <w:p w14:paraId="412EF040" w14:textId="3BF07DC2" w:rsidR="00991E76" w:rsidRPr="007A5BBC" w:rsidRDefault="00991E76" w:rsidP="00924194">
      <w:pPr>
        <w:ind w:left="1080" w:right="1440"/>
        <w:jc w:val="both"/>
        <w:rPr>
          <w:rFonts w:ascii="Times New Roman" w:hAnsi="Times New Roman"/>
          <w:szCs w:val="24"/>
        </w:rPr>
      </w:pPr>
      <w:bookmarkStart w:id="637" w:name="s9-322a"/>
      <w:bookmarkEnd w:id="637"/>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lastRenderedPageBreak/>
        <w:t>(3) The first security interest . . . to attach or become effective has priority if conflicting security interests . . . are unperfected.</w:t>
      </w:r>
    </w:p>
    <w:p w14:paraId="36C79913" w14:textId="4E22EAFC" w:rsidR="00BF19DF" w:rsidRDefault="00924194" w:rsidP="00BF19DF">
      <w:pPr>
        <w:ind w:left="1440" w:right="1440"/>
        <w:jc w:val="both"/>
        <w:rPr>
          <w:rFonts w:ascii="Times New Roman" w:hAnsi="Times New Roman"/>
          <w:szCs w:val="24"/>
        </w:rPr>
      </w:pPr>
      <w:r w:rsidRPr="007A5BBC">
        <w:rPr>
          <w:rFonts w:ascii="Times New Roman" w:hAnsi="Times New Roman"/>
          <w:szCs w:val="24"/>
        </w:rPr>
        <w:t>[Emphasis added]</w:t>
      </w:r>
    </w:p>
    <w:p w14:paraId="2A1DA3D5" w14:textId="094BCC1D" w:rsidR="00BF19DF" w:rsidRDefault="00BF19DF" w:rsidP="00C1014B">
      <w:pPr>
        <w:ind w:right="1440"/>
        <w:jc w:val="both"/>
        <w:rPr>
          <w:rFonts w:ascii="Times New Roman" w:hAnsi="Times New Roman"/>
          <w:szCs w:val="24"/>
        </w:rPr>
      </w:pPr>
    </w:p>
    <w:p w14:paraId="412EF045" w14:textId="0790712E" w:rsidR="00034427" w:rsidRPr="007A5BBC" w:rsidRDefault="006518C2" w:rsidP="00C1014B">
      <w:pPr>
        <w:pStyle w:val="Heading2"/>
        <w:spacing w:line="240" w:lineRule="auto"/>
      </w:pPr>
      <w:bookmarkStart w:id="638" w:name="_Toc417380748"/>
      <w:bookmarkStart w:id="639" w:name="_Toc79699076"/>
      <w:bookmarkStart w:id="640" w:name="_Toc79699402"/>
      <w:bookmarkStart w:id="641" w:name="_Toc79699740"/>
      <w:bookmarkStart w:id="642" w:name="_Toc79700060"/>
      <w:bookmarkStart w:id="643" w:name="_Toc79700382"/>
      <w:bookmarkStart w:id="644" w:name="_Toc87039159"/>
      <w:bookmarkStart w:id="645" w:name="_Toc90983555"/>
      <w:r>
        <w:t xml:space="preserve">Practice </w:t>
      </w:r>
      <w:r w:rsidR="00991E76" w:rsidRPr="007A5BBC">
        <w:t>P</w:t>
      </w:r>
      <w:r>
        <w:t>roblems</w:t>
      </w:r>
      <w:r w:rsidR="007F7919" w:rsidRPr="007A5BBC">
        <w:t>: UCC Article 9</w:t>
      </w:r>
      <w:bookmarkStart w:id="646" w:name="_Toc79692934"/>
      <w:bookmarkStart w:id="647" w:name="_Toc79693254"/>
      <w:bookmarkStart w:id="648" w:name="_Toc79693574"/>
      <w:bookmarkStart w:id="649" w:name="_Toc79693891"/>
      <w:bookmarkStart w:id="650" w:name="_Toc79694531"/>
      <w:bookmarkStart w:id="651" w:name="_Toc79695159"/>
      <w:bookmarkStart w:id="652" w:name="_Toc79697405"/>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00C1014B">
        <w:br/>
      </w:r>
    </w:p>
    <w:p w14:paraId="412EF046" w14:textId="553F597B" w:rsidR="00D3224C" w:rsidRPr="007A5BBC" w:rsidRDefault="006518C2" w:rsidP="00BF19DF">
      <w:pPr>
        <w:pStyle w:val="0-NORMAL"/>
      </w:pPr>
      <w:r w:rsidRPr="00406CD8">
        <w:rPr>
          <w:b/>
        </w:rPr>
        <w:t>Problem</w:t>
      </w:r>
      <w:r>
        <w:t xml:space="preserve"> </w:t>
      </w:r>
      <w:r w:rsidRPr="003C6FD2">
        <w:rPr>
          <w:b/>
          <w:bCs/>
        </w:rPr>
        <w:t>1</w:t>
      </w:r>
      <w:r w:rsidR="00C1014B">
        <w:t xml:space="preserve">.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3013A4FB" w:rsidR="0095283F" w:rsidRPr="007A5BBC" w:rsidRDefault="00991E76" w:rsidP="00DB2210">
      <w:pPr>
        <w:pStyle w:val="ListParagraph"/>
      </w:pPr>
      <w:r w:rsidRPr="007A5BBC">
        <w:t>On January 1, Year 1, Bob Drain, a licensed plumber, borrowed $20,000 from his uncle, Ed Drain, to purchase a new machine for his business</w:t>
      </w:r>
      <w:r w:rsidR="005F6A8B">
        <w:t xml:space="preserve">. </w:t>
      </w:r>
      <w:r w:rsidRPr="007A5BBC">
        <w:t xml:space="preserve">Bob signed a promissory note </w:t>
      </w:r>
      <w:r w:rsidR="00445D62">
        <w:t xml:space="preserve">at the time the loan was made </w:t>
      </w:r>
      <w:r w:rsidRPr="007A5BBC">
        <w:t>agreeing to repay the loan on January 1, Year 3</w:t>
      </w:r>
      <w:r w:rsidR="005F6A8B">
        <w:t xml:space="preserve">. </w:t>
      </w:r>
    </w:p>
    <w:p w14:paraId="0CA7261B" w14:textId="14D5AFFC" w:rsidR="0095283F" w:rsidRPr="007A5BBC" w:rsidRDefault="00991E76" w:rsidP="00DB2210">
      <w:pPr>
        <w:pStyle w:val="ListParagraph"/>
      </w:pPr>
      <w:r w:rsidRPr="007A5BBC">
        <w:t>On January 1, Year 2, Bob went to Flushing Bank to borrow $100,000 for business operating expenses</w:t>
      </w:r>
      <w:r w:rsidR="005F6A8B">
        <w:t xml:space="preserve">. </w:t>
      </w:r>
      <w:r w:rsidRPr="007A5BBC">
        <w:t>He signed a security agreement</w:t>
      </w:r>
      <w:r w:rsidR="001D45EF">
        <w:t xml:space="preserve"> under which Bob granted Flushing Bank a security interest in all of his business property to secure any and all outstanding loans from Flushing Bank</w:t>
      </w:r>
      <w:r w:rsidR="005F6A8B">
        <w:t xml:space="preserve">. </w:t>
      </w:r>
      <w:r w:rsidRPr="007A5BBC">
        <w:t xml:space="preserve">Flushing Bank </w:t>
      </w:r>
      <w:r w:rsidR="00AD3BDA" w:rsidRPr="007A5BBC">
        <w:t xml:space="preserve">filed </w:t>
      </w:r>
      <w:r w:rsidRPr="007A5BBC">
        <w:t xml:space="preserve">a </w:t>
      </w:r>
      <w:r w:rsidR="001D45EF">
        <w:t xml:space="preserve">UCC-1 </w:t>
      </w:r>
      <w:r w:rsidRPr="007A5BBC">
        <w:t>financing statement with the Secretary of State</w:t>
      </w:r>
      <w:r w:rsidR="005F6A8B">
        <w:t xml:space="preserve">. </w:t>
      </w:r>
      <w:r w:rsidRPr="007A5BBC">
        <w:t>However, on January 3, Bob decided not to go through with the Flushing Bank loan</w:t>
      </w:r>
      <w:r w:rsidR="005F6A8B">
        <w:t xml:space="preserve">. </w:t>
      </w:r>
      <w:r w:rsidRPr="007A5BBC">
        <w:t xml:space="preserve">Flushing Bank tore up the </w:t>
      </w:r>
      <w:r w:rsidR="001D45EF">
        <w:t xml:space="preserve">promissory note, </w:t>
      </w:r>
      <w:r w:rsidRPr="007A5BBC">
        <w:t xml:space="preserve">but </w:t>
      </w:r>
      <w:r w:rsidR="001D45EF">
        <w:t>left the security agreement in its files</w:t>
      </w:r>
      <w:r w:rsidR="005F6A8B">
        <w:t xml:space="preserve">. </w:t>
      </w:r>
      <w:r w:rsidR="001D45EF">
        <w:t xml:space="preserve">Flushing did not </w:t>
      </w:r>
      <w:r w:rsidRPr="007A5BBC">
        <w:t xml:space="preserve">terminate the </w:t>
      </w:r>
      <w:r w:rsidR="001D45EF">
        <w:t xml:space="preserve">UCC-1 </w:t>
      </w:r>
      <w:r w:rsidRPr="007A5BBC">
        <w:t>financing statement it had filed with the Secretary of State.</w:t>
      </w:r>
    </w:p>
    <w:p w14:paraId="0504AC49" w14:textId="6746B52A" w:rsidR="0095283F" w:rsidRPr="007A5BBC" w:rsidRDefault="00991E76" w:rsidP="00DB2210">
      <w:pPr>
        <w:pStyle w:val="ListParagraph"/>
      </w:pPr>
      <w:r w:rsidRPr="007A5BBC">
        <w:t>On July 1, Year 2, Bob went to Prime Bank to borrow $100,000 for his business</w:t>
      </w:r>
      <w:r w:rsidR="005F6A8B">
        <w:t xml:space="preserve">. </w:t>
      </w:r>
      <w:r w:rsidR="001D45EF">
        <w:t>Prime performed a secretary of state database search, which disclosed the Flushing UCC-1 financing statement</w:t>
      </w:r>
      <w:r w:rsidR="005F6A8B">
        <w:t xml:space="preserve">. </w:t>
      </w:r>
      <w:r w:rsidR="001D45EF">
        <w:t>Bob told Prime Bank that he had not gone through with the Flushing Bank loan</w:t>
      </w:r>
      <w:r w:rsidR="005F6A8B">
        <w:t xml:space="preserve">. </w:t>
      </w:r>
      <w:r w:rsidRPr="007A5BBC">
        <w:t xml:space="preserve">Prime Bank called Flushing Bank and confirmed that the Flushing Bank loan had not </w:t>
      </w:r>
      <w:r w:rsidR="00793B8A">
        <w:t xml:space="preserve">been </w:t>
      </w:r>
      <w:r w:rsidRPr="007A5BBC">
        <w:t xml:space="preserve">made, and </w:t>
      </w:r>
      <w:r w:rsidR="001D45EF">
        <w:t xml:space="preserve">that </w:t>
      </w:r>
      <w:r w:rsidRPr="007A5BBC">
        <w:t>Bob did not owe Flushing Bank any money</w:t>
      </w:r>
      <w:r w:rsidR="005F6A8B">
        <w:t xml:space="preserve">. </w:t>
      </w:r>
      <w:r w:rsidR="001D45EF">
        <w:t xml:space="preserve">Prime </w:t>
      </w:r>
      <w:r w:rsidRPr="007A5BBC">
        <w:t>therefore agreed to make the loan to Bob</w:t>
      </w:r>
      <w:r w:rsidR="005F6A8B">
        <w:t xml:space="preserve">. </w:t>
      </w:r>
      <w:r w:rsidRPr="007A5BBC">
        <w:t>Bob signed a promissory note and security agreement with Prime Bank covering all of his business property</w:t>
      </w:r>
      <w:r w:rsidR="001D45EF">
        <w:t xml:space="preserve"> on July 1, Year 2</w:t>
      </w:r>
      <w:r w:rsidR="005F6A8B">
        <w:t xml:space="preserve">. </w:t>
      </w:r>
      <w:r w:rsidRPr="007A5BBC">
        <w:t xml:space="preserve">Prime Bank filed a financing statement with the Secretary of State on July 4, Year 2, and gave Bob the $100,000 </w:t>
      </w:r>
      <w:r w:rsidR="00F860B6">
        <w:t>on July 8, Year 2</w:t>
      </w:r>
      <w:r w:rsidR="004751D0">
        <w:t xml:space="preserve">. </w:t>
      </w:r>
    </w:p>
    <w:p w14:paraId="4C50C419" w14:textId="1C3D9E98" w:rsidR="0095283F" w:rsidRPr="007A5BBC" w:rsidRDefault="00991E76" w:rsidP="00DB2210">
      <w:pPr>
        <w:pStyle w:val="ListParagraph"/>
      </w:pPr>
      <w:r w:rsidRPr="007A5BBC">
        <w:t>On September 1, Year 2, Bob went back to Flushing Bank to borrow an additional $20,000</w:t>
      </w:r>
      <w:r w:rsidR="005F6A8B">
        <w:t xml:space="preserve">. </w:t>
      </w:r>
      <w:r w:rsidRPr="007A5BBC">
        <w:t>Flushing had Bob sign a new promissory note, and then gave him the $20,000</w:t>
      </w:r>
      <w:r w:rsidR="005F6A8B">
        <w:t xml:space="preserve">. </w:t>
      </w:r>
    </w:p>
    <w:p w14:paraId="5449D0BB" w14:textId="085D59FD" w:rsidR="0095283F" w:rsidRPr="007A5BBC" w:rsidRDefault="00991E76" w:rsidP="00DB2210">
      <w:pPr>
        <w:pStyle w:val="ListParagraph"/>
      </w:pPr>
      <w:r w:rsidRPr="007A5BBC">
        <w:t xml:space="preserve">Because of continuing cash flow problems in his business, Bob was unable to repay </w:t>
      </w:r>
      <w:r w:rsidR="001D45EF">
        <w:t xml:space="preserve">Uncle Ed </w:t>
      </w:r>
      <w:r w:rsidRPr="007A5BBC">
        <w:t>on January 1, Year 3</w:t>
      </w:r>
      <w:r w:rsidR="00083725">
        <w:t xml:space="preserve">. </w:t>
      </w:r>
      <w:r w:rsidRPr="007A5BBC">
        <w:t xml:space="preserve">Uncle Ed obtained a </w:t>
      </w:r>
      <w:r w:rsidR="001D45EF">
        <w:t xml:space="preserve">default </w:t>
      </w:r>
      <w:r w:rsidRPr="007A5BBC">
        <w:t xml:space="preserve">judgment against Bob on February 1, Year 3, and had the Sheriff </w:t>
      </w:r>
      <w:r w:rsidR="001D45EF">
        <w:t xml:space="preserve">levy under </w:t>
      </w:r>
      <w:r w:rsidRPr="007A5BBC">
        <w:t xml:space="preserve">a writ </w:t>
      </w:r>
      <w:r w:rsidR="001D45EF">
        <w:t xml:space="preserve">of execution on </w:t>
      </w:r>
      <w:r w:rsidRPr="007A5BBC">
        <w:t>Bob’s business assets on March 1, Year 3</w:t>
      </w:r>
      <w:r w:rsidR="005F6A8B">
        <w:t xml:space="preserve">. </w:t>
      </w:r>
    </w:p>
    <w:p w14:paraId="766614A3" w14:textId="0D99A188" w:rsidR="006518C2" w:rsidRPr="00406CD8" w:rsidRDefault="00991E76" w:rsidP="00DB2210">
      <w:pPr>
        <w:pStyle w:val="ListParagraph"/>
      </w:pPr>
      <w:r w:rsidRPr="007A5BBC">
        <w:t xml:space="preserve">Bob’s business assets </w:t>
      </w:r>
      <w:r w:rsidR="001D45EF">
        <w:t>have been liquidated for $70,000 by the Sheriff</w:t>
      </w:r>
      <w:r w:rsidR="005F6A8B">
        <w:t xml:space="preserve">. </w:t>
      </w:r>
      <w:r w:rsidR="001D45EF">
        <w:t>Uncle Ed, Prime Bank and Flushing Bank all claim that they should get the money</w:t>
      </w:r>
      <w:r w:rsidR="005F6A8B">
        <w:t xml:space="preserve">. </w:t>
      </w:r>
      <w:r w:rsidR="001D45EF">
        <w:t>Who gets the money?</w:t>
      </w:r>
    </w:p>
    <w:p w14:paraId="3DEF740E" w14:textId="29EAAC26" w:rsidR="00E4019B" w:rsidRDefault="006518C2" w:rsidP="00406CD8">
      <w:pPr>
        <w:pStyle w:val="0-NORMAL"/>
      </w:pPr>
      <w:r w:rsidRPr="00406CD8">
        <w:rPr>
          <w:b/>
        </w:rPr>
        <w:lastRenderedPageBreak/>
        <w:t>Problem 2</w:t>
      </w:r>
      <w:r w:rsidR="00C1014B">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083725" w:rsidRPr="007A5BBC">
        <w:t xml:space="preserve">? </w:t>
      </w:r>
    </w:p>
    <w:p w14:paraId="575047F2" w14:textId="137529BC" w:rsidR="00F860B6" w:rsidRDefault="00F860B6" w:rsidP="00406CD8">
      <w:pPr>
        <w:pStyle w:val="0-NORMAL"/>
      </w:pPr>
      <w:r w:rsidRPr="00406CD8">
        <w:rPr>
          <w:b/>
        </w:rPr>
        <w:t>Problem 3</w:t>
      </w:r>
      <w:r w:rsidR="00C1014B">
        <w:t xml:space="preserve">. </w:t>
      </w:r>
      <w:r>
        <w:t>Same facts as problem 2, except Uncle Ed caused the Sheriff to levy against Bob’s business property on J</w:t>
      </w:r>
      <w:r w:rsidR="00114B9E">
        <w:t>une 3, Year 2</w:t>
      </w:r>
      <w:r w:rsidR="005F6A8B">
        <w:t xml:space="preserve">. </w:t>
      </w:r>
    </w:p>
    <w:p w14:paraId="10CED629" w14:textId="77777777" w:rsidR="00C1014B" w:rsidRPr="007A5BBC" w:rsidRDefault="00C1014B" w:rsidP="00406CD8">
      <w:pPr>
        <w:pStyle w:val="0-NORMAL"/>
      </w:pPr>
    </w:p>
    <w:p w14:paraId="412EF051" w14:textId="0A8F61F8" w:rsidR="00D73F50" w:rsidRPr="007A5BBC" w:rsidRDefault="00D73F50" w:rsidP="00C1014B">
      <w:pPr>
        <w:pStyle w:val="Heading2"/>
        <w:spacing w:line="240" w:lineRule="auto"/>
      </w:pPr>
      <w:bookmarkStart w:id="653" w:name="_Toc417380749"/>
      <w:bookmarkStart w:id="654" w:name="_Toc79699077"/>
      <w:bookmarkStart w:id="655" w:name="_Toc79699403"/>
      <w:bookmarkStart w:id="656" w:name="_Toc79699741"/>
      <w:bookmarkStart w:id="657" w:name="_Toc79700061"/>
      <w:bookmarkStart w:id="658" w:name="_Toc79700383"/>
      <w:bookmarkStart w:id="659" w:name="_Toc87039160"/>
      <w:bookmarkStart w:id="660" w:name="_Toc90983556"/>
      <w:r w:rsidRPr="007A5BBC">
        <w:t>Purchase Money Security Interests</w:t>
      </w:r>
      <w:bookmarkStart w:id="661" w:name="_Toc79692935"/>
      <w:bookmarkStart w:id="662" w:name="_Toc79693255"/>
      <w:bookmarkStart w:id="663" w:name="_Toc79693575"/>
      <w:bookmarkStart w:id="664" w:name="_Toc79693892"/>
      <w:bookmarkStart w:id="665" w:name="_Toc79694532"/>
      <w:bookmarkStart w:id="666" w:name="_Toc79695160"/>
      <w:bookmarkStart w:id="667" w:name="_Toc79697406"/>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00C1014B">
        <w:br/>
      </w:r>
    </w:p>
    <w:p w14:paraId="412EF052" w14:textId="59B293AC"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17D1CBF5" w:rsidR="007B3D70"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668" w:name="_Toc417380751"/>
      <w:bookmarkStart w:id="669" w:name="OLE_LINK215"/>
      <w:bookmarkStart w:id="670" w:name="OLE_LINK216"/>
    </w:p>
    <w:p w14:paraId="668A2A9A" w14:textId="77777777" w:rsidR="00C1014B" w:rsidRPr="007A5BBC" w:rsidRDefault="00C1014B" w:rsidP="007B3D70">
      <w:pPr>
        <w:ind w:firstLine="720"/>
        <w:jc w:val="both"/>
        <w:rPr>
          <w:rFonts w:ascii="Times New Roman" w:hAnsi="Times New Roman"/>
          <w:szCs w:val="24"/>
        </w:rPr>
      </w:pPr>
    </w:p>
    <w:p w14:paraId="412EF063" w14:textId="021D6C9A" w:rsidR="00D73F50" w:rsidRPr="007A5BBC" w:rsidRDefault="00A11BBB" w:rsidP="00C1014B">
      <w:pPr>
        <w:pStyle w:val="Heading2"/>
        <w:spacing w:line="240" w:lineRule="auto"/>
      </w:pPr>
      <w:bookmarkStart w:id="671" w:name="_Toc79699078"/>
      <w:bookmarkStart w:id="672" w:name="_Toc79699404"/>
      <w:bookmarkStart w:id="673" w:name="_Toc79699742"/>
      <w:bookmarkStart w:id="674" w:name="_Toc79700062"/>
      <w:bookmarkStart w:id="675" w:name="_Toc79700384"/>
      <w:bookmarkStart w:id="676" w:name="_Toc87039161"/>
      <w:bookmarkStart w:id="677" w:name="_Toc90983557"/>
      <w:r>
        <w:t xml:space="preserve">Practice </w:t>
      </w:r>
      <w:r w:rsidR="007F7919" w:rsidRPr="007A5BBC">
        <w:t>P</w:t>
      </w:r>
      <w:r>
        <w:t>roblems</w:t>
      </w:r>
      <w:r w:rsidR="007F7919" w:rsidRPr="007A5BBC">
        <w:t>: Purchase Money Security Interests</w:t>
      </w:r>
      <w:bookmarkStart w:id="678" w:name="_Toc79692936"/>
      <w:bookmarkStart w:id="679" w:name="_Toc79693256"/>
      <w:bookmarkStart w:id="680" w:name="_Toc79693576"/>
      <w:bookmarkStart w:id="681" w:name="_Toc79693893"/>
      <w:bookmarkStart w:id="682" w:name="_Toc79694533"/>
      <w:bookmarkStart w:id="683" w:name="_Toc79695161"/>
      <w:bookmarkStart w:id="684" w:name="_Toc79697407"/>
      <w:bookmarkEnd w:id="668"/>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00C1014B">
        <w:br/>
      </w:r>
    </w:p>
    <w:p w14:paraId="7F384097" w14:textId="7F2D1BF5" w:rsidR="004B03E5" w:rsidRPr="00285386" w:rsidRDefault="00285386" w:rsidP="00406CD8">
      <w:pPr>
        <w:pStyle w:val="0-NORMAL"/>
      </w:pPr>
      <w:r w:rsidRPr="00406CD8">
        <w:rPr>
          <w:b/>
        </w:rPr>
        <w:t>Problem 1</w:t>
      </w:r>
      <w:r w:rsidR="00C1014B">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E4019B" w:rsidRPr="00285386">
        <w:t xml:space="preserve">In order </w:t>
      </w:r>
      <w:r w:rsidR="003C6FD2">
        <w:t xml:space="preserve">to </w:t>
      </w:r>
      <w:r w:rsidR="00E4019B" w:rsidRPr="00285386">
        <w:t xml:space="preserve">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79B316FA" w14:textId="3289907F" w:rsidR="00C1014B" w:rsidRPr="00285386" w:rsidRDefault="00285386" w:rsidP="007B589E">
      <w:pPr>
        <w:pStyle w:val="0-NORMAL"/>
      </w:pPr>
      <w:r w:rsidRPr="00406CD8">
        <w:rPr>
          <w:b/>
        </w:rPr>
        <w:t>Problem 2</w:t>
      </w:r>
      <w:r w:rsidR="00C1014B">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083725" w:rsidRPr="00285386">
        <w:t xml:space="preserve">? </w:t>
      </w:r>
    </w:p>
    <w:p w14:paraId="77250F14" w14:textId="66C21AE0" w:rsidR="00D54A4E" w:rsidRPr="007A5BBC" w:rsidRDefault="00D54A4E" w:rsidP="00C1014B">
      <w:pPr>
        <w:pStyle w:val="Heading2"/>
        <w:spacing w:line="240" w:lineRule="auto"/>
      </w:pPr>
      <w:bookmarkStart w:id="685" w:name="_Toc417380743"/>
      <w:bookmarkStart w:id="686" w:name="_Toc79699079"/>
      <w:bookmarkStart w:id="687" w:name="_Toc79699405"/>
      <w:bookmarkStart w:id="688" w:name="_Toc79699743"/>
      <w:bookmarkStart w:id="689" w:name="_Toc79700063"/>
      <w:bookmarkStart w:id="690" w:name="_Toc79700385"/>
      <w:bookmarkStart w:id="691" w:name="_Toc87039162"/>
      <w:bookmarkStart w:id="692" w:name="_Toc90983558"/>
      <w:bookmarkEnd w:id="669"/>
      <w:bookmarkEnd w:id="670"/>
      <w:r w:rsidRPr="007A5BBC">
        <w:lastRenderedPageBreak/>
        <w:t>Perfection and Priority of Real Property Liens</w:t>
      </w:r>
      <w:bookmarkStart w:id="693" w:name="_Toc79692937"/>
      <w:bookmarkStart w:id="694" w:name="_Toc79693257"/>
      <w:bookmarkStart w:id="695" w:name="_Toc79693577"/>
      <w:bookmarkStart w:id="696" w:name="_Toc79693894"/>
      <w:bookmarkStart w:id="697" w:name="_Toc79694534"/>
      <w:bookmarkStart w:id="698" w:name="_Toc79695162"/>
      <w:bookmarkStart w:id="699" w:name="_Toc79697408"/>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r w:rsidR="00C1014B">
        <w:br/>
      </w:r>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6D5D7795"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Race statu</w:t>
      </w:r>
      <w:r w:rsidR="003A2EEC">
        <w:rPr>
          <w:rFonts w:ascii="Times New Roman" w:hAnsi="Times New Roman"/>
          <w:szCs w:val="24"/>
        </w:rPr>
        <w:t>t</w:t>
      </w:r>
      <w:r w:rsidRPr="007A5BBC">
        <w:rPr>
          <w:rFonts w:ascii="Times New Roman" w:hAnsi="Times New Roman"/>
          <w:szCs w:val="24"/>
        </w:rPr>
        <w:t>es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0AC9C336"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While the first to record rule of race statu</w:t>
      </w:r>
      <w:r w:rsidR="003A2EEC">
        <w:rPr>
          <w:rFonts w:ascii="Times New Roman" w:hAnsi="Times New Roman"/>
          <w:szCs w:val="24"/>
        </w:rPr>
        <w:t>t</w:t>
      </w:r>
      <w:r w:rsidRPr="007A5BBC">
        <w:rPr>
          <w:rFonts w:ascii="Times New Roman" w:hAnsi="Times New Roman"/>
          <w:szCs w:val="24"/>
        </w:rPr>
        <w:t>es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The first to record has priority unless the first to 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795293E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 xml:space="preserve">and indexed by the insurance </w:t>
      </w:r>
      <w:r w:rsidR="00991E76" w:rsidRPr="007A5BBC">
        <w:rPr>
          <w:rFonts w:ascii="Times New Roman" w:hAnsi="Times New Roman"/>
          <w:szCs w:val="24"/>
        </w:rPr>
        <w:lastRenderedPageBreak/>
        <w:t>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350D86D2" w:rsidR="00991E76" w:rsidRDefault="00991E76" w:rsidP="00924BE2">
      <w:pPr>
        <w:ind w:firstLine="720"/>
        <w:jc w:val="both"/>
        <w:rPr>
          <w:rFonts w:ascii="Times New Roman" w:hAnsi="Times New Roman"/>
          <w:szCs w:val="24"/>
        </w:rPr>
      </w:pPr>
      <w:r w:rsidRPr="007A5BBC">
        <w:rPr>
          <w:rFonts w:ascii="Times New Roman" w:hAnsi="Times New Roman"/>
          <w:szCs w:val="24"/>
        </w:rPr>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62FA05F8" w14:textId="77777777" w:rsidR="00C1014B" w:rsidRPr="007A5BBC" w:rsidRDefault="00C1014B" w:rsidP="00924BE2">
      <w:pPr>
        <w:ind w:firstLine="720"/>
        <w:jc w:val="both"/>
        <w:rPr>
          <w:rFonts w:ascii="Times New Roman" w:hAnsi="Times New Roman"/>
          <w:szCs w:val="24"/>
        </w:rPr>
      </w:pPr>
    </w:p>
    <w:p w14:paraId="412EF073" w14:textId="34EE8BF7" w:rsidR="00903B40" w:rsidRPr="007A5BBC" w:rsidRDefault="00C60FEF" w:rsidP="00C1014B">
      <w:pPr>
        <w:pStyle w:val="Heading2"/>
        <w:spacing w:line="240" w:lineRule="auto"/>
      </w:pPr>
      <w:bookmarkStart w:id="700" w:name="_Toc417380753"/>
      <w:bookmarkStart w:id="701" w:name="_Toc79699080"/>
      <w:bookmarkStart w:id="702" w:name="_Toc79699406"/>
      <w:bookmarkStart w:id="703" w:name="_Toc79699744"/>
      <w:bookmarkStart w:id="704" w:name="_Toc79700064"/>
      <w:bookmarkStart w:id="705" w:name="_Toc79700386"/>
      <w:bookmarkStart w:id="706" w:name="_Toc87039163"/>
      <w:bookmarkStart w:id="707" w:name="_Toc90983559"/>
      <w:r>
        <w:t>Practice Problems</w:t>
      </w:r>
      <w:r w:rsidR="007F7919" w:rsidRPr="007A5BBC">
        <w:t>: Real Estate Priority</w:t>
      </w:r>
      <w:bookmarkEnd w:id="700"/>
      <w:bookmarkEnd w:id="701"/>
      <w:bookmarkEnd w:id="702"/>
      <w:bookmarkEnd w:id="703"/>
      <w:bookmarkEnd w:id="704"/>
      <w:bookmarkEnd w:id="705"/>
      <w:bookmarkEnd w:id="706"/>
      <w:bookmarkEnd w:id="707"/>
      <w:r w:rsidR="00991E76" w:rsidRPr="007A5BBC">
        <w:t xml:space="preserve">  </w:t>
      </w:r>
      <w:bookmarkStart w:id="708" w:name="_Toc79692938"/>
      <w:bookmarkStart w:id="709" w:name="_Toc79693258"/>
      <w:bookmarkStart w:id="710" w:name="_Toc79693578"/>
      <w:bookmarkStart w:id="711" w:name="_Toc79693895"/>
      <w:bookmarkStart w:id="712" w:name="_Toc79694535"/>
      <w:bookmarkStart w:id="713" w:name="_Toc79695163"/>
      <w:bookmarkStart w:id="714" w:name="_Toc79697409"/>
      <w:bookmarkEnd w:id="708"/>
      <w:bookmarkEnd w:id="709"/>
      <w:bookmarkEnd w:id="710"/>
      <w:bookmarkEnd w:id="711"/>
      <w:bookmarkEnd w:id="712"/>
      <w:bookmarkEnd w:id="713"/>
      <w:bookmarkEnd w:id="714"/>
      <w:r w:rsidR="00C1014B">
        <w:br/>
      </w:r>
    </w:p>
    <w:p w14:paraId="412EF074" w14:textId="35C174F5" w:rsidR="00991E76" w:rsidRPr="007A5BBC" w:rsidRDefault="006518C2" w:rsidP="00406CD8">
      <w:pPr>
        <w:pStyle w:val="0-NORMAL"/>
      </w:pPr>
      <w:r w:rsidRPr="001110E4">
        <w:rPr>
          <w:b/>
        </w:rPr>
        <w:t>Problem 1</w:t>
      </w:r>
      <w:r w:rsidR="00C1014B">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59B0AF26" w:rsidR="00991E76" w:rsidRPr="007A5BBC"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t>B records</w:t>
      </w:r>
      <w:r w:rsidR="00903B40" w:rsidRPr="007A5BBC">
        <w:rPr>
          <w:rFonts w:ascii="Times New Roman" w:hAnsi="Times New Roman"/>
        </w:rPr>
        <w:t xml:space="preserve"> Blackacre deed</w:t>
      </w:r>
    </w:p>
    <w:p w14:paraId="412EF076" w14:textId="6A3C1DF8" w:rsidR="00991E76" w:rsidRPr="007A5BBC" w:rsidRDefault="006518C2" w:rsidP="00406CD8">
      <w:pPr>
        <w:pStyle w:val="0-NORMAL"/>
      </w:pPr>
      <w:r w:rsidRPr="001110E4">
        <w:rPr>
          <w:b/>
        </w:rPr>
        <w:t>Problem 2</w:t>
      </w:r>
      <w:r w:rsidR="00C1014B">
        <w:rPr>
          <w:bCs/>
        </w:rP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2D64D677"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003C6FD2">
        <w:rPr>
          <w:rFonts w:ascii="Times New Roman" w:hAnsi="Times New Roman"/>
        </w:rPr>
        <w:t>:</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003C6FD2">
        <w:rPr>
          <w:rFonts w:ascii="Times New Roman" w:hAnsi="Times New Roman"/>
        </w:rPr>
        <w:t>:</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1F5692C8" w:rsidR="00991E76" w:rsidRPr="007A5BBC" w:rsidRDefault="006518C2" w:rsidP="00406CD8">
      <w:pPr>
        <w:pStyle w:val="0-NORMAL"/>
      </w:pPr>
      <w:r w:rsidRPr="001110E4">
        <w:rPr>
          <w:b/>
        </w:rPr>
        <w:t>Problem 3</w:t>
      </w:r>
      <w:r w:rsidR="00C1014B">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69729634" w:rsidR="009E78DD"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sidR="003C6FD2">
        <w:rPr>
          <w:rFonts w:ascii="Times New Roman" w:hAnsi="Times New Roman"/>
        </w:rPr>
        <w:t>:</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3C6FD2">
        <w:rPr>
          <w:rFonts w:ascii="Times New Roman" w:hAnsi="Times New Roman"/>
        </w:rPr>
        <w:t>:</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r w:rsidR="005F6A8B">
        <w:rPr>
          <w:rFonts w:ascii="Times New Roman" w:hAnsi="Times New Roman"/>
        </w:rPr>
        <w:t xml:space="preserve">. </w:t>
      </w:r>
    </w:p>
    <w:p w14:paraId="6BF92C9E" w14:textId="77777777" w:rsidR="00C1014B" w:rsidRDefault="00C1014B" w:rsidP="006518C2">
      <w:pPr>
        <w:pStyle w:val="NormalWeb"/>
        <w:spacing w:before="0" w:beforeAutospacing="0" w:after="0" w:afterAutospacing="0"/>
        <w:ind w:left="1440"/>
        <w:rPr>
          <w:rFonts w:ascii="Times New Roman" w:hAnsi="Times New Roman"/>
        </w:rPr>
      </w:pPr>
    </w:p>
    <w:p w14:paraId="3606C9FE" w14:textId="77777777" w:rsidR="00BF19DF" w:rsidRPr="007A5BBC" w:rsidRDefault="00BF19DF" w:rsidP="00572A82">
      <w:pPr>
        <w:pStyle w:val="NormalWeb"/>
        <w:spacing w:before="0" w:beforeAutospacing="0" w:after="0" w:afterAutospacing="0"/>
        <w:rPr>
          <w:rFonts w:ascii="Times New Roman" w:hAnsi="Times New Roman"/>
        </w:rPr>
      </w:pPr>
    </w:p>
    <w:p w14:paraId="412EF07C" w14:textId="0353E4F2" w:rsidR="00991E76" w:rsidRPr="007A5BBC" w:rsidRDefault="00991E76" w:rsidP="00C1014B">
      <w:pPr>
        <w:pStyle w:val="Heading2"/>
        <w:spacing w:line="240" w:lineRule="auto"/>
      </w:pPr>
      <w:bookmarkStart w:id="715" w:name="_Toc417380754"/>
      <w:bookmarkStart w:id="716" w:name="_Toc79699081"/>
      <w:bookmarkStart w:id="717" w:name="_Toc79699407"/>
      <w:bookmarkStart w:id="718" w:name="_Toc79699745"/>
      <w:bookmarkStart w:id="719" w:name="_Toc79700065"/>
      <w:bookmarkStart w:id="720" w:name="_Toc79700387"/>
      <w:bookmarkStart w:id="721" w:name="_Toc87039164"/>
      <w:bookmarkStart w:id="722" w:name="_Toc90983560"/>
      <w:r w:rsidRPr="007A5BBC">
        <w:t>Foreclosing the Right of Redemption</w:t>
      </w:r>
      <w:bookmarkStart w:id="723" w:name="_Toc79692939"/>
      <w:bookmarkStart w:id="724" w:name="_Toc79693259"/>
      <w:bookmarkStart w:id="725" w:name="_Toc79693579"/>
      <w:bookmarkStart w:id="726" w:name="_Toc79693896"/>
      <w:bookmarkStart w:id="727" w:name="_Toc79694536"/>
      <w:bookmarkStart w:id="728" w:name="_Toc79695164"/>
      <w:bookmarkStart w:id="729" w:name="_Toc7969741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00C1014B">
        <w:br/>
      </w:r>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w:t>
      </w:r>
      <w:r w:rsidR="0047448F" w:rsidRPr="007A5BBC">
        <w:rPr>
          <w:rFonts w:ascii="Times New Roman" w:hAnsi="Times New Roman"/>
          <w:szCs w:val="24"/>
        </w:rPr>
        <w:lastRenderedPageBreak/>
        <w:t>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These procedures generally require the foreclosing creditor to 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5FE6F98C" w:rsidR="00991E76" w:rsidRPr="007A5BBC" w:rsidRDefault="00114B9E" w:rsidP="00924BE2">
      <w:pPr>
        <w:ind w:firstLine="720"/>
        <w:jc w:val="both"/>
        <w:rPr>
          <w:rFonts w:ascii="Times New Roman" w:hAnsi="Times New Roman"/>
          <w:szCs w:val="24"/>
        </w:rPr>
      </w:pPr>
      <w:r>
        <w:rPr>
          <w:rFonts w:ascii="Times New Roman" w:hAnsi="Times New Roman"/>
          <w:b/>
          <w:szCs w:val="24"/>
        </w:rPr>
        <w:t>S</w:t>
      </w:r>
      <w:r w:rsidR="00991E76" w:rsidRPr="007A5BBC">
        <w:rPr>
          <w:rFonts w:ascii="Times New Roman" w:hAnsi="Times New Roman"/>
          <w:b/>
          <w:szCs w:val="24"/>
        </w:rPr>
        <w:t>enior</w:t>
      </w:r>
      <w:r>
        <w:rPr>
          <w:rFonts w:ascii="Times New Roman" w:hAnsi="Times New Roman"/>
          <w:szCs w:val="24"/>
        </w:rPr>
        <w:t xml:space="preserve"> liens </w:t>
      </w:r>
      <w:r w:rsidR="00991E76" w:rsidRPr="007A5BBC">
        <w:rPr>
          <w:rFonts w:ascii="Times New Roman" w:hAnsi="Times New Roman"/>
          <w:szCs w:val="24"/>
        </w:rPr>
        <w:t xml:space="preserve">are generally not terminated by a </w:t>
      </w:r>
      <w:r w:rsidR="00991E76" w:rsidRPr="007A5BBC">
        <w:rPr>
          <w:rFonts w:ascii="Times New Roman" w:hAnsi="Times New Roman"/>
          <w:b/>
          <w:szCs w:val="24"/>
        </w:rPr>
        <w:t>junior lienholder’s foreclosure</w:t>
      </w:r>
      <w:r w:rsidR="005F6A8B">
        <w:rPr>
          <w:rFonts w:ascii="Times New Roman" w:hAnsi="Times New Roman"/>
          <w:szCs w:val="24"/>
        </w:rPr>
        <w:t xml:space="preserve">. </w:t>
      </w:r>
      <w:r>
        <w:rPr>
          <w:rFonts w:ascii="Times New Roman" w:hAnsi="Times New Roman"/>
          <w:szCs w:val="24"/>
        </w:rPr>
        <w:t>The junior lienholder is selling the state of title as of the recording of the junior lien, thus foreclosing all interests junior to the junior lien</w:t>
      </w:r>
      <w:r w:rsidR="00083725">
        <w:rPr>
          <w:rFonts w:ascii="Times New Roman" w:hAnsi="Times New Roman"/>
          <w:szCs w:val="24"/>
        </w:rPr>
        <w:t xml:space="preserve">. </w:t>
      </w:r>
      <w:r w:rsidR="00991E76" w:rsidRPr="007A5BBC">
        <w:rPr>
          <w:rFonts w:ascii="Times New Roman" w:hAnsi="Times New Roman"/>
          <w:szCs w:val="24"/>
        </w:rPr>
        <w:t xml:space="preserve">Senior </w:t>
      </w:r>
      <w:r>
        <w:rPr>
          <w:rFonts w:ascii="Times New Roman" w:hAnsi="Times New Roman"/>
          <w:szCs w:val="24"/>
        </w:rPr>
        <w:t xml:space="preserve">liens and </w:t>
      </w:r>
      <w:r w:rsidR="00991E76" w:rsidRPr="007A5BBC">
        <w:rPr>
          <w:rFonts w:ascii="Times New Roman" w:hAnsi="Times New Roman"/>
          <w:szCs w:val="24"/>
        </w:rPr>
        <w:t xml:space="preserve">interests survive the foreclosure, </w:t>
      </w:r>
      <w:r>
        <w:rPr>
          <w:rFonts w:ascii="Times New Roman" w:hAnsi="Times New Roman"/>
          <w:szCs w:val="24"/>
        </w:rPr>
        <w:t xml:space="preserve">allowing </w:t>
      </w:r>
      <w:r w:rsidR="00991E76" w:rsidRPr="007A5BBC">
        <w:rPr>
          <w:rFonts w:ascii="Times New Roman" w:hAnsi="Times New Roman"/>
          <w:szCs w:val="24"/>
        </w:rPr>
        <w:t xml:space="preserve">the senior lienholder to later foreclose </w:t>
      </w:r>
      <w:r w:rsidR="00F940A6">
        <w:rPr>
          <w:rFonts w:ascii="Times New Roman" w:hAnsi="Times New Roman"/>
          <w:szCs w:val="24"/>
        </w:rPr>
        <w:t xml:space="preserve">the redemption rights of </w:t>
      </w:r>
      <w:r w:rsidR="00991E76" w:rsidRPr="007A5BBC">
        <w:rPr>
          <w:rFonts w:ascii="Times New Roman" w:hAnsi="Times New Roman"/>
          <w:szCs w:val="24"/>
        </w:rPr>
        <w:t>the buyer at the junior lienholder’s foreclosure sale</w:t>
      </w:r>
      <w:r>
        <w:rPr>
          <w:rFonts w:ascii="Times New Roman" w:hAnsi="Times New Roman"/>
          <w:szCs w:val="24"/>
        </w:rPr>
        <w:t xml:space="preserve"> if buyer does not redeem the senior lien</w:t>
      </w:r>
      <w:r w:rsidR="005F6A8B">
        <w:rPr>
          <w:rFonts w:ascii="Times New Roman" w:hAnsi="Times New Roman"/>
          <w:szCs w:val="24"/>
        </w:rPr>
        <w:t xml:space="preserve">. </w:t>
      </w:r>
    </w:p>
    <w:p w14:paraId="05BD5B73" w14:textId="4D6A0463"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xml:space="preserve">, and then hold a </w:t>
      </w:r>
      <w:r w:rsidR="00114B9E">
        <w:rPr>
          <w:rFonts w:ascii="Times New Roman" w:hAnsi="Times New Roman"/>
          <w:szCs w:val="24"/>
        </w:rPr>
        <w:t>“</w:t>
      </w:r>
      <w:r w:rsidR="004D3FEC" w:rsidRPr="007A5BBC">
        <w:rPr>
          <w:rFonts w:ascii="Times New Roman" w:hAnsi="Times New Roman"/>
          <w:szCs w:val="24"/>
        </w:rPr>
        <w:t>commercially reasonable</w:t>
      </w:r>
      <w:r w:rsidR="00114B9E">
        <w:rPr>
          <w:rFonts w:ascii="Times New Roman" w:hAnsi="Times New Roman"/>
          <w:szCs w:val="24"/>
        </w:rPr>
        <w:t>”</w:t>
      </w:r>
      <w:r w:rsidR="004D3FEC" w:rsidRPr="007A5BBC">
        <w:rPr>
          <w:rFonts w:ascii="Times New Roman" w:hAnsi="Times New Roman"/>
          <w:szCs w:val="24"/>
        </w:rPr>
        <w:t xml:space="preserv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77372899"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37C157C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se trickery</w:t>
      </w:r>
      <w:r w:rsidR="00083725">
        <w:rPr>
          <w:rFonts w:ascii="Times New Roman" w:hAnsi="Times New Roman"/>
          <w:szCs w:val="24"/>
        </w:rPr>
        <w:t xml:space="preserve">?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00083725"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pick a lock</w:t>
      </w:r>
      <w:r w:rsidR="00083725" w:rsidRPr="007A5BBC">
        <w:rPr>
          <w:rFonts w:ascii="Times New Roman" w:hAnsi="Times New Roman"/>
          <w:szCs w:val="24"/>
        </w:rPr>
        <w:t xml:space="preserve">? </w:t>
      </w:r>
      <w:r w:rsidRPr="007A5BBC">
        <w:rPr>
          <w:rFonts w:ascii="Times New Roman" w:hAnsi="Times New Roman"/>
          <w:szCs w:val="24"/>
        </w:rPr>
        <w:t xml:space="preserve">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1A1D5F3C"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73DB38C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7DE67CDF"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42673DF" w14:textId="0B7D009F" w:rsidR="00F00740" w:rsidRDefault="00F65F69" w:rsidP="007B589E">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 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B46DC3">
        <w:rPr>
          <w:rFonts w:ascii="Times New Roman" w:hAnsi="Times New Roman"/>
          <w:i/>
          <w:iCs/>
          <w:szCs w:val="24"/>
        </w:rPr>
        <w:t>Id</w:t>
      </w:r>
      <w:r w:rsidR="005F6A8B" w:rsidRPr="00B46DC3">
        <w:rPr>
          <w:rFonts w:ascii="Times New Roman" w:hAnsi="Times New Roman"/>
          <w:i/>
          <w:iCs/>
          <w:szCs w:val="24"/>
        </w:rPr>
        <w:t>.</w:t>
      </w:r>
      <w:r w:rsidR="005F6A8B">
        <w:rPr>
          <w:rFonts w:ascii="Times New Roman" w:hAnsi="Times New Roman"/>
          <w:szCs w:val="24"/>
        </w:rPr>
        <w:t xml:space="preserve"> </w:t>
      </w:r>
      <w:r w:rsidR="007B3D70" w:rsidRPr="007A5BBC">
        <w:rPr>
          <w:rFonts w:ascii="Times New Roman" w:hAnsi="Times New Roman"/>
          <w:szCs w:val="24"/>
        </w:rPr>
        <w:t>The difficulty 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7BC286E0" w14:textId="77777777" w:rsidR="00F00740" w:rsidRPr="007A5BBC" w:rsidRDefault="00F00740" w:rsidP="00572A82">
      <w:pPr>
        <w:jc w:val="both"/>
        <w:rPr>
          <w:rFonts w:ascii="Times New Roman" w:hAnsi="Times New Roman"/>
          <w:szCs w:val="24"/>
        </w:rPr>
      </w:pPr>
    </w:p>
    <w:p w14:paraId="412EF0DF" w14:textId="1126D099" w:rsidR="00D73F50" w:rsidRPr="007A5BBC" w:rsidRDefault="00646EC9" w:rsidP="00C1014B">
      <w:pPr>
        <w:pStyle w:val="Heading2"/>
        <w:spacing w:line="240" w:lineRule="auto"/>
      </w:pPr>
      <w:bookmarkStart w:id="730" w:name="_Toc417380756"/>
      <w:bookmarkStart w:id="731" w:name="_Toc79699082"/>
      <w:bookmarkStart w:id="732" w:name="_Toc79699408"/>
      <w:bookmarkStart w:id="733" w:name="_Toc79699746"/>
      <w:bookmarkStart w:id="734" w:name="_Toc79700066"/>
      <w:bookmarkStart w:id="735" w:name="_Toc79700388"/>
      <w:bookmarkStart w:id="736" w:name="_Toc87039165"/>
      <w:bookmarkStart w:id="737" w:name="_Toc90983561"/>
      <w:r>
        <w:t xml:space="preserve">Cases on </w:t>
      </w:r>
      <w:r w:rsidR="00B613D9" w:rsidRPr="007A5BBC">
        <w:t>E</w:t>
      </w:r>
      <w:r w:rsidR="00903B40" w:rsidRPr="007A5BBC">
        <w:t>nforcement of Liens</w:t>
      </w:r>
      <w:bookmarkEnd w:id="730"/>
      <w:bookmarkEnd w:id="731"/>
      <w:bookmarkEnd w:id="732"/>
      <w:bookmarkEnd w:id="733"/>
      <w:bookmarkEnd w:id="734"/>
      <w:bookmarkEnd w:id="735"/>
      <w:bookmarkEnd w:id="736"/>
      <w:bookmarkEnd w:id="737"/>
      <w:r w:rsidR="00903B40" w:rsidRPr="007A5BBC">
        <w:t xml:space="preserve"> </w:t>
      </w:r>
      <w:bookmarkStart w:id="738" w:name="_Toc79692940"/>
      <w:bookmarkStart w:id="739" w:name="_Toc79693260"/>
      <w:bookmarkStart w:id="740" w:name="_Toc79693580"/>
      <w:bookmarkStart w:id="741" w:name="_Toc79693897"/>
      <w:bookmarkStart w:id="742" w:name="_Toc79694537"/>
      <w:bookmarkStart w:id="743" w:name="_Toc79695165"/>
      <w:bookmarkStart w:id="744" w:name="_Toc79697411"/>
      <w:bookmarkEnd w:id="738"/>
      <w:bookmarkEnd w:id="739"/>
      <w:bookmarkEnd w:id="740"/>
      <w:bookmarkEnd w:id="741"/>
      <w:bookmarkEnd w:id="742"/>
      <w:bookmarkEnd w:id="743"/>
      <w:bookmarkEnd w:id="744"/>
      <w:r w:rsidR="00C1014B">
        <w:br/>
      </w:r>
    </w:p>
    <w:bookmarkStart w:id="745" w:name="_Toc87039166"/>
    <w:p w14:paraId="412EF0E1" w14:textId="4D5D181A" w:rsidR="00991E76" w:rsidRPr="00572A82" w:rsidRDefault="00572A82" w:rsidP="00C1014B">
      <w:pPr>
        <w:pStyle w:val="Heading3"/>
        <w:rPr>
          <w:rStyle w:val="Hyperlink"/>
          <w:color w:val="0070C0"/>
        </w:rPr>
      </w:pPr>
      <w:r w:rsidRPr="00572A82">
        <w:rPr>
          <w:u w:val="single"/>
        </w:rPr>
        <w:fldChar w:fldCharType="begin"/>
      </w:r>
      <w:r w:rsidRPr="00572A82">
        <w:rPr>
          <w:u w:val="single"/>
        </w:rPr>
        <w:instrText xml:space="preserve"> HYPERLINK "https://scholar.google.com/scholar_case?case=17834235023292100581&amp;q=267+S.W.3d+386+&amp;hl=en&amp;as_sdt=6,33" </w:instrText>
      </w:r>
      <w:r w:rsidRPr="00572A82">
        <w:rPr>
          <w:u w:val="single"/>
        </w:rPr>
        <w:fldChar w:fldCharType="separate"/>
      </w:r>
      <w:bookmarkStart w:id="746" w:name="_Toc90983562"/>
      <w:r w:rsidR="00991E76" w:rsidRPr="00572A82">
        <w:rPr>
          <w:rStyle w:val="Hyperlink"/>
        </w:rPr>
        <w:t>C</w:t>
      </w:r>
      <w:r w:rsidR="00E13D7C" w:rsidRPr="00572A82">
        <w:rPr>
          <w:rStyle w:val="Hyperlink"/>
        </w:rPr>
        <w:t>HAPA v. TRAC</w:t>
      </w:r>
      <w:r w:rsidR="00F940A6" w:rsidRPr="00572A82">
        <w:rPr>
          <w:rStyle w:val="Hyperlink"/>
        </w:rPr>
        <w:t>I</w:t>
      </w:r>
      <w:r w:rsidR="00E13D7C" w:rsidRPr="00572A82">
        <w:rPr>
          <w:rStyle w:val="Hyperlink"/>
        </w:rPr>
        <w:t>ERS &amp; ASSOCIATES</w:t>
      </w:r>
      <w:r w:rsidR="006518C2" w:rsidRPr="00572A82">
        <w:rPr>
          <w:rStyle w:val="Hyperlink"/>
        </w:rPr>
        <w:t xml:space="preserve">, </w:t>
      </w:r>
      <w:r w:rsidR="00991E76" w:rsidRPr="00572A82">
        <w:rPr>
          <w:rStyle w:val="Hyperlink"/>
        </w:rPr>
        <w:t>267 S.W.3d 386 (</w:t>
      </w:r>
      <w:r w:rsidR="00D37927" w:rsidRPr="00572A82">
        <w:rPr>
          <w:rStyle w:val="Hyperlink"/>
        </w:rPr>
        <w:t xml:space="preserve">Ct. App. Tex. </w:t>
      </w:r>
      <w:r w:rsidR="00991E76" w:rsidRPr="00572A82">
        <w:rPr>
          <w:rStyle w:val="Hyperlink"/>
        </w:rPr>
        <w:t>2008)</w:t>
      </w:r>
      <w:bookmarkEnd w:id="745"/>
      <w:bookmarkEnd w:id="746"/>
      <w:r w:rsidRPr="00572A82">
        <w:rPr>
          <w:u w:val="single"/>
        </w:rPr>
        <w:fldChar w:fldCharType="end"/>
      </w:r>
      <w:bookmarkStart w:id="747" w:name="_Toc79692941"/>
      <w:bookmarkStart w:id="748" w:name="_Toc79693261"/>
      <w:bookmarkStart w:id="749" w:name="_Toc79693581"/>
      <w:bookmarkStart w:id="750" w:name="_Toc79693898"/>
      <w:bookmarkStart w:id="751" w:name="_Toc79694216"/>
      <w:bookmarkStart w:id="752" w:name="_Toc79694538"/>
      <w:bookmarkStart w:id="753" w:name="_Toc79694850"/>
      <w:bookmarkStart w:id="754" w:name="_Toc79695166"/>
      <w:bookmarkStart w:id="755" w:name="_Toc79695482"/>
      <w:bookmarkStart w:id="756" w:name="_Toc79695798"/>
      <w:bookmarkStart w:id="757" w:name="_Toc79696114"/>
      <w:bookmarkStart w:id="758" w:name="_Toc79696430"/>
      <w:bookmarkStart w:id="759" w:name="_Toc79696751"/>
      <w:bookmarkStart w:id="760" w:name="_Toc79697083"/>
      <w:bookmarkStart w:id="761" w:name="_Toc79697412"/>
      <w:bookmarkStart w:id="762" w:name="_Toc79699083"/>
      <w:bookmarkStart w:id="763" w:name="_Toc79699409"/>
      <w:bookmarkStart w:id="764" w:name="_Toc79699747"/>
      <w:bookmarkStart w:id="765" w:name="_Toc79700067"/>
      <w:bookmarkStart w:id="766" w:name="_Toc79700389"/>
      <w:bookmarkStart w:id="767" w:name="_Toc79700711"/>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r w:rsidR="00C1014B" w:rsidRPr="00572A82">
        <w:rPr>
          <w:rStyle w:val="Hyperlink"/>
          <w:color w:val="0070C0"/>
        </w:rPr>
        <w:br/>
      </w:r>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Acting individually and on behalf of their children, Carlos and Maria Chapa sued Traciers, Chambers, and FMCC. Appellees settled the children's claims but contested the individual claims of Carlos and Maria. </w:t>
      </w:r>
    </w:p>
    <w:p w14:paraId="412EF0E9" w14:textId="49F2F013"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He did not communicate by word or gesture with Carlos or Maria Chapa before or </w:t>
      </w:r>
      <w:r w:rsidRPr="007A5BBC">
        <w:rPr>
          <w:rFonts w:ascii="Times New Roman" w:hAnsi="Times New Roman"/>
          <w:bCs/>
          <w:color w:val="222222"/>
          <w:szCs w:val="24"/>
          <w:shd w:val="clear" w:color="auto" w:fill="FFFFFF"/>
        </w:rPr>
        <w:lastRenderedPageBreak/>
        <w:t>during the attempted repossession. On these facts, we cannot say that Chambers's conduct constitutes a "breach of the peace" as that phrase ordinarily is used in criminal or common law.</w:t>
      </w:r>
    </w:p>
    <w:p w14:paraId="412EF0ED" w14:textId="149360E8"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3"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xml:space="preserve">, 53 (Mo.Ct.App.1996).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74F9688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point to </w:t>
      </w:r>
      <w:hyperlink r:id="rId44" w:history="1">
        <w:r w:rsidR="007B270C">
          <w:rPr>
            <w:rStyle w:val="Hyperlink"/>
            <w:rFonts w:ascii="Times New Roman" w:hAnsi="Times New Roman"/>
            <w:bCs/>
            <w:szCs w:val="24"/>
            <w:shd w:val="clear" w:color="auto" w:fill="FFFFFF"/>
          </w:rPr>
          <w:t>Nixon v. Halpin,</w:t>
        </w:r>
        <w:r w:rsidRPr="00F536B1">
          <w:rPr>
            <w:rStyle w:val="Hyperlink"/>
            <w:rFonts w:ascii="Times New Roman" w:hAnsi="Times New Roman"/>
            <w:bCs/>
            <w:szCs w:val="24"/>
            <w:shd w:val="clear" w:color="auto" w:fill="FFFFFF"/>
          </w:rPr>
          <w:t xml:space="preserve"> 620 So.2d 796 (Fla.Dist.Ct.App.1993)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215DC15C" w:rsidR="00991E76"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24CF9F4B" w14:textId="77777777" w:rsidR="00FF06F5" w:rsidRPr="007A5BBC" w:rsidRDefault="00FF06F5" w:rsidP="00924BE2">
      <w:pPr>
        <w:ind w:firstLine="720"/>
        <w:jc w:val="both"/>
        <w:rPr>
          <w:rFonts w:ascii="Times New Roman" w:hAnsi="Times New Roman"/>
          <w:bCs/>
          <w:color w:val="222222"/>
          <w:szCs w:val="24"/>
          <w:shd w:val="clear" w:color="auto" w:fill="FFFFFF"/>
        </w:rPr>
      </w:pPr>
    </w:p>
    <w:p w14:paraId="412EF0F3" w14:textId="4C1ED4EA" w:rsidR="00991E76" w:rsidRPr="00FF06F5" w:rsidRDefault="007C1024" w:rsidP="00FF06F5">
      <w:pPr>
        <w:pStyle w:val="Heading3"/>
        <w:rPr>
          <w:u w:val="single"/>
        </w:rPr>
      </w:pPr>
      <w:hyperlink r:id="rId45" w:history="1">
        <w:bookmarkStart w:id="768" w:name="_Toc87039167"/>
        <w:bookmarkStart w:id="769" w:name="_Toc90983563"/>
        <w:r w:rsidR="00991E76" w:rsidRPr="00FF06F5">
          <w:rPr>
            <w:rStyle w:val="Hyperlink"/>
          </w:rPr>
          <w:t>JORDAN v.</w:t>
        </w:r>
        <w:r w:rsidR="006518C2" w:rsidRPr="00FF06F5">
          <w:rPr>
            <w:rStyle w:val="Hyperlink"/>
          </w:rPr>
          <w:t xml:space="preserve"> CITIZENS </w:t>
        </w:r>
        <w:r w:rsidR="00F616F2" w:rsidRPr="00FF06F5">
          <w:rPr>
            <w:rStyle w:val="Hyperlink"/>
          </w:rPr>
          <w:t>&amp;</w:t>
        </w:r>
        <w:r w:rsidR="006518C2" w:rsidRPr="00FF06F5">
          <w:rPr>
            <w:rStyle w:val="Hyperlink"/>
          </w:rPr>
          <w:t xml:space="preserve"> SOUTHERN NAT</w:t>
        </w:r>
        <w:r w:rsidR="00F616F2" w:rsidRPr="00FF06F5">
          <w:rPr>
            <w:rStyle w:val="Hyperlink"/>
          </w:rPr>
          <w:t>’L</w:t>
        </w:r>
        <w:r w:rsidR="006518C2" w:rsidRPr="00FF06F5">
          <w:rPr>
            <w:rStyle w:val="Hyperlink"/>
          </w:rPr>
          <w:t xml:space="preserve"> </w:t>
        </w:r>
        <w:r w:rsidR="00991E76" w:rsidRPr="00FF06F5">
          <w:rPr>
            <w:rStyle w:val="Hyperlink"/>
          </w:rPr>
          <w:t>BANK OF SOUTH CAROLINA</w:t>
        </w:r>
        <w:r w:rsidR="006518C2" w:rsidRPr="00FF06F5">
          <w:rPr>
            <w:rStyle w:val="Hyperlink"/>
          </w:rPr>
          <w:t xml:space="preserve">, </w:t>
        </w:r>
        <w:r w:rsidR="00991E76" w:rsidRPr="00FF06F5">
          <w:rPr>
            <w:rStyle w:val="Hyperlink"/>
          </w:rPr>
          <w:t>278 S.C. 449 (1982)</w:t>
        </w:r>
        <w:bookmarkEnd w:id="768"/>
        <w:bookmarkEnd w:id="769"/>
      </w:hyperlink>
      <w:bookmarkStart w:id="770" w:name="_Toc79692942"/>
      <w:bookmarkStart w:id="771" w:name="_Toc79693262"/>
      <w:bookmarkStart w:id="772" w:name="_Toc79693582"/>
      <w:bookmarkStart w:id="773" w:name="_Toc79693899"/>
      <w:bookmarkStart w:id="774" w:name="_Toc79694217"/>
      <w:bookmarkStart w:id="775" w:name="_Toc79694539"/>
      <w:bookmarkStart w:id="776" w:name="_Toc79694851"/>
      <w:bookmarkStart w:id="777" w:name="_Toc79695167"/>
      <w:bookmarkStart w:id="778" w:name="_Toc79695483"/>
      <w:bookmarkStart w:id="779" w:name="_Toc79695799"/>
      <w:bookmarkStart w:id="780" w:name="_Toc79696115"/>
      <w:bookmarkStart w:id="781" w:name="_Toc79696431"/>
      <w:bookmarkStart w:id="782" w:name="_Toc79696752"/>
      <w:bookmarkStart w:id="783" w:name="_Toc79697084"/>
      <w:bookmarkStart w:id="784" w:name="_Toc79697413"/>
      <w:bookmarkStart w:id="785" w:name="_Toc79699084"/>
      <w:bookmarkStart w:id="786" w:name="_Toc79699410"/>
      <w:bookmarkStart w:id="787" w:name="_Toc79699748"/>
      <w:bookmarkStart w:id="788" w:name="_Toc79700068"/>
      <w:bookmarkStart w:id="789" w:name="_Toc79700390"/>
      <w:bookmarkStart w:id="790" w:name="_Toc79700712"/>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FF06F5">
        <w:rPr>
          <w:rStyle w:val="Hyperlink"/>
        </w:rPr>
        <w:br/>
      </w:r>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Appellants financed the truck and failed to make at least two monthly installment payments. On September 29, 1978, at about 11:00 p.m., a Midland Recovery employee, at the </w:t>
      </w:r>
      <w:r w:rsidRPr="007A5BBC">
        <w:rPr>
          <w:rFonts w:ascii="Times New Roman" w:hAnsi="Times New Roman"/>
          <w:bCs/>
          <w:color w:val="222222"/>
          <w:szCs w:val="24"/>
          <w:shd w:val="clear" w:color="auto" w:fill="FFFFFF"/>
        </w:rPr>
        <w:lastRenderedPageBreak/>
        <w:t>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In oral argument, counsel for the Appellants conceded that under the mortgage contract, and the law of this state, the repossession was proper unless it was accompanied by a breach of the peace. It is admitted that the taking of the truck from the premises of the Appellants did not amount to a breach of the peace but it is argued that the conduct of the driver of the truck in speeding, 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30EA4F5E" w14:textId="4977236B" w:rsidR="00FF06F5"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7A96A7DE" w14:textId="77777777" w:rsidR="00854323" w:rsidRPr="007A5BBC" w:rsidRDefault="00854323" w:rsidP="00924BE2">
      <w:pPr>
        <w:jc w:val="both"/>
        <w:rPr>
          <w:rFonts w:ascii="Times New Roman" w:hAnsi="Times New Roman"/>
          <w:bCs/>
          <w:color w:val="222222"/>
          <w:szCs w:val="24"/>
          <w:shd w:val="clear" w:color="auto" w:fill="FFFFFF"/>
        </w:rPr>
      </w:pPr>
    </w:p>
    <w:p w14:paraId="412EF0FB" w14:textId="4AB23937" w:rsidR="00991E76" w:rsidRPr="00FF06F5" w:rsidRDefault="007C1024" w:rsidP="00FF06F5">
      <w:pPr>
        <w:pStyle w:val="Heading3"/>
        <w:rPr>
          <w:color w:val="0000FF"/>
          <w:u w:val="single"/>
        </w:rPr>
      </w:pPr>
      <w:hyperlink r:id="rId46" w:history="1">
        <w:bookmarkStart w:id="791" w:name="_Toc87039168"/>
        <w:bookmarkStart w:id="792" w:name="_Toc90983564"/>
        <w:r w:rsidR="00991E76" w:rsidRPr="00FF06F5">
          <w:rPr>
            <w:rStyle w:val="Hyperlink"/>
          </w:rPr>
          <w:t>C</w:t>
        </w:r>
        <w:r w:rsidR="00E13D7C" w:rsidRPr="00FF06F5">
          <w:rPr>
            <w:rStyle w:val="Hyperlink"/>
          </w:rPr>
          <w:t xml:space="preserve">HERNO v. BANK OF BABYLON, </w:t>
        </w:r>
        <w:r w:rsidR="00991E76" w:rsidRPr="00FF06F5">
          <w:rPr>
            <w:rStyle w:val="Hyperlink"/>
          </w:rPr>
          <w:t>54 Misc.2d 277 (NY 1967)</w:t>
        </w:r>
        <w:bookmarkEnd w:id="791"/>
        <w:bookmarkEnd w:id="792"/>
      </w:hyperlink>
      <w:bookmarkStart w:id="793" w:name="_Toc79692943"/>
      <w:bookmarkStart w:id="794" w:name="_Toc79693263"/>
      <w:bookmarkStart w:id="795" w:name="_Toc79693583"/>
      <w:bookmarkStart w:id="796" w:name="_Toc79693900"/>
      <w:bookmarkStart w:id="797" w:name="_Toc79694218"/>
      <w:bookmarkStart w:id="798" w:name="_Toc79694540"/>
      <w:bookmarkStart w:id="799" w:name="_Toc79694852"/>
      <w:bookmarkStart w:id="800" w:name="_Toc79695168"/>
      <w:bookmarkStart w:id="801" w:name="_Toc79695484"/>
      <w:bookmarkStart w:id="802" w:name="_Toc79695800"/>
      <w:bookmarkStart w:id="803" w:name="_Toc79696116"/>
      <w:bookmarkStart w:id="804" w:name="_Toc79696432"/>
      <w:bookmarkStart w:id="805" w:name="_Toc79696753"/>
      <w:bookmarkStart w:id="806" w:name="_Toc79697085"/>
      <w:bookmarkStart w:id="807" w:name="_Toc79697414"/>
      <w:bookmarkStart w:id="808" w:name="_Toc79699085"/>
      <w:bookmarkStart w:id="809" w:name="_Toc79699411"/>
      <w:bookmarkStart w:id="810" w:name="_Toc79699749"/>
      <w:bookmarkStart w:id="811" w:name="_Toc79700069"/>
      <w:bookmarkStart w:id="812" w:name="_Toc79700391"/>
      <w:bookmarkStart w:id="813" w:name="_Toc79700713"/>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00FF06F5">
        <w:rPr>
          <w:rStyle w:val="Hyperlink"/>
        </w:rPr>
        <w:br/>
      </w:r>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67A4CA60" w14:textId="77777777" w:rsidR="005948A0" w:rsidRDefault="00991E76" w:rsidP="005948A0">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w:t>
      </w:r>
    </w:p>
    <w:p w14:paraId="56D88837" w14:textId="37F4A010" w:rsidR="00FF06F5" w:rsidRPr="007A5BBC" w:rsidRDefault="00991E76" w:rsidP="005948A0">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 </w:t>
      </w:r>
    </w:p>
    <w:p w14:paraId="412EF101" w14:textId="745EFECC" w:rsidR="00991E76" w:rsidRPr="00FF06F5" w:rsidRDefault="007C1024" w:rsidP="00FF06F5">
      <w:pPr>
        <w:pStyle w:val="Heading3"/>
        <w:rPr>
          <w:color w:val="0000FF"/>
          <w:u w:val="single"/>
        </w:rPr>
      </w:pPr>
      <w:hyperlink r:id="rId47" w:history="1">
        <w:bookmarkStart w:id="814" w:name="_Toc79693264"/>
        <w:bookmarkStart w:id="815" w:name="_Toc79693584"/>
        <w:bookmarkStart w:id="816" w:name="_Toc79694541"/>
        <w:bookmarkStart w:id="817" w:name="_Toc79695169"/>
        <w:bookmarkStart w:id="818" w:name="_Toc79697415"/>
        <w:bookmarkStart w:id="819" w:name="_Toc87039169"/>
        <w:bookmarkStart w:id="820" w:name="_Toc90983565"/>
        <w:r w:rsidR="00991E76" w:rsidRPr="00FF06F5">
          <w:rPr>
            <w:rStyle w:val="Heading3Char"/>
            <w:b/>
            <w:color w:val="0000FF"/>
            <w:u w:val="single"/>
          </w:rPr>
          <w:t>B</w:t>
        </w:r>
        <w:r w:rsidR="00E13D7C" w:rsidRPr="00FF06F5">
          <w:rPr>
            <w:rStyle w:val="Heading3Char"/>
            <w:b/>
            <w:color w:val="0000FF"/>
            <w:u w:val="single"/>
          </w:rPr>
          <w:t>IG THREE MOTORS, INC.,</w:t>
        </w:r>
        <w:r w:rsidR="00F536B1" w:rsidRPr="00FF06F5">
          <w:rPr>
            <w:rStyle w:val="Heading3Char"/>
            <w:b/>
            <w:color w:val="0000FF"/>
            <w:u w:val="single"/>
          </w:rPr>
          <w:t xml:space="preserve"> </w:t>
        </w:r>
        <w:r w:rsidR="00991E76" w:rsidRPr="00FF06F5">
          <w:rPr>
            <w:rStyle w:val="Heading3Char"/>
            <w:b/>
            <w:color w:val="0000FF"/>
            <w:u w:val="single"/>
          </w:rPr>
          <w:t>v. R</w:t>
        </w:r>
        <w:r w:rsidR="00A11BBB" w:rsidRPr="00FF06F5">
          <w:rPr>
            <w:rStyle w:val="Heading3Char"/>
            <w:b/>
            <w:color w:val="0000FF"/>
            <w:u w:val="single"/>
          </w:rPr>
          <w:t xml:space="preserve">UTHERFORD, </w:t>
        </w:r>
        <w:r w:rsidR="00991E76" w:rsidRPr="00FF06F5">
          <w:rPr>
            <w:rStyle w:val="Heading3Char"/>
            <w:b/>
            <w:color w:val="0000FF"/>
            <w:u w:val="single"/>
          </w:rPr>
          <w:t>432 So.2d 483 (Ala</w:t>
        </w:r>
        <w:r w:rsidR="0042041A" w:rsidRPr="00FF06F5">
          <w:rPr>
            <w:rStyle w:val="Heading3Char"/>
            <w:b/>
            <w:color w:val="0000FF"/>
            <w:u w:val="single"/>
          </w:rPr>
          <w:t>.</w:t>
        </w:r>
        <w:r w:rsidR="00991E76" w:rsidRPr="00FF06F5">
          <w:rPr>
            <w:rStyle w:val="Heading3Char"/>
            <w:b/>
            <w:color w:val="0000FF"/>
            <w:u w:val="single"/>
          </w:rPr>
          <w:t xml:space="preserve"> 1983</w:t>
        </w:r>
        <w:bookmarkEnd w:id="814"/>
        <w:bookmarkEnd w:id="815"/>
        <w:bookmarkEnd w:id="816"/>
        <w:bookmarkEnd w:id="817"/>
        <w:bookmarkEnd w:id="818"/>
        <w:r w:rsidR="00991E76" w:rsidRPr="00FF06F5">
          <w:rPr>
            <w:rStyle w:val="Hyperlink"/>
            <w:b w:val="0"/>
          </w:rPr>
          <w:t>)</w:t>
        </w:r>
        <w:bookmarkEnd w:id="819"/>
        <w:bookmarkEnd w:id="820"/>
      </w:hyperlink>
      <w:bookmarkStart w:id="821" w:name="_Toc79699086"/>
      <w:bookmarkStart w:id="822" w:name="_Toc79699412"/>
      <w:bookmarkStart w:id="823" w:name="_Toc79699750"/>
      <w:bookmarkStart w:id="824" w:name="_Toc79700070"/>
      <w:bookmarkStart w:id="825" w:name="_Toc79700392"/>
      <w:bookmarkStart w:id="826" w:name="_Toc79700714"/>
      <w:bookmarkEnd w:id="821"/>
      <w:bookmarkEnd w:id="822"/>
      <w:bookmarkEnd w:id="823"/>
      <w:bookmarkEnd w:id="824"/>
      <w:bookmarkEnd w:id="825"/>
      <w:bookmarkEnd w:id="826"/>
      <w:r w:rsidR="00FF06F5">
        <w:rPr>
          <w:rStyle w:val="Hyperlink"/>
          <w:b w:val="0"/>
        </w:rPr>
        <w:br/>
      </w:r>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evidence was conflicting regarding the event surrounding Big Three Motors' repossession of Rutherford's automobile. The Rutherfords asserted that Big Three Motors breached </w:t>
      </w:r>
      <w:r w:rsidRPr="007A5BBC">
        <w:rPr>
          <w:rFonts w:ascii="Times New Roman" w:hAnsi="Times New Roman"/>
          <w:szCs w:val="24"/>
        </w:rPr>
        <w:lastRenderedPageBreak/>
        <w:t>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breach of the peace...." Code 1975 § 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deceive and lull the Rutherfords into a false sense of security with respect to keeping the vehicle and being allowed to make the payments in several days." Rutherford also argues that the witnesses for Big Three Motors testified </w:t>
      </w:r>
      <w:r w:rsidRPr="007A5BBC">
        <w:rPr>
          <w:rFonts w:ascii="Times New Roman" w:hAnsi="Times New Roman"/>
          <w:szCs w:val="24"/>
        </w:rPr>
        <w:lastRenderedPageBreak/>
        <w:t>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of the manner in which they pulled Mrs. Rutherford off the road and repossessed her husband's automobile. </w:t>
      </w:r>
    </w:p>
    <w:p w14:paraId="412EF10B" w14:textId="77777777" w:rsidR="00991E76" w:rsidRPr="007A5BBC" w:rsidRDefault="00991E76" w:rsidP="00991E76">
      <w:pPr>
        <w:rPr>
          <w:rFonts w:ascii="Times New Roman" w:hAnsi="Times New Roman"/>
          <w:b/>
          <w:szCs w:val="24"/>
        </w:rPr>
      </w:pPr>
      <w:r w:rsidRPr="007A5BBC">
        <w:rPr>
          <w:rFonts w:ascii="Times New Roman" w:hAnsi="Times New Roman"/>
          <w:b/>
          <w:szCs w:val="24"/>
        </w:rPr>
        <w:t>TORBERT, Chief Justice (concurring specially).</w:t>
      </w:r>
    </w:p>
    <w:p w14:paraId="412EF10C" w14:textId="2FF76596" w:rsidR="00991E76"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0107BB" w14:textId="77777777" w:rsidR="005C49E0" w:rsidRPr="007A5BBC" w:rsidRDefault="005C49E0" w:rsidP="00924BE2">
      <w:pPr>
        <w:ind w:firstLine="720"/>
        <w:jc w:val="both"/>
        <w:rPr>
          <w:rFonts w:ascii="Times New Roman" w:hAnsi="Times New Roman"/>
          <w:szCs w:val="24"/>
        </w:rPr>
      </w:pPr>
    </w:p>
    <w:p w14:paraId="412EF10E" w14:textId="5F925B69" w:rsidR="00991E76" w:rsidRPr="005C49E0" w:rsidRDefault="007C1024" w:rsidP="005C49E0">
      <w:pPr>
        <w:pStyle w:val="Heading3"/>
        <w:rPr>
          <w:u w:val="single"/>
        </w:rPr>
      </w:pPr>
      <w:hyperlink r:id="rId48" w:history="1">
        <w:bookmarkStart w:id="827" w:name="_Toc87039170"/>
        <w:bookmarkStart w:id="828" w:name="_Toc90983566"/>
        <w:r w:rsidR="00991E76" w:rsidRPr="005C49E0">
          <w:rPr>
            <w:rStyle w:val="Hyperlink"/>
          </w:rPr>
          <w:t>W</w:t>
        </w:r>
        <w:r w:rsidR="00A11BBB" w:rsidRPr="005C49E0">
          <w:rPr>
            <w:rStyle w:val="Hyperlink"/>
          </w:rPr>
          <w:t xml:space="preserve">ALTER KOUBA </w:t>
        </w:r>
        <w:r w:rsidR="00967641" w:rsidRPr="005C49E0">
          <w:rPr>
            <w:rStyle w:val="Hyperlink"/>
          </w:rPr>
          <w:t>v. E</w:t>
        </w:r>
        <w:r w:rsidR="00A11BBB" w:rsidRPr="005C49E0">
          <w:rPr>
            <w:rStyle w:val="Hyperlink"/>
          </w:rPr>
          <w:t xml:space="preserve">AST JOLIET BANK, </w:t>
        </w:r>
        <w:r w:rsidR="00991E76" w:rsidRPr="005C49E0">
          <w:rPr>
            <w:rStyle w:val="Hyperlink"/>
          </w:rPr>
          <w:t>135 Ill. App.</w:t>
        </w:r>
        <w:r w:rsidR="0042041A" w:rsidRPr="005C49E0">
          <w:rPr>
            <w:rStyle w:val="Hyperlink"/>
          </w:rPr>
          <w:t xml:space="preserve"> </w:t>
        </w:r>
        <w:r w:rsidR="00991E76" w:rsidRPr="005C49E0">
          <w:rPr>
            <w:rStyle w:val="Hyperlink"/>
          </w:rPr>
          <w:t>3d 264 (1985)</w:t>
        </w:r>
        <w:bookmarkEnd w:id="827"/>
        <w:bookmarkEnd w:id="828"/>
      </w:hyperlink>
      <w:bookmarkStart w:id="829" w:name="_Toc79692945"/>
      <w:bookmarkStart w:id="830" w:name="_Toc79693265"/>
      <w:bookmarkStart w:id="831" w:name="_Toc79693585"/>
      <w:bookmarkStart w:id="832" w:name="_Toc79693902"/>
      <w:bookmarkStart w:id="833" w:name="_Toc79694220"/>
      <w:bookmarkStart w:id="834" w:name="_Toc79694542"/>
      <w:bookmarkStart w:id="835" w:name="_Toc79694854"/>
      <w:bookmarkStart w:id="836" w:name="_Toc79695170"/>
      <w:bookmarkStart w:id="837" w:name="_Toc79695486"/>
      <w:bookmarkStart w:id="838" w:name="_Toc79695802"/>
      <w:bookmarkStart w:id="839" w:name="_Toc79696118"/>
      <w:bookmarkStart w:id="840" w:name="_Toc79696434"/>
      <w:bookmarkStart w:id="841" w:name="_Toc79696755"/>
      <w:bookmarkStart w:id="842" w:name="_Toc79697087"/>
      <w:bookmarkStart w:id="843" w:name="_Toc79697416"/>
      <w:bookmarkStart w:id="844" w:name="_Toc79699087"/>
      <w:bookmarkStart w:id="845" w:name="_Toc79699413"/>
      <w:bookmarkStart w:id="846" w:name="_Toc79699751"/>
      <w:bookmarkStart w:id="847" w:name="_Toc79700071"/>
      <w:bookmarkStart w:id="848" w:name="_Toc79700393"/>
      <w:bookmarkStart w:id="849" w:name="_Toc79700715"/>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sidR="005C49E0">
        <w:rPr>
          <w:rStyle w:val="Hyperlink"/>
        </w:rPr>
        <w:br/>
      </w:r>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its motion for summary judgment, the bank argued that there was no genuine issue of fact as to its liability since the pleadings and affidavits established that the repossessors were </w:t>
      </w:r>
      <w:r w:rsidRPr="007A5BBC">
        <w:rPr>
          <w:rFonts w:ascii="Times New Roman" w:hAnsi="Times New Roman"/>
          <w:szCs w:val="24"/>
        </w:rPr>
        <w:lastRenderedPageBreak/>
        <w:t>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1EAE0B88" w:rsidR="00991E76" w:rsidRPr="007A5BBC" w:rsidRDefault="00991E76" w:rsidP="00924BE2">
      <w:pPr>
        <w:ind w:firstLine="720"/>
        <w:jc w:val="both"/>
        <w:rPr>
          <w:rFonts w:ascii="Times New Roman" w:hAnsi="Times New Roman"/>
          <w:szCs w:val="24"/>
        </w:rPr>
      </w:pPr>
      <w:r w:rsidRPr="002970A1">
        <w:rPr>
          <w:rFonts w:ascii="Times New Roman" w:hAnsi="Times New Roman"/>
          <w:szCs w:val="24"/>
        </w:rPr>
        <w:t>Section 9-503</w:t>
      </w:r>
      <w:r w:rsidRPr="007A5BBC">
        <w:rPr>
          <w:rFonts w:ascii="Times New Roman" w:hAnsi="Times New Roman"/>
          <w:szCs w:val="24"/>
        </w:rPr>
        <w:t xml:space="preserve"> </w:t>
      </w:r>
      <w:r w:rsidR="002970A1">
        <w:rPr>
          <w:rFonts w:ascii="Times New Roman" w:hAnsi="Times New Roman"/>
          <w:szCs w:val="24"/>
        </w:rPr>
        <w:t xml:space="preserve">[now </w:t>
      </w:r>
      <w:hyperlink w:anchor="U9609" w:history="1">
        <w:r w:rsidR="002970A1" w:rsidRPr="002970A1">
          <w:rPr>
            <w:rStyle w:val="Hyperlink"/>
            <w:rFonts w:ascii="Times New Roman" w:hAnsi="Times New Roman"/>
            <w:szCs w:val="24"/>
          </w:rPr>
          <w:t>UCC 9-609</w:t>
        </w:r>
      </w:hyperlink>
      <w:r w:rsidR="002970A1">
        <w:rPr>
          <w:rFonts w:ascii="Times New Roman" w:hAnsi="Times New Roman"/>
          <w:szCs w:val="24"/>
        </w:rPr>
        <w:t xml:space="preserve">] </w:t>
      </w:r>
      <w:r w:rsidRPr="007A5BBC">
        <w:rPr>
          <w:rFonts w:ascii="Times New Roman" w:hAnsi="Times New Roman"/>
          <w:szCs w:val="24"/>
        </w:rPr>
        <w:t xml:space="preserve">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r w:rsidRPr="002970A1">
        <w:rPr>
          <w:rFonts w:ascii="Times New Roman" w:hAnsi="Times New Roman"/>
          <w:szCs w:val="24"/>
        </w:rPr>
        <w:t>section 9-507</w:t>
      </w:r>
      <w:r w:rsidR="002970A1">
        <w:rPr>
          <w:rFonts w:ascii="Times New Roman" w:hAnsi="Times New Roman"/>
          <w:szCs w:val="24"/>
        </w:rPr>
        <w:t xml:space="preserve"> [now </w:t>
      </w:r>
      <w:hyperlink w:anchor="U9625" w:history="1">
        <w:r w:rsidR="002970A1" w:rsidRPr="002970A1">
          <w:rPr>
            <w:rStyle w:val="Hyperlink"/>
            <w:rFonts w:ascii="Times New Roman" w:hAnsi="Times New Roman"/>
            <w:szCs w:val="24"/>
          </w:rPr>
          <w:t>UCC 9-625]</w:t>
        </w:r>
      </w:hyperlink>
      <w:r w:rsidRPr="007A5BBC">
        <w:rPr>
          <w:rFonts w:ascii="Times New Roman" w:hAnsi="Times New Roman"/>
          <w:szCs w:val="24"/>
        </w:rPr>
        <w:t xml:space="preserve">, which has been construed as granting statutory relief for any violation of article 9, part 5. This includes a breach of the peace under </w:t>
      </w:r>
      <w:r w:rsidRPr="002970A1">
        <w:rPr>
          <w:rFonts w:ascii="Times New Roman" w:hAnsi="Times New Roman"/>
          <w:szCs w:val="24"/>
        </w:rPr>
        <w:t>9-503</w:t>
      </w:r>
      <w:r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4F9002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r w:rsidR="009F563F" w:rsidRPr="002970A1">
        <w:rPr>
          <w:rFonts w:ascii="Times New Roman" w:hAnsi="Times New Roman"/>
          <w:szCs w:val="24"/>
        </w:rPr>
        <w:t>9-507</w:t>
      </w:r>
      <w:r w:rsidRPr="007A5BBC">
        <w:rPr>
          <w:rFonts w:ascii="Times New Roman" w:hAnsi="Times New Roman"/>
          <w:szCs w:val="24"/>
        </w:rPr>
        <w:t xml:space="preserve">, by its terms, applies after disposition of the collateral. There has been no disposition here. There is also a question as to whether </w:t>
      </w:r>
      <w:r w:rsidR="009F563F" w:rsidRPr="002970A1">
        <w:rPr>
          <w:rFonts w:ascii="Times New Roman" w:hAnsi="Times New Roman"/>
          <w:szCs w:val="24"/>
        </w:rPr>
        <w:t>9-507</w:t>
      </w:r>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r w:rsidR="009F563F" w:rsidRPr="002970A1">
        <w:rPr>
          <w:rFonts w:ascii="Times New Roman" w:hAnsi="Times New Roman"/>
          <w:szCs w:val="24"/>
        </w:rPr>
        <w:t>9-503</w:t>
      </w:r>
      <w:r w:rsidRPr="007A5BBC">
        <w:rPr>
          <w:rFonts w:ascii="Times New Roman" w:hAnsi="Times New Roman"/>
          <w:szCs w:val="24"/>
        </w:rPr>
        <w:t>. There are no Illinois cases on point.</w:t>
      </w:r>
    </w:p>
    <w:p w14:paraId="412EF116" w14:textId="7D4D51F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r w:rsidR="009F563F" w:rsidRPr="002970A1">
        <w:rPr>
          <w:rFonts w:ascii="Times New Roman" w:hAnsi="Times New Roman"/>
          <w:szCs w:val="24"/>
        </w:rPr>
        <w:t>9-507</w:t>
      </w:r>
      <w:r w:rsidRPr="007A5BBC">
        <w:rPr>
          <w:rFonts w:ascii="Times New Roman" w:hAnsi="Times New Roman"/>
          <w:szCs w:val="24"/>
        </w:rPr>
        <w:t xml:space="preserve">. The plaintiffs have failed to specifically plead a statutory remedy under </w:t>
      </w:r>
      <w:r w:rsidR="009F563F" w:rsidRPr="002970A1">
        <w:rPr>
          <w:rFonts w:ascii="Times New Roman" w:hAnsi="Times New Roman"/>
          <w:szCs w:val="24"/>
        </w:rPr>
        <w:t>9-507</w:t>
      </w:r>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record reveals that the repossessors were not on the bank's payroll and were paid on a per car, flat-fee basis. The repossessors exercised complete discretion as to how and when the 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77777777" w:rsidR="00991E76" w:rsidRPr="007A5BBC" w:rsidRDefault="00991E76" w:rsidP="00924BE2">
      <w:pPr>
        <w:jc w:val="both"/>
        <w:rPr>
          <w:rFonts w:ascii="Times New Roman" w:hAnsi="Times New Roman"/>
          <w:b/>
          <w:szCs w:val="24"/>
        </w:rPr>
      </w:pPr>
      <w:r w:rsidRPr="007A5BBC">
        <w:rPr>
          <w:rFonts w:ascii="Times New Roman" w:hAnsi="Times New Roman"/>
          <w:b/>
          <w:szCs w:val="24"/>
        </w:rPr>
        <w:t>JUSTICE STOUDER, dissenting:</w:t>
      </w:r>
    </w:p>
    <w:p w14:paraId="412EF11D" w14:textId="4B2C72B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of the repossessors constituted a breach of the peace. The majority relies upon an agency theory to relieve the bank of potential liability seemingly on the premise that because the plaintiff did not specifically plead a remedy under section </w:t>
      </w:r>
      <w:r w:rsidR="009F563F" w:rsidRPr="002970A1">
        <w:rPr>
          <w:rFonts w:ascii="Times New Roman" w:hAnsi="Times New Roman"/>
          <w:szCs w:val="24"/>
        </w:rPr>
        <w:t>9-507</w:t>
      </w:r>
      <w:r w:rsidRPr="007A5BBC">
        <w:rPr>
          <w:rFonts w:ascii="Times New Roman" w:hAnsi="Times New Roman"/>
          <w:szCs w:val="24"/>
        </w:rPr>
        <w:t xml:space="preserve"> of the Uniform Commercial Code that the Code does not apply and that the common law must be resorted to. Section </w:t>
      </w:r>
      <w:r w:rsidR="009F563F" w:rsidRPr="002970A1">
        <w:rPr>
          <w:rFonts w:ascii="Times New Roman" w:hAnsi="Times New Roman"/>
          <w:szCs w:val="24"/>
        </w:rPr>
        <w:t>9-507</w:t>
      </w:r>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r w:rsidR="009F563F" w:rsidRPr="002970A1">
        <w:rPr>
          <w:rFonts w:ascii="Times New Roman" w:hAnsi="Times New Roman"/>
          <w:szCs w:val="24"/>
        </w:rPr>
        <w:t>9-507</w:t>
      </w:r>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r w:rsidR="009F563F" w:rsidRPr="002970A1">
        <w:rPr>
          <w:rFonts w:ascii="Times New Roman" w:hAnsi="Times New Roman"/>
          <w:szCs w:val="24"/>
        </w:rPr>
        <w:t>9-503</w:t>
      </w:r>
      <w:r w:rsidRPr="007A5BBC">
        <w:rPr>
          <w:rFonts w:ascii="Times New Roman" w:hAnsi="Times New Roman"/>
          <w:szCs w:val="24"/>
        </w:rPr>
        <w:t>. Therefore, recovery of a liquidated amount is by no means an exclusive remedy for a breach of the peace.</w:t>
      </w:r>
    </w:p>
    <w:p w14:paraId="412EF11E" w14:textId="15FD12E9"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r w:rsidR="009F563F" w:rsidRPr="002970A1">
        <w:rPr>
          <w:rFonts w:ascii="Times New Roman" w:hAnsi="Times New Roman"/>
          <w:szCs w:val="24"/>
        </w:rPr>
        <w:t>9-507</w:t>
      </w:r>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r w:rsidR="009F563F" w:rsidRPr="002970A1">
        <w:rPr>
          <w:rFonts w:ascii="Times New Roman" w:hAnsi="Times New Roman"/>
          <w:szCs w:val="24"/>
        </w:rPr>
        <w:t>9-507</w:t>
      </w:r>
      <w:r w:rsidRPr="007A5BBC">
        <w:rPr>
          <w:rFonts w:ascii="Times New Roman" w:hAnsi="Times New Roman"/>
          <w:szCs w:val="24"/>
        </w:rPr>
        <w:t xml:space="preserve">, nor does it mean that the bank has no liability for failing to comply with </w:t>
      </w:r>
      <w:r w:rsidR="009F563F" w:rsidRPr="002970A1">
        <w:rPr>
          <w:rFonts w:ascii="Times New Roman" w:hAnsi="Times New Roman"/>
          <w:szCs w:val="24"/>
        </w:rPr>
        <w:t>9-503</w:t>
      </w:r>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r w:rsidR="009F563F" w:rsidRPr="002970A1">
        <w:rPr>
          <w:rFonts w:ascii="Times New Roman" w:hAnsi="Times New Roman"/>
          <w:szCs w:val="24"/>
        </w:rPr>
        <w:t>9-503</w:t>
      </w:r>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49" w:history="1">
        <w:r w:rsidRPr="009F563F">
          <w:rPr>
            <w:rStyle w:val="Hyperlink"/>
            <w:rFonts w:ascii="Times New Roman" w:hAnsi="Times New Roman"/>
            <w:szCs w:val="24"/>
          </w:rPr>
          <w:t>Henderson v. Security National Bank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r w:rsidR="009F563F" w:rsidRPr="002970A1">
        <w:rPr>
          <w:rFonts w:ascii="Times New Roman" w:hAnsi="Times New Roman"/>
          <w:szCs w:val="24"/>
        </w:rPr>
        <w:t>9-503</w:t>
      </w:r>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w:t>
      </w:r>
      <w:r w:rsidRPr="007A5BBC">
        <w:rPr>
          <w:rFonts w:ascii="Times New Roman" w:hAnsi="Times New Roman"/>
          <w:szCs w:val="24"/>
        </w:rPr>
        <w:lastRenderedPageBreak/>
        <w:t>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1C8EB798" w14:textId="00B2F45A" w:rsidR="005948A0" w:rsidRDefault="00991E76" w:rsidP="00854323">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r w:rsidR="009F563F" w:rsidRPr="002970A1">
        <w:rPr>
          <w:rFonts w:ascii="Times New Roman" w:hAnsi="Times New Roman"/>
          <w:szCs w:val="24"/>
        </w:rPr>
        <w:t>9-503</w:t>
      </w:r>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r w:rsidRPr="002970A1">
        <w:rPr>
          <w:rFonts w:ascii="Times New Roman" w:hAnsi="Times New Roman"/>
          <w:szCs w:val="24"/>
        </w:rPr>
        <w:t>9-504</w:t>
      </w:r>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bookmarkStart w:id="850" w:name="_Toc417380757"/>
      <w:bookmarkStart w:id="851" w:name="OLE_LINK217"/>
      <w:bookmarkStart w:id="852" w:name="OLE_LINK218"/>
    </w:p>
    <w:p w14:paraId="5433BAE5" w14:textId="77777777" w:rsidR="005948A0" w:rsidRPr="00A349AB" w:rsidRDefault="005948A0" w:rsidP="00A349AB">
      <w:pPr>
        <w:ind w:firstLine="720"/>
        <w:jc w:val="both"/>
        <w:rPr>
          <w:rFonts w:ascii="Times New Roman" w:hAnsi="Times New Roman"/>
          <w:szCs w:val="24"/>
        </w:rPr>
      </w:pPr>
    </w:p>
    <w:p w14:paraId="412EF121" w14:textId="34612BD0" w:rsidR="004B0460" w:rsidRPr="007A5BBC" w:rsidRDefault="00991E76" w:rsidP="005C49E0">
      <w:pPr>
        <w:pStyle w:val="Heading2"/>
        <w:spacing w:line="240" w:lineRule="auto"/>
      </w:pPr>
      <w:bookmarkStart w:id="853" w:name="_Toc79699088"/>
      <w:bookmarkStart w:id="854" w:name="_Toc79699414"/>
      <w:bookmarkStart w:id="855" w:name="_Toc79699752"/>
      <w:bookmarkStart w:id="856" w:name="_Toc79700072"/>
      <w:bookmarkStart w:id="857" w:name="_Toc79700394"/>
      <w:bookmarkStart w:id="858" w:name="_Toc87039171"/>
      <w:bookmarkStart w:id="859" w:name="_Toc90983567"/>
      <w:r w:rsidRPr="007A5BBC">
        <w:t>P</w:t>
      </w:r>
      <w:r w:rsidR="00A11BBB">
        <w:t>ractice Problems</w:t>
      </w:r>
      <w:r w:rsidR="007F7919" w:rsidRPr="007A5BBC">
        <w:t>: Enforcement of Liens and Claims</w:t>
      </w:r>
      <w:bookmarkStart w:id="860" w:name="_Toc79692946"/>
      <w:bookmarkStart w:id="861" w:name="_Toc79693266"/>
      <w:bookmarkStart w:id="862" w:name="_Toc79693586"/>
      <w:bookmarkStart w:id="863" w:name="_Toc79693903"/>
      <w:bookmarkStart w:id="864" w:name="_Toc79694543"/>
      <w:bookmarkStart w:id="865" w:name="_Toc79695171"/>
      <w:bookmarkStart w:id="866" w:name="_Toc79697417"/>
      <w:bookmarkEnd w:id="850"/>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5C49E0">
        <w:br/>
      </w:r>
    </w:p>
    <w:p w14:paraId="0C64D7B0" w14:textId="711769F4" w:rsidR="00A11BBB" w:rsidRDefault="00A11BBB" w:rsidP="005C49E0">
      <w:pPr>
        <w:pStyle w:val="0-NORMAL"/>
      </w:pPr>
      <w:r w:rsidRPr="00406CD8">
        <w:rPr>
          <w:b/>
        </w:rPr>
        <w:t>Problem 1</w:t>
      </w:r>
      <w:r w:rsidR="005C49E0">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Could the creditor enter the repair shop at night to repossess the piano</w:t>
      </w:r>
      <w:r w:rsidR="00083725" w:rsidRPr="007A5BBC">
        <w:t xml:space="preserve">? </w:t>
      </w:r>
    </w:p>
    <w:p w14:paraId="12133E4F" w14:textId="54AC0656" w:rsidR="00285386" w:rsidRDefault="00991E76" w:rsidP="005C49E0">
      <w:pPr>
        <w:pStyle w:val="ListParagraph"/>
        <w:numPr>
          <w:ilvl w:val="0"/>
          <w:numId w:val="0"/>
        </w:numPr>
        <w:ind w:left="1495"/>
      </w:pPr>
      <w:r w:rsidRPr="003A2EEC">
        <w:t>NOTES</w:t>
      </w:r>
      <w:r w:rsidR="004B0460" w:rsidRPr="003A2EEC">
        <w:t xml:space="preserve">: </w:t>
      </w:r>
      <w:r w:rsidRPr="003A2EEC">
        <w:rPr>
          <w:i/>
        </w:rPr>
        <w:t>Girard v. Anderson</w:t>
      </w:r>
      <w:r w:rsidRPr="003A2EEC">
        <w:t xml:space="preserve">, 257 N.W. 400, 402–03 (Iowa 1934) (Repossession of a piano </w:t>
      </w:r>
      <w:r w:rsidR="00443CCA" w:rsidRPr="003A2EEC">
        <w:t xml:space="preserve">by entry </w:t>
      </w:r>
      <w:r w:rsidRPr="003A2EEC">
        <w:t xml:space="preserve">through </w:t>
      </w:r>
      <w:r w:rsidR="00443CCA" w:rsidRPr="003A2EEC">
        <w:t xml:space="preserve">the door of </w:t>
      </w:r>
      <w:r w:rsidRPr="003A2EEC">
        <w:t xml:space="preserve">a debtor’s residence was found to be a breach of the peace even though the door was supposedly unlocked). </w:t>
      </w:r>
      <w:hyperlink r:id="rId50" w:history="1">
        <w:r w:rsidRPr="003A2EEC">
          <w:rPr>
            <w:rStyle w:val="Hyperlink"/>
            <w:i/>
            <w:szCs w:val="24"/>
          </w:rPr>
          <w:t>Martin v. Dorn Equip</w:t>
        </w:r>
        <w:r w:rsidRPr="003A2EEC">
          <w:rPr>
            <w:rStyle w:val="Hyperlink"/>
            <w:szCs w:val="24"/>
          </w:rPr>
          <w:t>., 821 P.2d 1025, 1026–28 (Mont. 1991)</w:t>
        </w:r>
      </w:hyperlink>
      <w:r w:rsidRPr="003A2EEC">
        <w:t xml:space="preserve"> (cutting chains connected to a lock is </w:t>
      </w:r>
      <w:r w:rsidR="003C6FD2">
        <w:t xml:space="preserve">a </w:t>
      </w:r>
      <w:r w:rsidRPr="003A2EEC">
        <w:t xml:space="preserve">breach of the peace); </w:t>
      </w:r>
      <w:hyperlink r:id="rId51" w:history="1">
        <w:r w:rsidRPr="003A2EEC">
          <w:rPr>
            <w:rStyle w:val="Hyperlink"/>
            <w:i/>
            <w:szCs w:val="24"/>
          </w:rPr>
          <w:t>Williamson v. Fowler Toyota, Inc</w:t>
        </w:r>
        <w:r w:rsidRPr="003A2EEC">
          <w:rPr>
            <w:rStyle w:val="Hyperlink"/>
            <w:szCs w:val="24"/>
          </w:rPr>
          <w:t>., 956 P.2d 858, 859, 862 (Okla. 1998)</w:t>
        </w:r>
      </w:hyperlink>
      <w:r w:rsidRPr="003A2EEC">
        <w:t xml:space="preserve"> (cutting gate’s chain without permission is a breach of the peace); </w:t>
      </w:r>
      <w:hyperlink r:id="rId52" w:history="1">
        <w:r w:rsidRPr="003A2EEC">
          <w:rPr>
            <w:rStyle w:val="Hyperlink"/>
            <w:i/>
            <w:szCs w:val="24"/>
          </w:rPr>
          <w:t>Davenport v. Chrysler Credit Corp</w:t>
        </w:r>
        <w:r w:rsidRPr="003A2EEC">
          <w:rPr>
            <w:rStyle w:val="Hyperlink"/>
            <w:szCs w:val="24"/>
          </w:rPr>
          <w:t>., 818 S.W.2d 23, 26, 29–30 (Tenn. Ct. App. 1991)</w:t>
        </w:r>
      </w:hyperlink>
      <w:r w:rsidRPr="003A2EEC">
        <w:t xml:space="preserve"> (entering garage and cutting chains that attached car to post in garage to repossess the car is a breach of the peace).</w:t>
      </w:r>
    </w:p>
    <w:p w14:paraId="3ACB9D05" w14:textId="7FCAB75B" w:rsidR="003A2EEC" w:rsidRDefault="00A11BBB" w:rsidP="003A2EEC">
      <w:pPr>
        <w:pStyle w:val="0-NORMAL"/>
      </w:pPr>
      <w:r w:rsidRPr="00406CD8">
        <w:rPr>
          <w:b/>
        </w:rPr>
        <w:t>Problem 2</w:t>
      </w:r>
      <w:r w:rsidR="005C49E0">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p>
    <w:p w14:paraId="26C86B34" w14:textId="765C6EE4" w:rsidR="00A11BBB" w:rsidRDefault="00991E76" w:rsidP="005C49E0">
      <w:pPr>
        <w:pStyle w:val="ListParagraph"/>
        <w:numPr>
          <w:ilvl w:val="0"/>
          <w:numId w:val="0"/>
        </w:numPr>
        <w:ind w:left="1495"/>
      </w:pPr>
      <w:r w:rsidRPr="003A2EEC">
        <w:t xml:space="preserve">NOTES: </w:t>
      </w:r>
      <w:r w:rsidR="00903B40" w:rsidRPr="003A2EEC">
        <w:t xml:space="preserve">Assistance of </w:t>
      </w:r>
      <w:r w:rsidR="00581AC6" w:rsidRPr="003A2EEC">
        <w:t>l</w:t>
      </w:r>
      <w:r w:rsidR="00903B40" w:rsidRPr="003A2EEC">
        <w:t xml:space="preserve">aw </w:t>
      </w:r>
      <w:r w:rsidR="00581AC6" w:rsidRPr="003A2EEC">
        <w:t>enforcement is a per se breach of the peace</w:t>
      </w:r>
      <w:r w:rsidR="005F6A8B" w:rsidRPr="003A2EEC">
        <w:t xml:space="preserve">. </w:t>
      </w:r>
      <w:r w:rsidR="00581AC6" w:rsidRPr="008C3330">
        <w:rPr>
          <w:i/>
          <w:iCs/>
        </w:rPr>
        <w:t>S</w:t>
      </w:r>
      <w:r w:rsidR="00903B40" w:rsidRPr="008C3330">
        <w:rPr>
          <w:i/>
          <w:iCs/>
        </w:rPr>
        <w:t xml:space="preserve">ee </w:t>
      </w:r>
      <w:hyperlink r:id="rId53" w:history="1">
        <w:r w:rsidRPr="005C49E0">
          <w:rPr>
            <w:rStyle w:val="Hyperlink"/>
            <w:i/>
            <w:iCs/>
            <w:szCs w:val="24"/>
          </w:rPr>
          <w:t>Harris</w:t>
        </w:r>
        <w:r w:rsidR="00581AC6" w:rsidRPr="005C49E0">
          <w:rPr>
            <w:rStyle w:val="Hyperlink"/>
            <w:i/>
            <w:iCs/>
            <w:szCs w:val="24"/>
          </w:rPr>
          <w:t xml:space="preserve"> v. City of Roseburg</w:t>
        </w:r>
        <w:r w:rsidRPr="003A2EEC">
          <w:rPr>
            <w:rStyle w:val="Hyperlink"/>
            <w:szCs w:val="24"/>
          </w:rPr>
          <w:t>, 664 F.2d at 112</w:t>
        </w:r>
        <w:r w:rsidR="00581AC6" w:rsidRPr="003A2EEC">
          <w:rPr>
            <w:rStyle w:val="Hyperlink"/>
            <w:szCs w:val="24"/>
          </w:rPr>
          <w:t>1 (9th Cir. 1981)</w:t>
        </w:r>
      </w:hyperlink>
      <w:r w:rsidR="009F563F" w:rsidRPr="003A2EEC">
        <w:t xml:space="preserve"> (no violation where officer out of sight)</w:t>
      </w:r>
      <w:r w:rsidRPr="003A2EEC">
        <w:t xml:space="preserve">; </w:t>
      </w:r>
      <w:hyperlink r:id="rId54" w:history="1">
        <w:r w:rsidRPr="005C49E0">
          <w:rPr>
            <w:rStyle w:val="Hyperlink"/>
            <w:i/>
            <w:iCs/>
            <w:szCs w:val="24"/>
          </w:rPr>
          <w:t>Jackson v. Richards</w:t>
        </w:r>
        <w:r w:rsidRPr="003A2EEC">
          <w:rPr>
            <w:rStyle w:val="Hyperlink"/>
            <w:szCs w:val="24"/>
          </w:rPr>
          <w:t>, 433 A.2d 888, 895–96, n.11 (Pa. Super. Ct. 1981)</w:t>
        </w:r>
      </w:hyperlink>
      <w:r w:rsidRPr="003A2EEC">
        <w:t xml:space="preserve">; </w:t>
      </w:r>
      <w:hyperlink r:id="rId55" w:history="1">
        <w:r w:rsidRPr="005C49E0">
          <w:rPr>
            <w:rStyle w:val="Hyperlink"/>
            <w:i/>
            <w:iCs/>
            <w:szCs w:val="24"/>
          </w:rPr>
          <w:t>Stone Mach. Co. v. Kessler</w:t>
        </w:r>
        <w:r w:rsidRPr="003A2EEC">
          <w:rPr>
            <w:rStyle w:val="Hyperlink"/>
            <w:szCs w:val="24"/>
          </w:rPr>
          <w:t>, 1 Wash. App. 750, 757, 463 P.2d 651, 655 (1970)</w:t>
        </w:r>
      </w:hyperlink>
      <w:r w:rsidR="004751D0" w:rsidRPr="003A2EEC">
        <w:t xml:space="preserve">. </w:t>
      </w:r>
    </w:p>
    <w:p w14:paraId="11475459" w14:textId="02961B8D" w:rsidR="00A11BBB" w:rsidRDefault="00A11BBB" w:rsidP="00DB2210">
      <w:pPr>
        <w:pStyle w:val="0-NORMAL"/>
      </w:pPr>
      <w:r w:rsidRPr="00406CD8">
        <w:rPr>
          <w:b/>
        </w:rPr>
        <w:t>Problem 3</w:t>
      </w:r>
      <w:r w:rsidR="005C49E0">
        <w:t xml:space="preserve">. </w:t>
      </w:r>
      <w:r w:rsidR="00991E76" w:rsidRPr="007A5BBC">
        <w:t>After repossessing the car, CarBank sells it at a private auction without giving a notice of sale to the debtor</w:t>
      </w:r>
      <w:r w:rsidR="005F6A8B">
        <w:t xml:space="preserve">. </w:t>
      </w:r>
      <w:r w:rsidR="00991E76" w:rsidRPr="007A5BBC">
        <w:t xml:space="preserve">What are the consequences to CarBank of failing to give notice of </w:t>
      </w:r>
      <w:r w:rsidR="00991E76" w:rsidRPr="007A5BBC">
        <w:lastRenderedPageBreak/>
        <w:t>the sale to the debtor, if any?</w:t>
      </w:r>
      <w:r w:rsidR="00C113C2">
        <w:t xml:space="preserve"> Read UCC § </w:t>
      </w:r>
      <w:hyperlink w:anchor="U9610" w:history="1">
        <w:r w:rsidR="00C113C2" w:rsidRPr="002970A1">
          <w:rPr>
            <w:rStyle w:val="Hyperlink"/>
          </w:rPr>
          <w:t>9-610(a) and (b),</w:t>
        </w:r>
      </w:hyperlink>
      <w:r w:rsidR="00C113C2">
        <w:t xml:space="preserve"> </w:t>
      </w:r>
      <w:hyperlink w:anchor="U9611" w:history="1">
        <w:r w:rsidR="00E92EC9" w:rsidRPr="002970A1">
          <w:rPr>
            <w:rStyle w:val="Hyperlink"/>
          </w:rPr>
          <w:t>9-611(b)</w:t>
        </w:r>
      </w:hyperlink>
      <w:r w:rsidR="00E92EC9">
        <w:t xml:space="preserve">, </w:t>
      </w:r>
      <w:hyperlink w:anchor="U9625" w:history="1">
        <w:r w:rsidR="00E92EC9" w:rsidRPr="002970A1">
          <w:rPr>
            <w:rStyle w:val="Hyperlink"/>
          </w:rPr>
          <w:t>9-625(b)</w:t>
        </w:r>
      </w:hyperlink>
      <w:r w:rsidR="00E92EC9">
        <w:t xml:space="preserve"> and (e), </w:t>
      </w:r>
      <w:hyperlink w:anchor="U9626" w:history="1">
        <w:r w:rsidR="00E92EC9" w:rsidRPr="002970A1">
          <w:rPr>
            <w:rStyle w:val="Hyperlink"/>
          </w:rPr>
          <w:t>9-626</w:t>
        </w:r>
      </w:hyperlink>
      <w:r w:rsidR="00E92EC9">
        <w:t>(a)(3) and (b).</w:t>
      </w:r>
    </w:p>
    <w:p w14:paraId="412EF12A" w14:textId="69E02B5C" w:rsidR="00991E76" w:rsidRDefault="00A11BBB" w:rsidP="00406CD8">
      <w:pPr>
        <w:pStyle w:val="0-NORMAL"/>
      </w:pPr>
      <w:r w:rsidRPr="00406CD8">
        <w:rPr>
          <w:b/>
        </w:rPr>
        <w:t>Problem 4</w:t>
      </w:r>
      <w:r w:rsidR="001A5F10">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8C3330">
        <w:rPr>
          <w:i/>
          <w:iCs/>
        </w:rPr>
        <w:t>See</w:t>
      </w:r>
      <w:r w:rsidR="00FD2E25" w:rsidRPr="008C3330">
        <w:rPr>
          <w:i/>
          <w:iCs/>
        </w:rPr>
        <w:t xml:space="preserve"> </w:t>
      </w:r>
      <w:r w:rsidR="00FD2E25" w:rsidRPr="007A5BBC">
        <w:t>UCC §</w:t>
      </w:r>
      <w:hyperlink w:anchor="U9620" w:history="1">
        <w:r w:rsidR="00FD2E25" w:rsidRPr="004273BC">
          <w:rPr>
            <w:rStyle w:val="Hyperlink"/>
          </w:rPr>
          <w:t xml:space="preserve"> 9-620</w:t>
        </w:r>
      </w:hyperlink>
      <w:r w:rsidR="00FD2E25" w:rsidRPr="007A5BBC">
        <w:t xml:space="preserve"> (validating</w:t>
      </w:r>
      <w:r w:rsidR="00991E76" w:rsidRPr="007A5BBC">
        <w:t xml:space="preserve"> strict foreclosure letters like these, but only if the debtor has not already paid at least 60% of the cash price of the consumer goods); </w:t>
      </w:r>
      <w:r w:rsidR="00991E76" w:rsidRPr="008C3330">
        <w:rPr>
          <w:i/>
          <w:iCs/>
        </w:rPr>
        <w:t>see also</w:t>
      </w:r>
      <w:r w:rsidR="00991E76" w:rsidRPr="007A5BBC">
        <w:t xml:space="preserve"> </w:t>
      </w:r>
      <w:hyperlink r:id="rId56" w:history="1">
        <w:r w:rsidR="00991E76" w:rsidRPr="00CD460F">
          <w:rPr>
            <w:rStyle w:val="Hyperlink"/>
            <w:i/>
          </w:rPr>
          <w:t>Reeves v. Foutz &amp; Tanner</w:t>
        </w:r>
        <w:r w:rsidR="00991E76" w:rsidRPr="009F563F">
          <w:rPr>
            <w:rStyle w:val="Hyperlink"/>
          </w:rPr>
          <w:t>, 94 N.M. 760 (1980)</w:t>
        </w:r>
      </w:hyperlink>
      <w:r w:rsidR="00991E76" w:rsidRPr="007A5BBC">
        <w:t>.</w:t>
      </w:r>
    </w:p>
    <w:p w14:paraId="51E45B01" w14:textId="77777777" w:rsidR="005948A0" w:rsidRPr="007A5BBC" w:rsidRDefault="005948A0" w:rsidP="00854323">
      <w:pPr>
        <w:pStyle w:val="0-NORMAL"/>
        <w:ind w:firstLine="0"/>
      </w:pPr>
    </w:p>
    <w:p w14:paraId="3120EC64" w14:textId="1E0F6A80" w:rsidR="00A349AB" w:rsidRDefault="00A349AB" w:rsidP="005C49E0">
      <w:pPr>
        <w:pStyle w:val="Heading2"/>
        <w:spacing w:line="240" w:lineRule="auto"/>
      </w:pPr>
      <w:bookmarkStart w:id="867" w:name="_Toc79699089"/>
      <w:bookmarkStart w:id="868" w:name="_Toc79699415"/>
      <w:bookmarkStart w:id="869" w:name="_Toc79699753"/>
      <w:bookmarkStart w:id="870" w:name="_Toc79700073"/>
      <w:bookmarkStart w:id="871" w:name="_Toc79700395"/>
      <w:bookmarkStart w:id="872" w:name="_Toc87039172"/>
      <w:bookmarkStart w:id="873" w:name="_Toc90983568"/>
      <w:bookmarkStart w:id="874" w:name="_Hlk90561357"/>
      <w:r w:rsidRPr="00C02ED3">
        <w:t>Consignments</w:t>
      </w:r>
      <w:bookmarkStart w:id="875" w:name="_Toc79692947"/>
      <w:bookmarkStart w:id="876" w:name="_Toc79693267"/>
      <w:bookmarkStart w:id="877" w:name="_Toc79693587"/>
      <w:bookmarkStart w:id="878" w:name="_Toc79693904"/>
      <w:bookmarkStart w:id="879" w:name="_Toc79694544"/>
      <w:bookmarkStart w:id="880" w:name="_Toc79695172"/>
      <w:bookmarkStart w:id="881" w:name="_Toc79697418"/>
      <w:bookmarkEnd w:id="867"/>
      <w:bookmarkEnd w:id="868"/>
      <w:bookmarkEnd w:id="869"/>
      <w:bookmarkEnd w:id="870"/>
      <w:bookmarkEnd w:id="871"/>
      <w:bookmarkEnd w:id="872"/>
      <w:bookmarkEnd w:id="873"/>
      <w:bookmarkEnd w:id="875"/>
      <w:bookmarkEnd w:id="876"/>
      <w:bookmarkEnd w:id="877"/>
      <w:bookmarkEnd w:id="878"/>
      <w:bookmarkEnd w:id="879"/>
      <w:bookmarkEnd w:id="880"/>
      <w:bookmarkEnd w:id="881"/>
      <w:r w:rsidR="005C49E0">
        <w:br/>
      </w:r>
    </w:p>
    <w:bookmarkEnd w:id="874"/>
    <w:p w14:paraId="395343DB" w14:textId="73B82F4F" w:rsidR="002A2D8C" w:rsidRDefault="00FE4940" w:rsidP="002A2D8C">
      <w:pPr>
        <w:pStyle w:val="0-NORMAL"/>
      </w:pPr>
      <w:r>
        <w:t>You are shopping for antique furniture at a retail store. You decide to buy a dining room table for $1,000. Suppose the dealer has borrowed $100,000 from a bank to finance its inventory, and has given the bank a security interest in its inventory, which the bank duly perfected. Also suppose that, unknown to you, the dealer is in default on its financing agreement with the bank. After you have paid for the table and taken it home, a bank officer comes to your house to repossess the table because the dealer was in default under the financing agreement. Do we expect customers like you to search the UCC records before buying furniture from a retail store</w:t>
      </w:r>
      <w:r w:rsidR="002A2D8C">
        <w:t xml:space="preserve"> to assure that they are getting clear title</w:t>
      </w:r>
      <w:r>
        <w:t>?</w:t>
      </w:r>
    </w:p>
    <w:p w14:paraId="38287617" w14:textId="7BFBE2A1" w:rsidR="00FE4940" w:rsidRDefault="00FE4940" w:rsidP="002A2D8C">
      <w:pPr>
        <w:pStyle w:val="0-NORMAL"/>
      </w:pPr>
      <w:bookmarkStart w:id="882" w:name="_Hlk90561378"/>
      <w:r>
        <w:t xml:space="preserve">The answer to the question is “no.”  We do not expect customers from retail stores to search </w:t>
      </w:r>
      <w:r w:rsidR="002A2D8C">
        <w:t xml:space="preserve">UCC </w:t>
      </w:r>
      <w:r>
        <w:t xml:space="preserve">records and track the status of the seller’s security interests. </w:t>
      </w:r>
      <w:hyperlink w:anchor="U9201" w:history="1">
        <w:r w:rsidRPr="002A2D8C">
          <w:rPr>
            <w:rStyle w:val="Hyperlink"/>
          </w:rPr>
          <w:t xml:space="preserve">UCC </w:t>
        </w:r>
        <w:r w:rsidR="002A2D8C" w:rsidRPr="002A2D8C">
          <w:rPr>
            <w:rStyle w:val="Hyperlink"/>
          </w:rPr>
          <w:t xml:space="preserve">§ </w:t>
        </w:r>
        <w:r w:rsidRPr="002A2D8C">
          <w:rPr>
            <w:rStyle w:val="Hyperlink"/>
          </w:rPr>
          <w:t>1-201(b)(9)</w:t>
        </w:r>
      </w:hyperlink>
      <w:r>
        <w:t xml:space="preserve"> </w:t>
      </w:r>
      <w:r w:rsidR="002A2D8C">
        <w:t xml:space="preserve">defines you as a </w:t>
      </w:r>
      <w:r>
        <w:t>“buyer in the ordinary course</w:t>
      </w:r>
      <w:r w:rsidR="002A2D8C">
        <w:t xml:space="preserve"> of business,” </w:t>
      </w:r>
      <w:r>
        <w:t xml:space="preserve">and </w:t>
      </w:r>
      <w:hyperlink w:anchor="U9320" w:history="1">
        <w:r w:rsidRPr="002A2D8C">
          <w:rPr>
            <w:rStyle w:val="Hyperlink"/>
          </w:rPr>
          <w:t>UCC § 9-320(a)</w:t>
        </w:r>
      </w:hyperlink>
      <w:r>
        <w:t xml:space="preserve"> </w:t>
      </w:r>
      <w:r w:rsidR="002A2D8C">
        <w:t xml:space="preserve">allows you to </w:t>
      </w:r>
      <w:r>
        <w:t>take free of a</w:t>
      </w:r>
      <w:r w:rsidR="002A2D8C">
        <w:t>ny</w:t>
      </w:r>
      <w:r>
        <w:t xml:space="preserve"> security interest created by the dealer</w:t>
      </w:r>
      <w:r w:rsidR="002A2D8C">
        <w:t>.</w:t>
      </w:r>
    </w:p>
    <w:bookmarkEnd w:id="882"/>
    <w:p w14:paraId="124CCABB" w14:textId="30C14675" w:rsidR="002A2D8C" w:rsidRDefault="002A2D8C" w:rsidP="002A2D8C">
      <w:pPr>
        <w:pStyle w:val="0-NORMAL"/>
      </w:pPr>
      <w:r>
        <w:t>Now s</w:t>
      </w:r>
      <w:r w:rsidR="0004211F">
        <w:t xml:space="preserve">uppose that you own some antique furniture that you would like to sell. </w:t>
      </w:r>
      <w:r>
        <w:t xml:space="preserve">The </w:t>
      </w:r>
      <w:r w:rsidR="0004211F">
        <w:t xml:space="preserve">local furniture dealer tells you that they would be happy to sell the furniture for you for </w:t>
      </w:r>
      <w:r>
        <w:t xml:space="preserve">a </w:t>
      </w:r>
      <w:r w:rsidR="0004211F">
        <w:t xml:space="preserve">20% </w:t>
      </w:r>
      <w:r>
        <w:t xml:space="preserve">commission on the </w:t>
      </w:r>
      <w:r w:rsidR="0004211F">
        <w:t xml:space="preserve">sale. The dealer is not buying the furniture from you – you remain the owner of the furniture, and can take the furniture back if the dealer does not sell it. We call this arrangement a “consignment.” You are consigning the goods to the dealer for sale. The dealer is the consignee. You retain title and ownership to the goods, while the dealer retains possession of the goods for sale. </w:t>
      </w:r>
    </w:p>
    <w:p w14:paraId="035DBE64" w14:textId="260740B8" w:rsidR="002A2D8C" w:rsidRDefault="0004211F" w:rsidP="002A2D8C">
      <w:pPr>
        <w:pStyle w:val="0-NORMAL"/>
      </w:pPr>
      <w:r>
        <w:t xml:space="preserve">A customer coming into the dealer’s store has no easy way of knowing </w:t>
      </w:r>
      <w:r w:rsidR="002A2D8C">
        <w:t xml:space="preserve">whether </w:t>
      </w:r>
      <w:r>
        <w:t xml:space="preserve">the furniture belongs to you, as opposed to being inventory of the dealer. </w:t>
      </w:r>
      <w:r w:rsidR="002A2D8C">
        <w:t xml:space="preserve">What happens if the dealer sells your furniture to a retail buyer without paying you the agreed 80% of the purchase price? </w:t>
      </w:r>
    </w:p>
    <w:p w14:paraId="16BAB692" w14:textId="3F2840E8" w:rsidR="002A2D8C" w:rsidRDefault="002A2D8C" w:rsidP="002A2D8C">
      <w:pPr>
        <w:pStyle w:val="0-NORMAL"/>
      </w:pPr>
      <w:r>
        <w:t>Similarly, now imagine that a bank instead of financing and taking a security interest in the dealer’s inventory, buys the inventory directly and consigns that inventory to the dealer</w:t>
      </w:r>
      <w:r w:rsidR="002D44EF">
        <w:t>. Or the bank financing inventory is unaware that the dealer does not own the inventory because it</w:t>
      </w:r>
      <w:r w:rsidR="003A2EEC">
        <w:t>’</w:t>
      </w:r>
      <w:r w:rsidR="002D44EF">
        <w:t>s consignment property. Now add in lien creditors and the trustee in bankruptcy (who, as we will study in more detail later has the power of a lien creditor under 11 U.S.C. § 544(a) to avoid unperfected security interests), and the situation becomes increasingly complex.</w:t>
      </w:r>
    </w:p>
    <w:p w14:paraId="6EC44DD5" w14:textId="667BE35D" w:rsidR="002D44EF" w:rsidRDefault="002D44EF" w:rsidP="002A2D8C">
      <w:pPr>
        <w:pStyle w:val="0-NORMAL"/>
      </w:pPr>
      <w:r>
        <w:t xml:space="preserve">Article 9 of the UCC solves many of the problems by treating many consignments as security interests. Consignments covered by </w:t>
      </w:r>
      <w:hyperlink w:anchor="U9102" w:history="1">
        <w:r w:rsidRPr="002D44EF">
          <w:rPr>
            <w:rStyle w:val="Hyperlink"/>
          </w:rPr>
          <w:t>UCC 9-102(a)(20)</w:t>
        </w:r>
      </w:hyperlink>
      <w:r>
        <w:t xml:space="preserve"> are security interests, and must be perfected by the consignor to protect the consignor’s rights. </w:t>
      </w:r>
      <w:r w:rsidRPr="002D44EF">
        <w:rPr>
          <w:i/>
          <w:iCs/>
        </w:rPr>
        <w:t>In re F</w:t>
      </w:r>
      <w:r w:rsidR="0070734B">
        <w:rPr>
          <w:i/>
          <w:iCs/>
        </w:rPr>
        <w:t>a</w:t>
      </w:r>
      <w:r w:rsidRPr="002D44EF">
        <w:rPr>
          <w:i/>
          <w:iCs/>
        </w:rPr>
        <w:t>ber</w:t>
      </w:r>
      <w:r w:rsidR="003A2EEC">
        <w:rPr>
          <w:i/>
          <w:iCs/>
        </w:rPr>
        <w:t>’s</w:t>
      </w:r>
      <w:r>
        <w:t xml:space="preserve">, reprinted below, points </w:t>
      </w:r>
      <w:r>
        <w:lastRenderedPageBreak/>
        <w:t>out the danger to consignors who do not file a financing statement to protect their Article 9 security interest. However, some consignments are not covered by UCC Article 9, and are therefore governed by state law. Consignors of non-Article 9 consignments are owners, and may be protected from lien creditors. Read UCC 9-102(a)(20) carefully, and consider when a consignment will be treated as a security interest under Article 9, and when a consignment will not be so treated.</w:t>
      </w:r>
    </w:p>
    <w:p w14:paraId="39CE439F" w14:textId="77777777" w:rsidR="005C49E0" w:rsidRDefault="005C49E0" w:rsidP="002A2D8C">
      <w:pPr>
        <w:pStyle w:val="0-NORMAL"/>
      </w:pPr>
    </w:p>
    <w:p w14:paraId="58B15011" w14:textId="390506A0" w:rsidR="0004211F" w:rsidRPr="005C49E0" w:rsidRDefault="007C1024" w:rsidP="005C49E0">
      <w:pPr>
        <w:pStyle w:val="Heading3"/>
        <w:rPr>
          <w:u w:val="single"/>
        </w:rPr>
      </w:pPr>
      <w:hyperlink r:id="rId57" w:history="1">
        <w:bookmarkStart w:id="883" w:name="_Toc87039173"/>
        <w:bookmarkStart w:id="884" w:name="_Toc90983569"/>
        <w:r w:rsidR="0004211F" w:rsidRPr="005C49E0">
          <w:rPr>
            <w:rStyle w:val="Hyperlink"/>
          </w:rPr>
          <w:t>I</w:t>
        </w:r>
        <w:r w:rsidR="002D44EF" w:rsidRPr="005C49E0">
          <w:rPr>
            <w:rStyle w:val="Hyperlink"/>
          </w:rPr>
          <w:t>N RE FABER</w:t>
        </w:r>
        <w:r w:rsidR="003A2EEC" w:rsidRPr="005C49E0">
          <w:rPr>
            <w:rStyle w:val="Hyperlink"/>
          </w:rPr>
          <w:t>’</w:t>
        </w:r>
        <w:r w:rsidR="002D44EF" w:rsidRPr="005C49E0">
          <w:rPr>
            <w:rStyle w:val="Hyperlink"/>
          </w:rPr>
          <w:t>S, INC</w:t>
        </w:r>
        <w:r w:rsidR="0004211F" w:rsidRPr="005C49E0">
          <w:rPr>
            <w:rStyle w:val="Hyperlink"/>
          </w:rPr>
          <w:t>., 360 F. Supp. 946, 12 U.C.C. Rep. Serv. 126 (D. Conn 1972)</w:t>
        </w:r>
        <w:bookmarkEnd w:id="883"/>
        <w:bookmarkEnd w:id="884"/>
      </w:hyperlink>
      <w:bookmarkStart w:id="885" w:name="_Toc79692948"/>
      <w:bookmarkStart w:id="886" w:name="_Toc79693268"/>
      <w:bookmarkStart w:id="887" w:name="_Toc79693588"/>
      <w:bookmarkStart w:id="888" w:name="_Toc79693905"/>
      <w:bookmarkStart w:id="889" w:name="_Toc79694223"/>
      <w:bookmarkStart w:id="890" w:name="_Toc79694545"/>
      <w:bookmarkStart w:id="891" w:name="_Toc79694857"/>
      <w:bookmarkStart w:id="892" w:name="_Toc79695173"/>
      <w:bookmarkStart w:id="893" w:name="_Toc79695489"/>
      <w:bookmarkStart w:id="894" w:name="_Toc79695805"/>
      <w:bookmarkStart w:id="895" w:name="_Toc79696121"/>
      <w:bookmarkStart w:id="896" w:name="_Toc79696437"/>
      <w:bookmarkStart w:id="897" w:name="_Toc79696758"/>
      <w:bookmarkStart w:id="898" w:name="_Toc79697090"/>
      <w:bookmarkStart w:id="899" w:name="_Toc79697419"/>
      <w:bookmarkStart w:id="900" w:name="_Toc79699090"/>
      <w:bookmarkStart w:id="901" w:name="_Toc79699416"/>
      <w:bookmarkStart w:id="902" w:name="_Toc79699754"/>
      <w:bookmarkStart w:id="903" w:name="_Toc79700074"/>
      <w:bookmarkStart w:id="904" w:name="_Toc79700396"/>
      <w:bookmarkStart w:id="905" w:name="_Toc79700718"/>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rsidR="005C49E0" w:rsidRPr="005C49E0">
        <w:rPr>
          <w:rStyle w:val="Hyperlink"/>
        </w:rPr>
        <w:br/>
      </w:r>
    </w:p>
    <w:p w14:paraId="1F8423EC" w14:textId="77777777" w:rsidR="002D44EF" w:rsidRDefault="0004211F" w:rsidP="002D44EF">
      <w:pPr>
        <w:pStyle w:val="0-NORMAL"/>
      </w:pPr>
      <w:r w:rsidRPr="0004211F">
        <w:t xml:space="preserve">The bankrupt is a retail carpet and rug merchant. The petitioner, Mehdi Dilmaghani &amp; Company, Inc. (dealer), shipped oriental rugs to the bankrupt on consignment. All of the rugs had an identifying label attached. On each label was printed ''MD. &amp; CO., INC., Reg. No. R.N. 22956, 100% wool pile, No. ________, Quality ________, Size ________, Sq. Feet ________, Made in Iran.'' </w:t>
      </w:r>
    </w:p>
    <w:p w14:paraId="655537F4" w14:textId="77777777" w:rsidR="002D44EF" w:rsidRDefault="0004211F" w:rsidP="002D44EF">
      <w:pPr>
        <w:pStyle w:val="0-NORMAL"/>
      </w:pPr>
      <w:r w:rsidRPr="0004211F">
        <w:t xml:space="preserve">The consignment agreement provided that title to the rugs remained in the dealer until fully paid for; that the consignee had the right to sell the rugs in the ordinary course of business and only at a price in excess of the invoice price; that the proceeds of any sale were the property of the dealer and held in trust for the dealer; that the proceeds of any sale were to be remitted to the dealer immediately with a report of the sale; [and] that all rugs were held at the risk of the consignee. </w:t>
      </w:r>
    </w:p>
    <w:p w14:paraId="369161C7" w14:textId="77777777" w:rsidR="002D44EF" w:rsidRDefault="0004211F" w:rsidP="002D44EF">
      <w:pPr>
        <w:pStyle w:val="0-NORMAL"/>
      </w:pPr>
      <w:r w:rsidRPr="0004211F">
        <w:t xml:space="preserve">No effort was made to comply with provisions the of Commercial Code relating to security interests. The dealer does not assert a security interest in the rugs, claiming only that the rugs are and always were the property of the dealer under a ''true consignment'' and, therefore, not subject to the provisions of the Code relating to security interests. The dealer's claim is that the consignment was not intended for security and is, therefore, not subject to the requirements of Article 9. </w:t>
      </w:r>
    </w:p>
    <w:p w14:paraId="72142F15" w14:textId="77777777" w:rsidR="002D44EF" w:rsidRDefault="0004211F" w:rsidP="002D44EF">
      <w:pPr>
        <w:pStyle w:val="0-NORMAL"/>
      </w:pPr>
      <w:r w:rsidRPr="0004211F">
        <w:t xml:space="preserve">The logic of this argument escapes the court. If the dealer did not want the agreement to provide it with security for either the payment of the rugs or their return, what other purpose could there have been? The agreement describes the rugs as belonging to the dealer, but the risk of loss or damage is on the consignee. This is inconsistent with the liability of a bailee. The proceeds of the sales were to be the property of the dealer, but the consignee is described as holding the proceeds in trust. A trustee has title to the trust estate. The agreement impliedly permitted the consignee to mingle the proceeds with his own funds before remitting. At any rate, there was no requirement of a separate account. This is inconsistent with a true trust. </w:t>
      </w:r>
    </w:p>
    <w:p w14:paraId="10A5BB12" w14:textId="77777777" w:rsidR="002D44EF" w:rsidRDefault="0004211F" w:rsidP="002D44EF">
      <w:pPr>
        <w:pStyle w:val="0-NORMAL"/>
      </w:pPr>
      <w:r w:rsidRPr="0004211F">
        <w:t>The principal claim of the dealer is [that] the transaction was a true consignment, that at all times the consignee was acting as the agent of the dealer.</w:t>
      </w:r>
    </w:p>
    <w:p w14:paraId="7ECDA9BB" w14:textId="77777777" w:rsidR="002D44EF" w:rsidRDefault="0004211F" w:rsidP="002D44EF">
      <w:pPr>
        <w:pStyle w:val="0-NORMAL"/>
      </w:pPr>
      <w:r w:rsidRPr="0004211F">
        <w:t xml:space="preserve">To protect itself from the claims of creditors, the dealer could have complied with the filing provisions of Article 9, but it admittedly did not. The only other exception [is] establishing that the consignee-bankrupt was generally known by his creditors to be substantially engaged in selling the goods of others. In support of the latter theory, evidence was submitted that the dealer never dealt in oriental rugs prior to May 1971 and that an advertisement in the local newspapers on October 12, 1971, included a picture of Mr. Mehdi Dilmaghani together with the narrative: ''By Special Arrangement, we proudly introduce: A distinctive collection of Mehdi Dilmaghani  . . . </w:t>
      </w:r>
      <w:r w:rsidRPr="0004211F">
        <w:lastRenderedPageBreak/>
        <w:t xml:space="preserve">renown importer of genuine handmade Oriental, India, and Petit-Point Rugs . . . .'' This hardly complies with the requirement that the bankrupt ''is generally known by his creditors to be substantially engaged in selling the goods of others.'' (Emphasis added.) There was no evidence of any notification to any of the bankrupt's creditors to that effect. In fact, it is found that the contrary was true. The bankrupt was not substantially engaged in selling the goods of others. </w:t>
      </w:r>
    </w:p>
    <w:p w14:paraId="7F6130A4" w14:textId="0B96BEDB" w:rsidR="002D44EF" w:rsidRDefault="0004211F" w:rsidP="002D44EF">
      <w:pPr>
        <w:pStyle w:val="0-NORMAL"/>
      </w:pPr>
      <w:r w:rsidRPr="0004211F">
        <w:t>The dealer argues that the oriental rugs were not the kind of goods in which the bankrupt dealt. They may not have been of the same quality or price range as the other rugs and carpets sold by the bankrupt, but they were all of the same kind of goods — to wit: floor coverings. The trade name of the bankrupt was ''Faber's World of Carpets.'' Other than the reference to the collection by Dilmaghani in the newspaper, there was nothing to suggest any possible connection with the dealer. In fact, this advertisement is no different from that of a department store advertising a full line of ''Frigidaire'' appliances, or a collection of Pierre Cardin's new spring line</w:t>
      </w:r>
      <w:r w:rsidR="00083725" w:rsidRPr="0004211F">
        <w:t xml:space="preserve">. </w:t>
      </w:r>
    </w:p>
    <w:p w14:paraId="1D4D187C" w14:textId="77777777" w:rsidR="002D44EF" w:rsidRDefault="0004211F" w:rsidP="002D44EF">
      <w:pPr>
        <w:pStyle w:val="0-NORMAL"/>
      </w:pPr>
      <w:r w:rsidRPr="0004211F">
        <w:t xml:space="preserve">There was evidence that the members of the Oriental Rug Dealers Association usually sold their rugs on consignment. This was well known to the members of the association. There was no evidence that this was the universal invariable practice in the trade, or that the creditors of the bankrupt who apparently did not deal in oriental rugs knew anything about the custom of the members of the Oriental Rug Dealers Association. </w:t>
      </w:r>
    </w:p>
    <w:p w14:paraId="51F5C6BF" w14:textId="10DBF621" w:rsidR="001976FB" w:rsidRDefault="0004211F" w:rsidP="001976FB">
      <w:pPr>
        <w:pStyle w:val="0-NORMAL"/>
      </w:pPr>
      <w:r w:rsidRPr="0004211F">
        <w:t>As between the parties, the transaction was a consignment agreement. As to the creditors, it was a sale or return and bound by the provisions of [NYUCC 2-326]. Since the petitioner does not come under the exceptions in this section, it was required to comply with the filing provisions of Article 9 to preserve its secured position. Admittedly, this was not done. Accordingly, the goods are subject to the claims of creditors. The reclamation petition is denied, and it is so ordered.</w:t>
      </w:r>
      <w:bookmarkStart w:id="906" w:name="_Toc417380759"/>
      <w:bookmarkStart w:id="907" w:name="_Toc79699091"/>
      <w:bookmarkStart w:id="908" w:name="_Toc79699417"/>
      <w:bookmarkStart w:id="909" w:name="_Toc79699755"/>
      <w:bookmarkStart w:id="910" w:name="_Toc79700075"/>
      <w:bookmarkStart w:id="911" w:name="_Toc79700397"/>
      <w:bookmarkEnd w:id="851"/>
      <w:bookmarkEnd w:id="852"/>
    </w:p>
    <w:p w14:paraId="617E06D6" w14:textId="683FDF74" w:rsidR="005C49E0" w:rsidRDefault="005C49E0" w:rsidP="001976FB">
      <w:pPr>
        <w:pStyle w:val="0-NORMAL"/>
      </w:pPr>
    </w:p>
    <w:p w14:paraId="756C50F6" w14:textId="76F07EE8" w:rsidR="005C49E0" w:rsidRDefault="005C49E0" w:rsidP="001976FB">
      <w:pPr>
        <w:pStyle w:val="0-NORMAL"/>
      </w:pPr>
    </w:p>
    <w:p w14:paraId="034172F6" w14:textId="7185F13D" w:rsidR="005C49E0" w:rsidRDefault="005C49E0" w:rsidP="001976FB">
      <w:pPr>
        <w:pStyle w:val="0-NORMAL"/>
      </w:pPr>
    </w:p>
    <w:p w14:paraId="3A84A719" w14:textId="49B2426B" w:rsidR="005C49E0" w:rsidRDefault="005C49E0" w:rsidP="001976FB">
      <w:pPr>
        <w:pStyle w:val="0-NORMAL"/>
      </w:pPr>
    </w:p>
    <w:p w14:paraId="56AAE57A" w14:textId="77D46306" w:rsidR="005C49E0" w:rsidRDefault="005C49E0" w:rsidP="001976FB">
      <w:pPr>
        <w:pStyle w:val="0-NORMAL"/>
      </w:pPr>
    </w:p>
    <w:p w14:paraId="29E7E733" w14:textId="6908FCDB" w:rsidR="005C49E0" w:rsidRDefault="005C49E0" w:rsidP="001976FB">
      <w:pPr>
        <w:pStyle w:val="0-NORMAL"/>
      </w:pPr>
    </w:p>
    <w:p w14:paraId="18D94F87" w14:textId="1CC1E1E3" w:rsidR="005C49E0" w:rsidRDefault="005C49E0" w:rsidP="001976FB">
      <w:pPr>
        <w:pStyle w:val="0-NORMAL"/>
      </w:pPr>
    </w:p>
    <w:p w14:paraId="550377C9" w14:textId="5E91B403" w:rsidR="005C49E0" w:rsidRDefault="005C49E0" w:rsidP="001976FB">
      <w:pPr>
        <w:pStyle w:val="0-NORMAL"/>
      </w:pPr>
    </w:p>
    <w:p w14:paraId="16B3C204" w14:textId="160B0E7B" w:rsidR="005C49E0" w:rsidRDefault="005C49E0" w:rsidP="001976FB">
      <w:pPr>
        <w:pStyle w:val="0-NORMAL"/>
      </w:pPr>
    </w:p>
    <w:p w14:paraId="41375322" w14:textId="193D2567" w:rsidR="005C49E0" w:rsidRDefault="005C49E0" w:rsidP="001976FB">
      <w:pPr>
        <w:pStyle w:val="0-NORMAL"/>
      </w:pPr>
    </w:p>
    <w:p w14:paraId="59D09B03" w14:textId="65DBCA55" w:rsidR="005C49E0" w:rsidRDefault="005C49E0" w:rsidP="001976FB">
      <w:pPr>
        <w:pStyle w:val="0-NORMAL"/>
      </w:pPr>
    </w:p>
    <w:p w14:paraId="3BEE1BB6" w14:textId="100125E4" w:rsidR="005C49E0" w:rsidRDefault="005C49E0" w:rsidP="001976FB">
      <w:pPr>
        <w:pStyle w:val="0-NORMAL"/>
      </w:pPr>
    </w:p>
    <w:p w14:paraId="1717463E" w14:textId="75CECF96" w:rsidR="005C49E0" w:rsidRDefault="005C49E0" w:rsidP="001976FB">
      <w:pPr>
        <w:pStyle w:val="0-NORMAL"/>
      </w:pPr>
    </w:p>
    <w:p w14:paraId="19FEA3BB" w14:textId="7776D8E3" w:rsidR="005C49E0" w:rsidRDefault="005C49E0" w:rsidP="001976FB">
      <w:pPr>
        <w:pStyle w:val="0-NORMAL"/>
      </w:pPr>
    </w:p>
    <w:p w14:paraId="64FEAD35" w14:textId="77777777" w:rsidR="005C49E0" w:rsidRDefault="005C49E0" w:rsidP="00854323">
      <w:pPr>
        <w:pStyle w:val="0-NORMAL"/>
        <w:ind w:firstLine="0"/>
      </w:pPr>
    </w:p>
    <w:p w14:paraId="42EEE2EC" w14:textId="5B1BCEAF" w:rsidR="00675B02" w:rsidRPr="001C0CB0" w:rsidRDefault="00AF597A" w:rsidP="005C49E0">
      <w:pPr>
        <w:pStyle w:val="Heading1"/>
        <w:spacing w:line="240" w:lineRule="auto"/>
      </w:pPr>
      <w:bookmarkStart w:id="912" w:name="_Toc87039174"/>
      <w:bookmarkStart w:id="913" w:name="_Toc90983570"/>
      <w:r w:rsidRPr="00675B02">
        <w:lastRenderedPageBreak/>
        <w:t>The Bankruptcy System</w:t>
      </w:r>
      <w:bookmarkStart w:id="914" w:name="_Toc417378898"/>
      <w:bookmarkStart w:id="915" w:name="_Toc417380760"/>
      <w:bookmarkStart w:id="916" w:name="_Toc417380761"/>
      <w:bookmarkStart w:id="917" w:name="_Toc438473122"/>
      <w:bookmarkStart w:id="918" w:name="_Toc438473438"/>
      <w:bookmarkStart w:id="919" w:name="_Toc438473754"/>
      <w:bookmarkStart w:id="920" w:name="_Toc438474070"/>
      <w:bookmarkStart w:id="921" w:name="_Toc438476531"/>
      <w:bookmarkStart w:id="922" w:name="_Toc438661284"/>
      <w:bookmarkStart w:id="923" w:name="_Toc438661613"/>
      <w:bookmarkStart w:id="924" w:name="_Toc438662008"/>
      <w:bookmarkStart w:id="925" w:name="_Toc438662340"/>
      <w:bookmarkStart w:id="926" w:name="_Toc438662678"/>
      <w:bookmarkStart w:id="927" w:name="_Toc438663010"/>
      <w:bookmarkStart w:id="928" w:name="_Toc438663337"/>
      <w:bookmarkStart w:id="929" w:name="_Toc438663664"/>
      <w:bookmarkStart w:id="930" w:name="_Toc438663989"/>
      <w:bookmarkStart w:id="931" w:name="_Toc438664316"/>
      <w:bookmarkStart w:id="932" w:name="_Toc438665061"/>
      <w:bookmarkStart w:id="933" w:name="_Toc450735005"/>
      <w:bookmarkStart w:id="934" w:name="_Toc450735334"/>
      <w:bookmarkStart w:id="935" w:name="_Toc450739730"/>
      <w:bookmarkStart w:id="936" w:name="_Toc457995550"/>
      <w:bookmarkStart w:id="937" w:name="_Toc457997379"/>
      <w:bookmarkStart w:id="938" w:name="_Toc458006611"/>
      <w:bookmarkStart w:id="939" w:name="_Toc458074923"/>
      <w:bookmarkStart w:id="940" w:name="_Toc485065457"/>
      <w:bookmarkStart w:id="941" w:name="_Toc438473123"/>
      <w:bookmarkStart w:id="942" w:name="_Toc438473439"/>
      <w:bookmarkStart w:id="943" w:name="_Toc438473755"/>
      <w:bookmarkStart w:id="944" w:name="_Toc438474071"/>
      <w:bookmarkStart w:id="945" w:name="_Toc438476532"/>
      <w:bookmarkStart w:id="946" w:name="_Toc438661285"/>
      <w:bookmarkStart w:id="947" w:name="_Toc438661614"/>
      <w:bookmarkStart w:id="948" w:name="_Toc438662009"/>
      <w:bookmarkStart w:id="949" w:name="_Toc438662341"/>
      <w:bookmarkStart w:id="950" w:name="_Toc438662679"/>
      <w:bookmarkStart w:id="951" w:name="_Toc438663011"/>
      <w:bookmarkStart w:id="952" w:name="_Toc438663338"/>
      <w:bookmarkStart w:id="953" w:name="_Toc438663665"/>
      <w:bookmarkStart w:id="954" w:name="_Toc438663990"/>
      <w:bookmarkStart w:id="955" w:name="_Toc438664317"/>
      <w:bookmarkStart w:id="956" w:name="_Toc438665062"/>
      <w:bookmarkStart w:id="957" w:name="_Toc450735006"/>
      <w:bookmarkStart w:id="958" w:name="_Toc450735335"/>
      <w:bookmarkStart w:id="959" w:name="_Toc450739731"/>
      <w:bookmarkStart w:id="960" w:name="_Toc457995551"/>
      <w:bookmarkStart w:id="961" w:name="_Toc457997380"/>
      <w:bookmarkStart w:id="962" w:name="_Toc458006612"/>
      <w:bookmarkStart w:id="963" w:name="_Toc458074924"/>
      <w:bookmarkStart w:id="964" w:name="_Toc485065458"/>
      <w:bookmarkStart w:id="965" w:name="_Toc79687307"/>
      <w:bookmarkStart w:id="966" w:name="_Toc79687631"/>
      <w:bookmarkStart w:id="967" w:name="_Toc79687998"/>
      <w:bookmarkStart w:id="968" w:name="_Toc79688327"/>
      <w:bookmarkStart w:id="969" w:name="_Toc79689263"/>
      <w:bookmarkStart w:id="970" w:name="_Toc79692949"/>
      <w:bookmarkStart w:id="971" w:name="_Toc79693269"/>
      <w:bookmarkStart w:id="972" w:name="_Toc79693589"/>
      <w:bookmarkStart w:id="973" w:name="_Toc79693906"/>
      <w:bookmarkStart w:id="974" w:name="_Toc79694224"/>
      <w:bookmarkStart w:id="975" w:name="_Toc79694546"/>
      <w:bookmarkStart w:id="976" w:name="_Toc79694858"/>
      <w:bookmarkStart w:id="977" w:name="_Toc79695174"/>
      <w:bookmarkStart w:id="978" w:name="_Toc79695490"/>
      <w:bookmarkStart w:id="979" w:name="_Toc79695806"/>
      <w:bookmarkStart w:id="980" w:name="_Toc79696122"/>
      <w:bookmarkStart w:id="981" w:name="_Toc79696438"/>
      <w:bookmarkStart w:id="982" w:name="_Toc79696759"/>
      <w:bookmarkStart w:id="983" w:name="_Toc79697091"/>
      <w:bookmarkStart w:id="984" w:name="_Toc79697420"/>
      <w:bookmarkStart w:id="985" w:name="_Toc417380762"/>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rsidR="005C49E0">
        <w:br/>
      </w:r>
    </w:p>
    <w:p w14:paraId="412EF170" w14:textId="3B820835" w:rsidR="00B613D9" w:rsidRPr="007A5BBC" w:rsidRDefault="00B613D9" w:rsidP="005C49E0">
      <w:pPr>
        <w:pStyle w:val="Heading2"/>
        <w:spacing w:line="240" w:lineRule="auto"/>
      </w:pPr>
      <w:bookmarkStart w:id="986" w:name="_Toc79699092"/>
      <w:bookmarkStart w:id="987" w:name="_Toc79699418"/>
      <w:bookmarkStart w:id="988" w:name="_Toc79699756"/>
      <w:bookmarkStart w:id="989" w:name="_Toc79700076"/>
      <w:bookmarkStart w:id="990" w:name="_Toc79700398"/>
      <w:bookmarkStart w:id="991" w:name="_Toc87039175"/>
      <w:bookmarkStart w:id="992" w:name="_Toc90983571"/>
      <w:r w:rsidRPr="007A5BBC">
        <w:t xml:space="preserve">Purposes of </w:t>
      </w:r>
      <w:r w:rsidRPr="007A5BBC">
        <w:rPr>
          <w:shd w:val="clear" w:color="auto" w:fill="FFFFFF"/>
        </w:rPr>
        <w:t>Bankruptcy</w:t>
      </w:r>
      <w:bookmarkStart w:id="993" w:name="_Toc79692950"/>
      <w:bookmarkStart w:id="994" w:name="_Toc79693270"/>
      <w:bookmarkStart w:id="995" w:name="_Toc79693590"/>
      <w:bookmarkStart w:id="996" w:name="_Toc79693907"/>
      <w:bookmarkStart w:id="997" w:name="_Toc79694547"/>
      <w:bookmarkStart w:id="998" w:name="_Toc79695175"/>
      <w:bookmarkStart w:id="999" w:name="_Toc79697421"/>
      <w:bookmarkStart w:id="1000" w:name="_Hlk90561495"/>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sidR="005C49E0">
        <w:rPr>
          <w:shd w:val="clear" w:color="auto" w:fill="FFFFFF"/>
        </w:rPr>
        <w:br/>
      </w:r>
    </w:p>
    <w:bookmarkEnd w:id="1000"/>
    <w:p w14:paraId="412EF171" w14:textId="7FF39DE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w:t>
      </w:r>
      <w:r w:rsidR="003C6FD2">
        <w:rPr>
          <w:rFonts w:ascii="Times New Roman" w:hAnsi="Times New Roman"/>
          <w:szCs w:val="24"/>
        </w:rPr>
        <w:t>s</w:t>
      </w:r>
      <w:r w:rsidRPr="007A5BBC">
        <w:rPr>
          <w:rFonts w:ascii="Times New Roman" w:hAnsi="Times New Roman"/>
          <w:szCs w:val="24"/>
        </w:rPr>
        <w:t xml:space="preserve">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12EF173" w14:textId="1DD1D8B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r w:rsidRPr="007A5BBC">
        <w:rPr>
          <w:rFonts w:ascii="Times New Roman" w:hAnsi="Times New Roman"/>
          <w:szCs w:val="24"/>
        </w:rPr>
        <w:t xml:space="preserve">In New York, any payment on a debt – even one </w:t>
      </w:r>
      <w:r w:rsidR="00B81AE1" w:rsidRPr="007A5BBC">
        <w:rPr>
          <w:rFonts w:ascii="Times New Roman" w:hAnsi="Times New Roman"/>
          <w:szCs w:val="24"/>
        </w:rPr>
        <w:t xml:space="preserve">that could not be collected in court due to the expiration of the </w:t>
      </w:r>
      <w:r w:rsidRPr="007A5BBC">
        <w:rPr>
          <w:rFonts w:ascii="Times New Roman" w:hAnsi="Times New Roman"/>
          <w:szCs w:val="24"/>
        </w:rPr>
        <w:t xml:space="preserve">statute of limitations - renews the entire liability and starts </w:t>
      </w:r>
      <w:r w:rsidR="00B81AE1" w:rsidRPr="007A5BBC">
        <w:rPr>
          <w:rFonts w:ascii="Times New Roman" w:hAnsi="Times New Roman"/>
          <w:szCs w:val="24"/>
        </w:rPr>
        <w:t xml:space="preserve">a new limitations period if the </w:t>
      </w:r>
      <w:r w:rsidRPr="007A5BBC">
        <w:rPr>
          <w:rFonts w:ascii="Times New Roman" w:hAnsi="Times New Roman"/>
          <w:szCs w:val="24"/>
        </w:rPr>
        <w:t>court determines that the partial payment constitutes an acknowledgment of the debt</w:t>
      </w:r>
      <w:r w:rsidR="005F6A8B">
        <w:rPr>
          <w:rFonts w:ascii="Times New Roman" w:hAnsi="Times New Roman"/>
          <w:szCs w:val="24"/>
        </w:rPr>
        <w:t xml:space="preserve">. </w:t>
      </w:r>
      <w:r w:rsidRPr="009E65CD">
        <w:rPr>
          <w:rFonts w:ascii="Times New Roman" w:hAnsi="Times New Roman"/>
          <w:i/>
          <w:szCs w:val="24"/>
        </w:rPr>
        <w:t xml:space="preserve">See </w:t>
      </w:r>
      <w:hyperlink r:id="rId58" w:history="1">
        <w:r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Pr="007A5BBC">
        <w:rPr>
          <w:rFonts w:ascii="Times New Roman" w:hAnsi="Times New Roman"/>
          <w:szCs w:val="24"/>
        </w:rPr>
        <w:t>Debt collectors often request a small token payment, claiming that it would be a sign of good faith, when in fact they are seeking to extend or renew a limitations period that that debtor did not know expired and was not intending to renew</w:t>
      </w:r>
      <w:r w:rsidR="005F6A8B">
        <w:rPr>
          <w:rFonts w:ascii="Times New Roman" w:hAnsi="Times New Roman"/>
          <w:szCs w:val="24"/>
        </w:rPr>
        <w:t xml:space="preserve">. </w:t>
      </w: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511EF3DA" w14:textId="77777777" w:rsidR="005C49E0" w:rsidRDefault="00B613D9" w:rsidP="00924BE2">
      <w:pPr>
        <w:ind w:firstLine="720"/>
        <w:jc w:val="both"/>
        <w:rPr>
          <w:rFonts w:ascii="Times New Roman" w:hAnsi="Times New Roman"/>
          <w:szCs w:val="24"/>
        </w:rPr>
      </w:pPr>
      <w:bookmarkStart w:id="1001" w:name="_Hlk90561527"/>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In liquidation cases, an independent trustee will have time to achieve high sale p</w:t>
      </w:r>
      <w:r w:rsidR="008E1BE2">
        <w:rPr>
          <w:rFonts w:ascii="Times New Roman" w:hAnsi="Times New Roman"/>
          <w:szCs w:val="24"/>
        </w:rPr>
        <w:t>rices</w:t>
      </w:r>
      <w:r w:rsidRPr="007A5BBC">
        <w:rPr>
          <w:rFonts w:ascii="Times New Roman" w:hAnsi="Times New Roman"/>
          <w:szCs w:val="24"/>
        </w:rPr>
        <w:t xml:space="preserve">, and the distribution rules assure that similarly situated creditors will be treated </w:t>
      </w:r>
      <w:r w:rsidRPr="007A5BBC">
        <w:rPr>
          <w:rFonts w:ascii="Times New Roman" w:hAnsi="Times New Roman"/>
          <w:szCs w:val="24"/>
        </w:rPr>
        <w:lastRenderedPageBreak/>
        <w:t>similarly</w:t>
      </w:r>
      <w:r w:rsidR="005F6A8B">
        <w:rPr>
          <w:rFonts w:ascii="Times New Roman" w:hAnsi="Times New Roman"/>
          <w:szCs w:val="24"/>
        </w:rPr>
        <w:t xml:space="preserve">. </w:t>
      </w:r>
      <w:bookmarkEnd w:id="1001"/>
      <w:r w:rsidRPr="007A5BBC">
        <w:rPr>
          <w:rFonts w:ascii="Times New Roman" w:hAnsi="Times New Roman"/>
          <w:szCs w:val="24"/>
        </w:rPr>
        <w:t>Individual debtors can receive a discharge of their debts, allowing them to receive a 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114B9E">
        <w:rPr>
          <w:rFonts w:ascii="Times New Roman" w:hAnsi="Times New Roman"/>
          <w:szCs w:val="24"/>
        </w:rPr>
        <w:t xml:space="preserve">isclosure by the debtor, and an expeditious </w:t>
      </w:r>
      <w:r w:rsidRPr="007A5BBC">
        <w:rPr>
          <w:rFonts w:ascii="Times New Roman" w:hAnsi="Times New Roman"/>
          <w:szCs w:val="24"/>
        </w:rPr>
        <w:t xml:space="preserve">hearing process </w:t>
      </w:r>
      <w:r w:rsidR="00114B9E">
        <w:rPr>
          <w:rFonts w:ascii="Times New Roman" w:hAnsi="Times New Roman"/>
          <w:szCs w:val="24"/>
        </w:rPr>
        <w:t xml:space="preserve">before </w:t>
      </w:r>
      <w:r w:rsidR="00B81AE1" w:rsidRPr="007A5BBC">
        <w:rPr>
          <w:rFonts w:ascii="Times New Roman" w:hAnsi="Times New Roman"/>
          <w:szCs w:val="24"/>
        </w:rPr>
        <w:t>specialized bankruptcy judges who are experts in bankruptcy law</w:t>
      </w:r>
      <w:r w:rsidR="00114B9E">
        <w:rPr>
          <w:rFonts w:ascii="Times New Roman" w:hAnsi="Times New Roman"/>
          <w:szCs w:val="24"/>
        </w:rPr>
        <w:t xml:space="preserve"> to resolve any disputes that may arise</w:t>
      </w:r>
      <w:r w:rsidR="005F6A8B">
        <w:rPr>
          <w:rFonts w:ascii="Times New Roman" w:hAnsi="Times New Roman"/>
          <w:szCs w:val="24"/>
        </w:rPr>
        <w:t>.</w:t>
      </w:r>
    </w:p>
    <w:p w14:paraId="412EF175" w14:textId="2B7DC24C" w:rsidR="00B613D9" w:rsidRPr="007A5BBC" w:rsidRDefault="005F6A8B" w:rsidP="00924BE2">
      <w:pPr>
        <w:ind w:firstLine="720"/>
        <w:jc w:val="both"/>
        <w:rPr>
          <w:rFonts w:ascii="Times New Roman" w:hAnsi="Times New Roman"/>
          <w:szCs w:val="24"/>
        </w:rPr>
      </w:pPr>
      <w:r>
        <w:rPr>
          <w:rFonts w:ascii="Times New Roman" w:hAnsi="Times New Roman"/>
          <w:szCs w:val="24"/>
        </w:rPr>
        <w:t xml:space="preserve"> </w:t>
      </w:r>
    </w:p>
    <w:p w14:paraId="412EF176" w14:textId="6E3BF4F3" w:rsidR="00B613D9" w:rsidRPr="007A5BBC" w:rsidRDefault="00B613D9" w:rsidP="005C49E0">
      <w:pPr>
        <w:pStyle w:val="Heading2"/>
        <w:spacing w:line="240" w:lineRule="auto"/>
      </w:pPr>
      <w:bookmarkStart w:id="1002" w:name="_Toc417380763"/>
      <w:bookmarkStart w:id="1003" w:name="_Toc79699093"/>
      <w:bookmarkStart w:id="1004" w:name="_Toc79699419"/>
      <w:bookmarkStart w:id="1005" w:name="_Toc79699757"/>
      <w:bookmarkStart w:id="1006" w:name="_Toc79700077"/>
      <w:bookmarkStart w:id="1007" w:name="_Toc79700399"/>
      <w:bookmarkStart w:id="1008" w:name="_Toc87039176"/>
      <w:bookmarkStart w:id="1009" w:name="_Toc90983572"/>
      <w:r w:rsidRPr="007A5BBC">
        <w:t>Structure of the Bankruptcy Code</w:t>
      </w:r>
      <w:bookmarkStart w:id="1010" w:name="_Toc79692951"/>
      <w:bookmarkStart w:id="1011" w:name="_Toc79693271"/>
      <w:bookmarkStart w:id="1012" w:name="_Toc79693591"/>
      <w:bookmarkStart w:id="1013" w:name="_Toc79693908"/>
      <w:bookmarkStart w:id="1014" w:name="_Toc79694548"/>
      <w:bookmarkStart w:id="1015" w:name="_Toc79695176"/>
      <w:bookmarkStart w:id="1016" w:name="_Toc79697422"/>
      <w:bookmarkStart w:id="1017" w:name="_Hlk9056165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005C49E0">
        <w:br/>
      </w:r>
    </w:p>
    <w:bookmarkEnd w:id="1017"/>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64C9375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some of the most significant changes wrought by BAPCPA, including the dreaded “means test” and the automatic dismissal rules.</w:t>
      </w:r>
    </w:p>
    <w:p w14:paraId="412EF17B" w14:textId="5749B4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419AEB00"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6F362415"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0B13259B"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896550A" w:rsidR="00B613D9" w:rsidRPr="007A5BBC" w:rsidRDefault="00B613D9" w:rsidP="00924BE2">
      <w:pPr>
        <w:ind w:left="1440"/>
        <w:jc w:val="both"/>
        <w:rPr>
          <w:rFonts w:ascii="Times New Roman" w:hAnsi="Times New Roman"/>
          <w:szCs w:val="24"/>
        </w:rPr>
      </w:pPr>
      <w:r w:rsidRPr="007A5BBC">
        <w:rPr>
          <w:rFonts w:ascii="Times New Roman" w:hAnsi="Times New Roman"/>
          <w:szCs w:val="24"/>
        </w:rPr>
        <w:lastRenderedPageBreak/>
        <w:t>Chapter 12: Family farmer and fisherman reorganizations</w:t>
      </w:r>
    </w:p>
    <w:p w14:paraId="412EF180" w14:textId="3A496781"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13: Mostly consumer reorganizations</w:t>
      </w:r>
    </w:p>
    <w:p w14:paraId="412EF181" w14:textId="2D1497E8"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A14632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3BC28B77" w:rsidR="00B613D9"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pit the largest and most expensive 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316D2B60" w14:textId="2540D258" w:rsidR="00115952" w:rsidRPr="007A5BBC" w:rsidRDefault="00115952" w:rsidP="00924BE2">
      <w:pPr>
        <w:ind w:firstLine="720"/>
        <w:jc w:val="both"/>
        <w:rPr>
          <w:rFonts w:ascii="Times New Roman" w:hAnsi="Times New Roman"/>
          <w:szCs w:val="24"/>
        </w:rPr>
      </w:pPr>
      <w:bookmarkStart w:id="1018" w:name="_Hlk90561672"/>
      <w:r>
        <w:rPr>
          <w:rFonts w:ascii="Times New Roman" w:hAnsi="Times New Roman"/>
          <w:szCs w:val="24"/>
        </w:rPr>
        <w:t>Almost anything can be done to reorganize a debtor in Chapter 11 with the requisite levels of consent from creditors. The trick is proposing a plan which will cause as much pain to creditors as possible while still receiving the affirmative votes of the requisite majorities. Debtor</w:t>
      </w:r>
      <w:r w:rsidR="00C12065">
        <w:rPr>
          <w:rFonts w:ascii="Times New Roman" w:hAnsi="Times New Roman"/>
          <w:szCs w:val="24"/>
        </w:rPr>
        <w:t>s</w:t>
      </w:r>
      <w:r>
        <w:rPr>
          <w:rFonts w:ascii="Times New Roman" w:hAnsi="Times New Roman"/>
          <w:szCs w:val="24"/>
        </w:rPr>
        <w:t xml:space="preserve"> who cannot obtain the requisite votes must “cramdown” the plan on non-consenting classes of creditors in the limited ways allowed by the bankruptcy code. </w:t>
      </w:r>
    </w:p>
    <w:bookmarkEnd w:id="1018"/>
    <w:p w14:paraId="412EF185" w14:textId="6AC2C9C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perform legal work</w:t>
      </w:r>
      <w:r w:rsidR="00115952">
        <w:rPr>
          <w:rFonts w:ascii="Times New Roman" w:hAnsi="Times New Roman"/>
          <w:szCs w:val="24"/>
        </w:rPr>
        <w:t xml:space="preserve"> </w:t>
      </w:r>
      <w:r w:rsidR="005A4A55">
        <w:rPr>
          <w:rFonts w:ascii="Times New Roman" w:hAnsi="Times New Roman"/>
          <w:szCs w:val="24"/>
        </w:rPr>
        <w:t xml:space="preserve">that is </w:t>
      </w:r>
      <w:r w:rsidR="00115952">
        <w:rPr>
          <w:rFonts w:ascii="Times New Roman" w:hAnsi="Times New Roman"/>
          <w:szCs w:val="24"/>
        </w:rPr>
        <w:t>custom tailed to the particular case</w:t>
      </w:r>
      <w:r w:rsidRPr="007A5BBC">
        <w:rPr>
          <w:rFonts w:ascii="Times New Roman" w:hAnsi="Times New Roman"/>
          <w:szCs w:val="24"/>
        </w:rPr>
        <w:t>, those handling Chapter 12 and 13 cases work from an off-the-rack reorganization plan structure</w:t>
      </w:r>
      <w:r w:rsidR="00083725">
        <w:rPr>
          <w:rFonts w:ascii="Times New Roman" w:hAnsi="Times New Roman"/>
          <w:szCs w:val="24"/>
        </w:rPr>
        <w:t xml:space="preserve">. </w:t>
      </w:r>
      <w:r w:rsidRPr="007A5BBC">
        <w:rPr>
          <w:rFonts w:ascii="Times New Roman" w:hAnsi="Times New Roman"/>
          <w:szCs w:val="24"/>
        </w:rPr>
        <w:t xml:space="preserve">Like Chapter 7, Chapters 12 and 13 </w:t>
      </w:r>
      <w:r w:rsidR="00115952">
        <w:rPr>
          <w:rFonts w:ascii="Times New Roman" w:hAnsi="Times New Roman"/>
          <w:szCs w:val="24"/>
        </w:rPr>
        <w:t>are structured simply, limiting what the debtor can do to reorganize its business</w:t>
      </w:r>
      <w:r w:rsidR="00083725">
        <w:rPr>
          <w:rFonts w:ascii="Times New Roman" w:hAnsi="Times New Roman"/>
          <w:szCs w:val="24"/>
        </w:rPr>
        <w:t xml:space="preserve">. </w:t>
      </w:r>
      <w:r w:rsidRPr="007A5BBC">
        <w:rPr>
          <w:rFonts w:ascii="Times New Roman" w:hAnsi="Times New Roman"/>
          <w:szCs w:val="24"/>
        </w:rPr>
        <w:t>There is no voting</w:t>
      </w:r>
      <w:r w:rsidR="005A4A55">
        <w:rPr>
          <w:rFonts w:ascii="Times New Roman" w:hAnsi="Times New Roman"/>
          <w:szCs w:val="24"/>
        </w:rPr>
        <w:t xml:space="preserve"> and no </w:t>
      </w:r>
      <w:r w:rsidRPr="007A5BBC">
        <w:rPr>
          <w:rFonts w:ascii="Times New Roman" w:hAnsi="Times New Roman"/>
          <w:szCs w:val="24"/>
        </w:rPr>
        <w:t>need to reach agreement</w:t>
      </w:r>
      <w:r w:rsidR="005A4A55">
        <w:rPr>
          <w:rFonts w:ascii="Times New Roman" w:hAnsi="Times New Roman"/>
          <w:szCs w:val="24"/>
        </w:rPr>
        <w:t>s with the majority of creditors</w:t>
      </w:r>
      <w:r w:rsidRPr="007A5BBC">
        <w:rPr>
          <w:rFonts w:ascii="Times New Roman" w:hAnsi="Times New Roman"/>
          <w:szCs w:val="24"/>
        </w:rPr>
        <w:t xml:space="preserve"> – the plan either meets the requirements for confirmation or it does</w:t>
      </w:r>
      <w:r w:rsidR="00503471" w:rsidRPr="007A5BBC">
        <w:rPr>
          <w:rFonts w:ascii="Times New Roman" w:hAnsi="Times New Roman"/>
          <w:szCs w:val="24"/>
        </w:rPr>
        <w:t xml:space="preserve"> not</w:t>
      </w:r>
      <w:r w:rsidR="00115952">
        <w:rPr>
          <w:rFonts w:ascii="Times New Roman" w:hAnsi="Times New Roman"/>
          <w:szCs w:val="24"/>
        </w:rPr>
        <w:t>, and the bankruptcy law says what can and cannot be done to restructure creditor claims.</w:t>
      </w:r>
    </w:p>
    <w:p w14:paraId="412EF186" w14:textId="3F122314" w:rsidR="00B613D9" w:rsidRDefault="00B613D9" w:rsidP="00924BE2">
      <w:pPr>
        <w:ind w:firstLine="720"/>
        <w:jc w:val="both"/>
        <w:rPr>
          <w:rFonts w:ascii="Times New Roman" w:hAnsi="Times New Roman"/>
          <w:szCs w:val="24"/>
        </w:rPr>
      </w:pPr>
      <w:r w:rsidRPr="007A5BBC">
        <w:rPr>
          <w:rFonts w:ascii="Times New Roman" w:hAnsi="Times New Roman"/>
          <w:szCs w:val="24"/>
        </w:rPr>
        <w:lastRenderedPageBreak/>
        <w:t>Chapter 15 is a new provision for foreign parties that have filed a bankruptcy or bankruptcy-like proceeding in another country to obtain assistance through an ancillary proceeding in the United States to deal with assets located in the United States.</w:t>
      </w:r>
    </w:p>
    <w:p w14:paraId="35D87B80" w14:textId="77777777" w:rsidR="005C49E0" w:rsidRPr="007A5BBC" w:rsidRDefault="005C49E0" w:rsidP="00924BE2">
      <w:pPr>
        <w:ind w:firstLine="720"/>
        <w:jc w:val="both"/>
        <w:rPr>
          <w:rFonts w:ascii="Times New Roman" w:hAnsi="Times New Roman"/>
          <w:szCs w:val="24"/>
        </w:rPr>
      </w:pPr>
    </w:p>
    <w:p w14:paraId="412EF187" w14:textId="5C9D7A5B" w:rsidR="00B613D9" w:rsidRPr="007A5BBC" w:rsidRDefault="00B613D9" w:rsidP="005C49E0">
      <w:pPr>
        <w:pStyle w:val="Heading2"/>
        <w:spacing w:line="240" w:lineRule="auto"/>
      </w:pPr>
      <w:bookmarkStart w:id="1019" w:name="_Toc417380764"/>
      <w:bookmarkStart w:id="1020" w:name="_Toc79699094"/>
      <w:bookmarkStart w:id="1021" w:name="_Toc79699420"/>
      <w:bookmarkStart w:id="1022" w:name="_Toc79699758"/>
      <w:bookmarkStart w:id="1023" w:name="_Toc79700078"/>
      <w:bookmarkStart w:id="1024" w:name="_Toc79700400"/>
      <w:bookmarkStart w:id="1025" w:name="_Toc87039177"/>
      <w:bookmarkStart w:id="1026" w:name="_Toc90983573"/>
      <w:r w:rsidRPr="007A5BBC">
        <w:t>Jurisdiction and Venue of Bankruptcy Cases</w:t>
      </w:r>
      <w:bookmarkStart w:id="1027" w:name="_Toc79692952"/>
      <w:bookmarkStart w:id="1028" w:name="_Toc79693272"/>
      <w:bookmarkStart w:id="1029" w:name="_Toc79693592"/>
      <w:bookmarkStart w:id="1030" w:name="_Toc79693909"/>
      <w:bookmarkStart w:id="1031" w:name="_Toc79694549"/>
      <w:bookmarkStart w:id="1032" w:name="_Toc79695177"/>
      <w:bookmarkStart w:id="1033" w:name="_Toc79697423"/>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005C49E0">
        <w:br/>
      </w:r>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412EF18A" w14:textId="3BDBBF0F" w:rsidR="00B613D9" w:rsidRDefault="00B613D9" w:rsidP="00924BE2">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he litigant’s constitutional right to have a judge with 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783D746B" w14:textId="77777777" w:rsidR="00F772B9" w:rsidRPr="007A5BBC" w:rsidRDefault="00F772B9" w:rsidP="00924BE2">
      <w:pPr>
        <w:ind w:firstLine="720"/>
        <w:jc w:val="both"/>
        <w:rPr>
          <w:rFonts w:ascii="Times New Roman" w:hAnsi="Times New Roman"/>
          <w:szCs w:val="24"/>
        </w:rPr>
      </w:pPr>
    </w:p>
    <w:p w14:paraId="412EF18C" w14:textId="633B96D6" w:rsidR="00B613D9" w:rsidRPr="00A11BBB" w:rsidRDefault="00646EC9" w:rsidP="00F772B9">
      <w:pPr>
        <w:pStyle w:val="Heading2"/>
        <w:spacing w:line="240" w:lineRule="auto"/>
      </w:pPr>
      <w:bookmarkStart w:id="1034" w:name="_Toc417380765"/>
      <w:bookmarkStart w:id="1035" w:name="_Toc79699095"/>
      <w:bookmarkStart w:id="1036" w:name="_Toc79699421"/>
      <w:bookmarkStart w:id="1037" w:name="_Toc79699759"/>
      <w:bookmarkStart w:id="1038" w:name="_Toc79700079"/>
      <w:bookmarkStart w:id="1039" w:name="_Toc79700401"/>
      <w:bookmarkStart w:id="1040" w:name="_Toc87039178"/>
      <w:bookmarkStart w:id="1041" w:name="_Toc90983574"/>
      <w:r>
        <w:t>Cases on t</w:t>
      </w:r>
      <w:r w:rsidR="004B0460" w:rsidRPr="007A5BBC">
        <w:t xml:space="preserve">he Constitutional Limits </w:t>
      </w:r>
      <w:r>
        <w:t xml:space="preserve">of </w:t>
      </w:r>
      <w:r w:rsidR="004B0460" w:rsidRPr="007A5BBC">
        <w:t xml:space="preserve">Bankruptcy </w:t>
      </w:r>
      <w:r w:rsidR="00B613D9" w:rsidRPr="007A5BBC">
        <w:t>Jurisdiction</w:t>
      </w:r>
      <w:bookmarkStart w:id="1042" w:name="_Toc79692953"/>
      <w:bookmarkStart w:id="1043" w:name="_Toc79693273"/>
      <w:bookmarkStart w:id="1044" w:name="_Toc79693593"/>
      <w:bookmarkStart w:id="1045" w:name="_Toc79693910"/>
      <w:bookmarkStart w:id="1046" w:name="_Toc79694550"/>
      <w:bookmarkStart w:id="1047" w:name="_Toc79695178"/>
      <w:bookmarkStart w:id="1048" w:name="_Toc79697424"/>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r w:rsidR="00F772B9">
        <w:br/>
      </w:r>
    </w:p>
    <w:p w14:paraId="412EF18E" w14:textId="5C16A142" w:rsidR="00B613D9" w:rsidRPr="00F772B9" w:rsidRDefault="007C1024" w:rsidP="00F772B9">
      <w:pPr>
        <w:pStyle w:val="Heading3"/>
        <w:rPr>
          <w:u w:val="single"/>
        </w:rPr>
      </w:pPr>
      <w:hyperlink r:id="rId59" w:history="1">
        <w:bookmarkStart w:id="1049" w:name="_Toc87039179"/>
        <w:bookmarkStart w:id="1050" w:name="_Toc90983575"/>
        <w:r w:rsidR="00B613D9" w:rsidRPr="00F772B9">
          <w:rPr>
            <w:rStyle w:val="Hyperlink"/>
          </w:rPr>
          <w:t>N</w:t>
        </w:r>
        <w:r w:rsidR="00A11BBB" w:rsidRPr="00F772B9">
          <w:rPr>
            <w:rStyle w:val="Hyperlink"/>
          </w:rPr>
          <w:t>ORTHERN PIPELINE CO</w:t>
        </w:r>
        <w:r w:rsidR="00F616F2" w:rsidRPr="00F772B9">
          <w:rPr>
            <w:rStyle w:val="Hyperlink"/>
          </w:rPr>
          <w:t>. v. MARATHON PIPE LINE CO.</w:t>
        </w:r>
        <w:r w:rsidR="00A11BBB" w:rsidRPr="00F772B9">
          <w:rPr>
            <w:rStyle w:val="Hyperlink"/>
          </w:rPr>
          <w:t xml:space="preserve">, </w:t>
        </w:r>
        <w:r w:rsidR="00B613D9" w:rsidRPr="00F772B9">
          <w:rPr>
            <w:rStyle w:val="Hyperlink"/>
          </w:rPr>
          <w:t>458 U.S. 50 (1982)</w:t>
        </w:r>
        <w:bookmarkEnd w:id="1049"/>
        <w:bookmarkEnd w:id="1050"/>
      </w:hyperlink>
      <w:bookmarkStart w:id="1051" w:name="_Toc79692954"/>
      <w:bookmarkStart w:id="1052" w:name="_Toc79693274"/>
      <w:bookmarkStart w:id="1053" w:name="_Toc79693594"/>
      <w:bookmarkStart w:id="1054" w:name="_Toc79693911"/>
      <w:bookmarkStart w:id="1055" w:name="_Toc79694229"/>
      <w:bookmarkStart w:id="1056" w:name="_Toc79694551"/>
      <w:bookmarkStart w:id="1057" w:name="_Toc79694863"/>
      <w:bookmarkStart w:id="1058" w:name="_Toc79695179"/>
      <w:bookmarkStart w:id="1059" w:name="_Toc79695495"/>
      <w:bookmarkStart w:id="1060" w:name="_Toc79695811"/>
      <w:bookmarkStart w:id="1061" w:name="_Toc79696127"/>
      <w:bookmarkStart w:id="1062" w:name="_Toc79696443"/>
      <w:bookmarkStart w:id="1063" w:name="_Toc79696764"/>
      <w:bookmarkStart w:id="1064" w:name="_Toc79697096"/>
      <w:bookmarkStart w:id="1065" w:name="_Toc79697425"/>
      <w:bookmarkStart w:id="1066" w:name="_Toc79699096"/>
      <w:bookmarkStart w:id="1067" w:name="_Toc79699422"/>
      <w:bookmarkStart w:id="1068" w:name="_Toc79699760"/>
      <w:bookmarkStart w:id="1069" w:name="_Toc79700080"/>
      <w:bookmarkStart w:id="1070" w:name="_Toc79700402"/>
      <w:bookmarkStart w:id="1071" w:name="_Toc79700724"/>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00F772B9" w:rsidRPr="00F772B9">
        <w:rPr>
          <w:rStyle w:val="Hyperlink"/>
        </w:rPr>
        <w:br/>
      </w:r>
    </w:p>
    <w:p w14:paraId="412EF18F" w14:textId="77777777" w:rsidR="00B613D9" w:rsidRPr="007A5BBC" w:rsidRDefault="00B613D9" w:rsidP="00A11BBB">
      <w:pPr>
        <w:ind w:firstLine="720"/>
        <w:rPr>
          <w:rFonts w:ascii="Times New Roman" w:hAnsi="Times New Roman"/>
          <w:szCs w:val="24"/>
        </w:rPr>
      </w:pPr>
      <w:r w:rsidRPr="007A5BBC">
        <w:rPr>
          <w:rFonts w:ascii="Times New Roman" w:hAnsi="Times New Roman"/>
          <w:szCs w:val="24"/>
        </w:rPr>
        <w:t xml:space="preserve">JUSTICE BRENNAN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Act eliminates the referee system and establishes "in each judicial district, as an adjunct to the district court for such district, a bankruptcy court which shall be a court of record 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53BD167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60"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 xml:space="preserve">Analogizing the role of the bankruptcy court to </w:t>
      </w:r>
      <w:r w:rsidRPr="007A5BBC">
        <w:rPr>
          <w:rFonts w:ascii="Times New Roman" w:hAnsi="Times New Roman"/>
          <w:szCs w:val="24"/>
        </w:rPr>
        <w:lastRenderedPageBreak/>
        <w:t>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 xml:space="preserve">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w:t>
      </w:r>
      <w:r w:rsidRPr="007A5BBC">
        <w:rPr>
          <w:rFonts w:ascii="Times New Roman" w:hAnsi="Times New Roman"/>
          <w:szCs w:val="24"/>
        </w:rPr>
        <w:lastRenderedPageBreak/>
        <w:t>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judgment of the District Court is affirmed. However, we stay our judgment until October 4, 1982. This limited stay will afford Congress an opportunity to reconstitute the bankruptcy courts or to adopt other valid means of adjudication, without impairing the interim administration of the bankruptcy laws. </w:t>
      </w:r>
    </w:p>
    <w:p w14:paraId="412EF1A4" w14:textId="172F01DC" w:rsidR="00B613D9"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016702EF" w14:textId="77777777" w:rsidR="00CF32A5" w:rsidRPr="007A5BBC" w:rsidRDefault="00CF32A5" w:rsidP="00924BE2">
      <w:pPr>
        <w:ind w:firstLine="720"/>
        <w:jc w:val="both"/>
        <w:rPr>
          <w:rFonts w:ascii="Times New Roman" w:hAnsi="Times New Roman"/>
          <w:szCs w:val="24"/>
        </w:rPr>
      </w:pPr>
    </w:p>
    <w:p w14:paraId="412EF1A6" w14:textId="5C1862E0" w:rsidR="00B613D9" w:rsidRPr="007A5BBC" w:rsidRDefault="00B613D9" w:rsidP="00CF32A5">
      <w:pPr>
        <w:pStyle w:val="Heading2"/>
        <w:spacing w:line="240" w:lineRule="auto"/>
      </w:pPr>
      <w:bookmarkStart w:id="1072" w:name="_Toc417380766"/>
      <w:bookmarkStart w:id="1073" w:name="_Toc79699097"/>
      <w:bookmarkStart w:id="1074" w:name="_Toc79699423"/>
      <w:bookmarkStart w:id="1075" w:name="_Toc79699761"/>
      <w:bookmarkStart w:id="1076" w:name="_Toc79700081"/>
      <w:bookmarkStart w:id="1077" w:name="_Toc79700403"/>
      <w:bookmarkStart w:id="1078" w:name="_Toc87039180"/>
      <w:bookmarkStart w:id="1079" w:name="_Toc90983576"/>
      <w:r w:rsidRPr="007A5BBC">
        <w:t xml:space="preserve">The Aftermath of </w:t>
      </w:r>
      <w:r w:rsidRPr="007A5BBC">
        <w:rPr>
          <w:i/>
        </w:rPr>
        <w:t>Northern Pipeline</w:t>
      </w:r>
      <w:bookmarkStart w:id="1080" w:name="_Toc79692955"/>
      <w:bookmarkStart w:id="1081" w:name="_Toc79693275"/>
      <w:bookmarkStart w:id="1082" w:name="_Toc79693595"/>
      <w:bookmarkStart w:id="1083" w:name="_Toc79693912"/>
      <w:bookmarkStart w:id="1084" w:name="_Toc79694552"/>
      <w:bookmarkStart w:id="1085" w:name="_Toc79695180"/>
      <w:bookmarkStart w:id="1086" w:name="_Toc79697426"/>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r w:rsidR="00CF32A5">
        <w:rPr>
          <w:i/>
        </w:rPr>
        <w:br/>
      </w:r>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3AF7424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1984, Congress codified the emergency rule into 28 U.S.C. Section 157,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E9E8630" w14:textId="0724F6A9" w:rsidR="00BF19DF" w:rsidRPr="007A5BBC" w:rsidRDefault="00B613D9" w:rsidP="0048119A">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w:t>
      </w:r>
      <w:r w:rsidR="00114B9E">
        <w:rPr>
          <w:rFonts w:ascii="Times New Roman" w:hAnsi="Times New Roman"/>
          <w:szCs w:val="24"/>
        </w:rPr>
        <w:t xml:space="preserve"> before the Bankruptcy Courts: </w:t>
      </w:r>
      <w:r w:rsidRPr="007A5BBC">
        <w:rPr>
          <w:rFonts w:ascii="Times New Roman" w:hAnsi="Times New Roman"/>
          <w:szCs w:val="24"/>
        </w:rPr>
        <w:t>“core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p>
    <w:p w14:paraId="412EF1AC" w14:textId="35B02345" w:rsidR="004B0460" w:rsidRPr="007A5BBC" w:rsidRDefault="00666E3F" w:rsidP="00CF32A5">
      <w:pPr>
        <w:pStyle w:val="Heading2"/>
        <w:spacing w:line="240" w:lineRule="auto"/>
      </w:pPr>
      <w:bookmarkStart w:id="1087" w:name="_Toc417380767"/>
      <w:bookmarkStart w:id="1088" w:name="_Toc79699098"/>
      <w:bookmarkStart w:id="1089" w:name="_Toc79699424"/>
      <w:bookmarkStart w:id="1090" w:name="_Toc79699762"/>
      <w:bookmarkStart w:id="1091" w:name="_Toc79700082"/>
      <w:bookmarkStart w:id="1092" w:name="_Toc79700404"/>
      <w:bookmarkStart w:id="1093" w:name="_Toc87039181"/>
      <w:bookmarkStart w:id="1094" w:name="_Toc90983577"/>
      <w:r w:rsidRPr="007A5BBC">
        <w:lastRenderedPageBreak/>
        <w:t>C</w:t>
      </w:r>
      <w:r w:rsidR="00646EC9">
        <w:t xml:space="preserve">ases on the </w:t>
      </w:r>
      <w:r w:rsidR="004B0460" w:rsidRPr="007A5BBC">
        <w:t xml:space="preserve">Constitutional Limits </w:t>
      </w:r>
      <w:r w:rsidR="00646EC9">
        <w:t xml:space="preserve">of </w:t>
      </w:r>
      <w:r w:rsidR="004B0460" w:rsidRPr="007A5BBC">
        <w:t>Bankruptcy Jurisdiction</w:t>
      </w:r>
      <w:bookmarkEnd w:id="1087"/>
      <w:r w:rsidR="00646EC9">
        <w:t xml:space="preserve"> after </w:t>
      </w:r>
      <w:r w:rsidR="00646EC9" w:rsidRPr="00646EC9">
        <w:rPr>
          <w:i/>
        </w:rPr>
        <w:t>Marathon</w:t>
      </w:r>
      <w:bookmarkStart w:id="1095" w:name="_Toc79692956"/>
      <w:bookmarkStart w:id="1096" w:name="_Toc79693276"/>
      <w:bookmarkStart w:id="1097" w:name="_Toc79693596"/>
      <w:bookmarkStart w:id="1098" w:name="_Toc79693913"/>
      <w:bookmarkStart w:id="1099" w:name="_Toc79694553"/>
      <w:bookmarkStart w:id="1100" w:name="_Toc79695181"/>
      <w:bookmarkStart w:id="1101" w:name="_Toc7969742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sidR="00CF32A5">
        <w:rPr>
          <w:i/>
        </w:rPr>
        <w:br/>
      </w:r>
    </w:p>
    <w:bookmarkStart w:id="1102" w:name="_Toc87039182"/>
    <w:p w14:paraId="412EF1AE" w14:textId="1BC25C40" w:rsidR="00B613D9" w:rsidRPr="0080423B" w:rsidRDefault="0080423B" w:rsidP="00CF32A5">
      <w:pPr>
        <w:pStyle w:val="Heading3"/>
        <w:rPr>
          <w:color w:val="222222"/>
          <w:u w:val="single"/>
        </w:rPr>
      </w:pPr>
      <w:r w:rsidRPr="0080423B">
        <w:rPr>
          <w:u w:val="single"/>
        </w:rPr>
        <w:fldChar w:fldCharType="begin"/>
      </w:r>
      <w:r w:rsidRPr="0080423B">
        <w:rPr>
          <w:u w:val="single"/>
        </w:rPr>
        <w:instrText xml:space="preserve"> HYPERLINK "https://scholar.google.com/scholar_case?case=16980166730142930251&amp;q=STERN+v.+MARSHALL,+564+U.S.+2,+131+S.+Ct.+2594&amp;hl=en&amp;as_sdt=6,33" </w:instrText>
      </w:r>
      <w:r w:rsidRPr="0080423B">
        <w:rPr>
          <w:u w:val="single"/>
        </w:rPr>
        <w:fldChar w:fldCharType="separate"/>
      </w:r>
      <w:bookmarkStart w:id="1103" w:name="_Toc90983578"/>
      <w:r w:rsidR="00B613D9" w:rsidRPr="0080423B">
        <w:rPr>
          <w:rStyle w:val="Hyperlink"/>
        </w:rPr>
        <w:t>S</w:t>
      </w:r>
      <w:r w:rsidR="00132693" w:rsidRPr="0080423B">
        <w:rPr>
          <w:rStyle w:val="Hyperlink"/>
        </w:rPr>
        <w:t>TERN v. MARSHALL</w:t>
      </w:r>
      <w:r w:rsidR="00F616F2" w:rsidRPr="0080423B">
        <w:rPr>
          <w:rStyle w:val="Hyperlink"/>
        </w:rPr>
        <w:t>,</w:t>
      </w:r>
      <w:r w:rsidR="00132693" w:rsidRPr="0080423B">
        <w:rPr>
          <w:rStyle w:val="Hyperlink"/>
        </w:rPr>
        <w:t xml:space="preserve"> </w:t>
      </w:r>
      <w:r w:rsidR="00B613D9" w:rsidRPr="0080423B">
        <w:rPr>
          <w:rStyle w:val="Hyperlink"/>
          <w:bCs w:val="0"/>
        </w:rPr>
        <w:t xml:space="preserve">564 U.S. </w:t>
      </w:r>
      <w:r>
        <w:rPr>
          <w:rStyle w:val="Hyperlink"/>
          <w:bCs w:val="0"/>
        </w:rPr>
        <w:t>46</w:t>
      </w:r>
      <w:r w:rsidR="00B613D9" w:rsidRPr="0080423B">
        <w:rPr>
          <w:rStyle w:val="Hyperlink"/>
          <w:bCs w:val="0"/>
        </w:rPr>
        <w:t>2</w:t>
      </w:r>
      <w:r w:rsidR="00325227" w:rsidRPr="0080423B">
        <w:rPr>
          <w:rStyle w:val="Hyperlink"/>
          <w:bCs w:val="0"/>
        </w:rPr>
        <w:t>,</w:t>
      </w:r>
      <w:r w:rsidR="00A00881" w:rsidRPr="0080423B">
        <w:rPr>
          <w:rStyle w:val="Hyperlink"/>
          <w:bCs w:val="0"/>
        </w:rPr>
        <w:t xml:space="preserve"> </w:t>
      </w:r>
      <w:r w:rsidR="00325227" w:rsidRPr="0080423B">
        <w:rPr>
          <w:rStyle w:val="Hyperlink"/>
          <w:bCs w:val="0"/>
        </w:rPr>
        <w:t xml:space="preserve">131 </w:t>
      </w:r>
      <w:r w:rsidR="00B17D36" w:rsidRPr="0080423B">
        <w:rPr>
          <w:rStyle w:val="Hyperlink"/>
          <w:bCs w:val="0"/>
        </w:rPr>
        <w:t>S.Ct.</w:t>
      </w:r>
      <w:r w:rsidR="00325227" w:rsidRPr="0080423B">
        <w:rPr>
          <w:rStyle w:val="Hyperlink"/>
          <w:bCs w:val="0"/>
        </w:rPr>
        <w:t xml:space="preserve"> 2594</w:t>
      </w:r>
      <w:r w:rsidR="00132693" w:rsidRPr="0080423B">
        <w:rPr>
          <w:rStyle w:val="Hyperlink"/>
          <w:bCs w:val="0"/>
        </w:rPr>
        <w:t xml:space="preserve"> </w:t>
      </w:r>
      <w:r w:rsidR="00B613D9" w:rsidRPr="0080423B">
        <w:rPr>
          <w:rStyle w:val="Hyperlink"/>
          <w:bCs w:val="0"/>
        </w:rPr>
        <w:t>(2011)</w:t>
      </w:r>
      <w:bookmarkStart w:id="1104" w:name="_Toc79692957"/>
      <w:bookmarkStart w:id="1105" w:name="_Toc79693277"/>
      <w:bookmarkStart w:id="1106" w:name="_Toc79693597"/>
      <w:bookmarkStart w:id="1107" w:name="_Toc79693914"/>
      <w:bookmarkStart w:id="1108" w:name="_Toc79694232"/>
      <w:bookmarkStart w:id="1109" w:name="_Toc79694554"/>
      <w:bookmarkStart w:id="1110" w:name="_Toc79694866"/>
      <w:bookmarkStart w:id="1111" w:name="_Toc79695182"/>
      <w:bookmarkStart w:id="1112" w:name="_Toc79695498"/>
      <w:bookmarkStart w:id="1113" w:name="_Toc79695814"/>
      <w:bookmarkStart w:id="1114" w:name="_Toc79696130"/>
      <w:bookmarkStart w:id="1115" w:name="_Toc79696446"/>
      <w:bookmarkStart w:id="1116" w:name="_Toc79696767"/>
      <w:bookmarkStart w:id="1117" w:name="_Toc79697099"/>
      <w:bookmarkStart w:id="1118" w:name="_Toc79697428"/>
      <w:bookmarkStart w:id="1119" w:name="_Toc79699099"/>
      <w:bookmarkStart w:id="1120" w:name="_Toc79699425"/>
      <w:bookmarkStart w:id="1121" w:name="_Toc79699763"/>
      <w:bookmarkStart w:id="1122" w:name="_Toc79700083"/>
      <w:bookmarkStart w:id="1123" w:name="_Toc79700405"/>
      <w:bookmarkStart w:id="1124" w:name="_Toc79700727"/>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sidRPr="0080423B">
        <w:rPr>
          <w:u w:val="single"/>
        </w:rPr>
        <w:fldChar w:fldCharType="end"/>
      </w:r>
    </w:p>
    <w:p w14:paraId="412EF1AF" w14:textId="77777777" w:rsidR="00B613D9" w:rsidRPr="007A5BBC" w:rsidRDefault="00B613D9" w:rsidP="00CF32A5">
      <w:pPr>
        <w:keepNext/>
        <w:shd w:val="clear" w:color="auto" w:fill="FFFFFF"/>
        <w:spacing w:before="100" w:beforeAutospacing="1" w:after="100" w:afterAutospacing="1"/>
        <w:ind w:firstLine="720"/>
        <w:rPr>
          <w:rFonts w:ascii="Times New Roman" w:hAnsi="Times New Roman"/>
          <w:color w:val="222222"/>
          <w:szCs w:val="24"/>
        </w:rPr>
      </w:pPr>
      <w:r w:rsidRPr="007A5BBC">
        <w:rPr>
          <w:rFonts w:ascii="Times New Roman" w:hAnsi="Times New Roman"/>
          <w:color w:val="222222"/>
          <w:szCs w:val="24"/>
        </w:rPr>
        <w:t xml:space="preserve">CHIEF JUSTICE ROBERTS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xml:space="preserve">, </w:t>
      </w:r>
      <w:r w:rsidRPr="003C6FD2">
        <w:rPr>
          <w:rFonts w:ascii="Times New Roman" w:hAnsi="Times New Roman"/>
          <w:szCs w:val="24"/>
        </w:rPr>
        <w:t xml:space="preserve">in course of time, become so complicated, that ... no two ... lawyers can talk about it for five minutes, without coming to a total disagreement as to all the premises. Innumerable children have been born into </w:t>
      </w:r>
      <w:r w:rsidRPr="007A5BBC">
        <w:rPr>
          <w:rFonts w:ascii="Times New Roman" w:hAnsi="Times New Roman"/>
          <w:color w:val="222222"/>
          <w:szCs w:val="24"/>
        </w:rPr>
        <w:t>the cause: innumerable young people have married into it;" and, sadly, the original parties "have died out of it." A "long procession of [judges] has come in and gone out" during that time, and still the suit "drags its weary length before the Court."</w:t>
      </w:r>
    </w:p>
    <w:p w14:paraId="412EF1B1" w14:textId="25956FE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1125" w:name="r[1]"/>
      <w:r w:rsidRPr="007A5BBC">
        <w:rPr>
          <w:rFonts w:ascii="Times New Roman" w:hAnsi="Times New Roman"/>
          <w:color w:val="222222"/>
          <w:szCs w:val="24"/>
        </w:rPr>
        <w:t>ce in her bankruptcy proceeding</w:t>
      </w:r>
      <w:bookmarkEnd w:id="1125"/>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28 U.S.C. § 157(b)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10B0511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r w:rsidR="00115952">
        <w:rPr>
          <w:rFonts w:ascii="Times New Roman" w:hAnsi="Times New Roman"/>
          <w:color w:val="222222"/>
          <w:szCs w:val="24"/>
        </w:rPr>
        <w:t>authority to do so.</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[28 U.S.C.} § 157(b)(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6F9FDC81"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61"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65555E6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With those concerns in mind, the court concluded that "a counterclaim under § 157(b)(</w:t>
      </w:r>
      <w:r w:rsidRPr="00306632">
        <w:rPr>
          <w:rFonts w:ascii="Times New Roman" w:hAnsi="Times New Roman"/>
          <w:color w:val="222222"/>
          <w:szCs w:val="24"/>
        </w:rPr>
        <w:t>2</w:t>
      </w:r>
      <w:r w:rsidRPr="007A5BBC">
        <w:rPr>
          <w:rFonts w:ascii="Times New Roman" w:hAnsi="Times New Roman"/>
          <w:color w:val="222222"/>
          <w:szCs w:val="24"/>
        </w:rPr>
        <w:t>)(C) is properly a `core' proceeding `arising in a case under' the [Bankruptcy] Code only if the counterclaim is so closely related to [a creditor's] proof of claim that the resolution of the counterclaim is necessary to resolve the allowance or disallowance of the 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 xml:space="preserve">That holding made "the Texas probate court's judgment ... the earliest final judgment entered on matters relevant to this proceeding," and therefore the Court of Appeals concluded that the District Court should have </w:t>
      </w:r>
      <w:r w:rsidRPr="007A5BBC">
        <w:rPr>
          <w:rFonts w:ascii="Times New Roman" w:hAnsi="Times New Roman"/>
          <w:color w:val="222222"/>
          <w:szCs w:val="24"/>
        </w:rPr>
        <w:lastRenderedPageBreak/>
        <w:t>"afford[ed] preclusive effect" to the Texas "court's determination of relevant legal and factual issues." </w:t>
      </w:r>
    </w:p>
    <w:p w14:paraId="412EF1B9"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[The Court then reviewed the operation of 28 U.S.C. § 157.]</w:t>
      </w:r>
    </w:p>
    <w:p w14:paraId="412EF1B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Vickie's counterclaim against Pierce for tortious interference is a "core proceeding" under the plain text of § 157(b)(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concludes that all proceedings that “arise under” or “arise in a case under” Title 11 are “Core Proceedings” within the meaning of 28 U.S.C. § 157, and that only matters merely “related to” Title 11 are non-core matters.]</w:t>
      </w:r>
    </w:p>
    <w:p w14:paraId="412EF1B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Pierce argues, as another alternative to reaching the constitutional question, that the Bankruptcy Court lacked jurisdiction to enter final judgment on his defamation claim. Section 157(b)(5)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 157(b)(5) simply specifies the venue in which "personal injury tort and wrongful death claims" should be tried. Given the limited scope of that provision, Vickie argues, a party may waive or forfeit any objections under § 157(b)(5),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We need not determine what constitutes a "personal injury tort" in this case because we agree with Vickie that § 157(b)(5) is not jurisdictional, and that Pierce consented to the Bankruptcy Court's resolution of his defamation claim.</w:t>
      </w:r>
    </w:p>
    <w:p w14:paraId="412EF1BE" w14:textId="4715CCE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 157(b)(5) prohibited the Bankruptcy Court from resolving his defamation claim until over two years—and several adverse discovery rulings—after he filed that claim in June 1996. Given 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 xml:space="preserve">Instead, </w:t>
      </w:r>
      <w:r w:rsidRPr="007A5BBC">
        <w:rPr>
          <w:rFonts w:ascii="Times New Roman" w:hAnsi="Times New Roman"/>
          <w:color w:val="222222"/>
          <w:szCs w:val="24"/>
        </w:rPr>
        <w:lastRenderedPageBreak/>
        <w:t>Pierce repeatedly stated to the Bankruptcy Court that he was happy to litigate there. We will not consider his claim to the contrary, now that he is sad.</w:t>
      </w:r>
    </w:p>
    <w:p w14:paraId="412EF1BF" w14:textId="7BD4CBE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we conclude that § 157(b)(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4589CF08"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[The Court then review</w:t>
      </w:r>
      <w:r w:rsidR="001C0CB0">
        <w:rPr>
          <w:rFonts w:ascii="Times New Roman" w:hAnsi="Times New Roman"/>
          <w:color w:val="222222"/>
          <w:szCs w:val="24"/>
        </w:rPr>
        <w:t>ed</w:t>
      </w:r>
      <w:r w:rsidRPr="007A5BBC">
        <w:rPr>
          <w:rFonts w:ascii="Times New Roman" w:hAnsi="Times New Roman"/>
          <w:color w:val="222222"/>
          <w:szCs w:val="24"/>
        </w:rPr>
        <w:t xml:space="preserve">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4124B0AC"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our decision in</w:t>
      </w:r>
      <w:r w:rsidR="001C0CB0">
        <w:rPr>
          <w:rFonts w:ascii="Times New Roman" w:hAnsi="Times New Roman"/>
          <w:color w:val="222222"/>
          <w:szCs w:val="24"/>
        </w:rPr>
        <w:t xml:space="preserve">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5A088EDD"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for example, the newly constituted bankruptcy courts are charged under § 157(b)(2)(C)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 </w:t>
      </w:r>
      <w:r w:rsidRPr="007A5BBC">
        <w:rPr>
          <w:rFonts w:ascii="Times New Roman" w:hAnsi="Times New Roman"/>
          <w:i/>
          <w:iCs/>
          <w:color w:val="222222"/>
          <w:szCs w:val="24"/>
        </w:rPr>
        <w:t>Northern Pipeline,</w:t>
      </w:r>
      <w:r w:rsidRPr="007A5BBC">
        <w:rPr>
          <w:rFonts w:ascii="Times New Roman" w:hAnsi="Times New Roman"/>
          <w:color w:val="222222"/>
          <w:szCs w:val="24"/>
        </w:rPr>
        <w:t> the new courts in core proceedings "issue final judgments, which are binding and enforceable even in the absence of an appeal." And, as in </w:t>
      </w:r>
      <w:r w:rsidRPr="007A5BBC">
        <w:rPr>
          <w:rFonts w:ascii="Times New Roman" w:hAnsi="Times New Roman"/>
          <w:i/>
          <w:iCs/>
          <w:color w:val="222222"/>
          <w:szCs w:val="24"/>
        </w:rPr>
        <w:t>Northern Pipeline,</w:t>
      </w:r>
      <w:r w:rsidRPr="007A5BBC">
        <w:rPr>
          <w:rFonts w:ascii="Times New Roman" w:hAnsi="Times New Roman"/>
          <w:color w:val="222222"/>
          <w:szCs w:val="24"/>
        </w:rPr>
        <w:t> 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Nor can the bankruptcy courts under the 1984 Act be dismissed as mere adjuncts of Article III courts, any more than could the bankruptcy courts under the 1978 Act. The judicial 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Furthermore, the asserted authority to decide Vickie's claim is not limited to a "particularized area of the law." This is not a situation in which Congress devised an "expert and inexpensive method for dealing with a class of questions of fact which are particularly suited to examination and determination by an administrative agency specially assigned to that task."  The </w:t>
      </w:r>
      <w:r w:rsidRPr="007A5BBC">
        <w:rPr>
          <w:rFonts w:ascii="Times New Roman" w:hAnsi="Times New Roman"/>
          <w:color w:val="222222"/>
          <w:szCs w:val="24"/>
        </w:rPr>
        <w:lastRenderedPageBreak/>
        <w:t>"experts"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0EA42ECA"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2"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3"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xml:space="preserve">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bankruptcy referee could decide whether there had been a voidable preference in determining </w:t>
      </w:r>
      <w:r w:rsidRPr="007A5BBC">
        <w:rPr>
          <w:rFonts w:ascii="Times New Roman" w:hAnsi="Times New Roman"/>
          <w:color w:val="222222"/>
          <w:szCs w:val="24"/>
        </w:rPr>
        <w:lastRenderedPageBreak/>
        <w:t>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329BB0C1"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a bankruptcy court resolving a counterclaim under 28 U.S.C. § 157(b)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w:t>
      </w:r>
      <w:r w:rsidRPr="007A5BBC">
        <w:rPr>
          <w:rFonts w:ascii="Times New Roman" w:hAnsi="Times New Roman"/>
          <w:color w:val="222222"/>
          <w:szCs w:val="24"/>
        </w:rPr>
        <w:lastRenderedPageBreak/>
        <w:t xml:space="preserve">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5681E694"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1334(c)</w:t>
      </w:r>
      <w:r w:rsidR="009E65CD">
        <w:rPr>
          <w:rFonts w:ascii="Times New Roman" w:hAnsi="Times New Roman"/>
          <w:color w:val="222222"/>
          <w:szCs w:val="24"/>
        </w:rPr>
        <w:t>(2)</w:t>
      </w:r>
      <w:r w:rsidRPr="007A5BBC">
        <w:rPr>
          <w:rFonts w:ascii="Times New Roman" w:hAnsi="Times New Roman"/>
          <w:color w:val="222222"/>
          <w:szCs w:val="24"/>
        </w:rPr>
        <w:t>, for example, requires that bankruptcy courts abstain from hearing specified non-core, state law claims that "can be timely adjudicated[] in a State forum of appropriate jurisdiction." Section 1334(c)(1) similarly provides that bankruptcy courts may abstain from hearing any proceeding, including core matters, "in the interest of comity with State courts or respect for State law."</w:t>
      </w:r>
    </w:p>
    <w:p w14:paraId="412EF1D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 157(c)(1), and permits the district court to withdraw from the bankruptcy court any referred case, proceeding, or part thereof, § 157(d).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w:t>
      </w:r>
      <w:r w:rsidRPr="007A5BBC">
        <w:rPr>
          <w:rFonts w:ascii="Times New Roman" w:hAnsi="Times New Roman"/>
          <w:color w:val="222222"/>
          <w:szCs w:val="24"/>
        </w:rPr>
        <w:lastRenderedPageBreak/>
        <w:t>a state law counterclaim that is not resolved in the process of ruling on a creditor's proof of claim. Accordingly, the judgment of the Court of Appeals is affirmed.</w:t>
      </w:r>
    </w:p>
    <w:p w14:paraId="412EF1D9" w14:textId="6527764F" w:rsidR="00B613D9"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5F299A1" w14:textId="77777777" w:rsidR="00CF32A5" w:rsidRPr="007A5BBC" w:rsidRDefault="00CF32A5" w:rsidP="00924BE2">
      <w:pPr>
        <w:ind w:firstLine="720"/>
        <w:jc w:val="both"/>
        <w:rPr>
          <w:rFonts w:ascii="Times New Roman" w:hAnsi="Times New Roman"/>
          <w:i/>
          <w:iCs/>
          <w:color w:val="222222"/>
          <w:szCs w:val="24"/>
        </w:rPr>
      </w:pPr>
    </w:p>
    <w:p w14:paraId="32B7EB71" w14:textId="0A59D47A" w:rsidR="00FD72C5" w:rsidRPr="00CF32A5" w:rsidRDefault="007C1024" w:rsidP="00CF32A5">
      <w:pPr>
        <w:pStyle w:val="Heading3"/>
        <w:rPr>
          <w:u w:val="single"/>
        </w:rPr>
      </w:pPr>
      <w:hyperlink r:id="rId64" w:history="1">
        <w:bookmarkStart w:id="1126" w:name="_Toc87039183"/>
        <w:bookmarkStart w:id="1127" w:name="_Toc90983579"/>
        <w:r w:rsidR="00FD72C5" w:rsidRPr="00CF32A5">
          <w:rPr>
            <w:rStyle w:val="Hyperlink"/>
          </w:rPr>
          <w:t>W</w:t>
        </w:r>
        <w:r w:rsidR="00132693" w:rsidRPr="00CF32A5">
          <w:rPr>
            <w:rStyle w:val="Hyperlink"/>
          </w:rPr>
          <w:t xml:space="preserve">ELLNESS INTERNATIONAL NETWORK, LTD., v. SHARF, </w:t>
        </w:r>
        <w:r w:rsidR="00325227" w:rsidRPr="00CF32A5">
          <w:rPr>
            <w:rStyle w:val="Hyperlink"/>
          </w:rPr>
          <w:t>135 S.Ct. 1932</w:t>
        </w:r>
        <w:r w:rsidR="00FD72C5" w:rsidRPr="00CF32A5">
          <w:rPr>
            <w:rStyle w:val="Hyperlink"/>
          </w:rPr>
          <w:t xml:space="preserve"> (2015)</w:t>
        </w:r>
        <w:bookmarkEnd w:id="1126"/>
        <w:bookmarkEnd w:id="1127"/>
      </w:hyperlink>
      <w:bookmarkStart w:id="1128" w:name="_Toc79692958"/>
      <w:bookmarkStart w:id="1129" w:name="_Toc79693278"/>
      <w:bookmarkStart w:id="1130" w:name="_Toc79693598"/>
      <w:bookmarkStart w:id="1131" w:name="_Toc79693915"/>
      <w:bookmarkStart w:id="1132" w:name="_Toc79694233"/>
      <w:bookmarkStart w:id="1133" w:name="_Toc79694555"/>
      <w:bookmarkStart w:id="1134" w:name="_Toc79694867"/>
      <w:bookmarkStart w:id="1135" w:name="_Toc79695183"/>
      <w:bookmarkStart w:id="1136" w:name="_Toc79695499"/>
      <w:bookmarkStart w:id="1137" w:name="_Toc79695815"/>
      <w:bookmarkStart w:id="1138" w:name="_Toc79696131"/>
      <w:bookmarkStart w:id="1139" w:name="_Toc79696447"/>
      <w:bookmarkStart w:id="1140" w:name="_Toc79696768"/>
      <w:bookmarkStart w:id="1141" w:name="_Toc79697100"/>
      <w:bookmarkStart w:id="1142" w:name="_Toc79697429"/>
      <w:bookmarkStart w:id="1143" w:name="_Toc79699100"/>
      <w:bookmarkStart w:id="1144" w:name="_Toc79699426"/>
      <w:bookmarkStart w:id="1145" w:name="_Toc79699764"/>
      <w:bookmarkStart w:id="1146" w:name="_Toc79700084"/>
      <w:bookmarkStart w:id="1147" w:name="_Toc79700406"/>
      <w:bookmarkStart w:id="1148" w:name="_Toc79700728"/>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CF32A5">
        <w:rPr>
          <w:rStyle w:val="Hyperlink"/>
        </w:rPr>
        <w:br/>
      </w:r>
    </w:p>
    <w:p w14:paraId="4F5DD599"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JUSTICE SOTOMAYOR delivered the opinion of the Court. </w:t>
      </w:r>
    </w:p>
    <w:p w14:paraId="5DD81CCE"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77777777" w:rsidR="00FD72C5" w:rsidRPr="007A5BBC" w:rsidRDefault="00FD72C5" w:rsidP="00CF32A5">
      <w:pPr>
        <w:ind w:left="1440" w:right="1530"/>
        <w:jc w:val="both"/>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28 U.S.C. § 157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5680FB76" w:rsidR="00FD72C5" w:rsidRPr="007A5BBC" w:rsidRDefault="00FD72C5" w:rsidP="00CF32A5">
      <w:pPr>
        <w:jc w:val="both"/>
        <w:rPr>
          <w:rFonts w:ascii="Times New Roman" w:hAnsi="Times New Roman"/>
          <w:szCs w:val="24"/>
        </w:rPr>
      </w:pPr>
      <w:r w:rsidRPr="007A5BBC">
        <w:rPr>
          <w:rFonts w:ascii="Times New Roman" w:hAnsi="Times New Roman"/>
          <w:szCs w:val="24"/>
        </w:rPr>
        <w:t>Absent consent, bankruptcy courts in non-core proceedings may only “submit proposed findings of fact and conclusions of law,” which the district courts review de novo. §</w:t>
      </w:r>
      <w:r w:rsidR="00100C91">
        <w:rPr>
          <w:rFonts w:ascii="Times New Roman" w:hAnsi="Times New Roman"/>
          <w:szCs w:val="24"/>
        </w:rPr>
        <w:t xml:space="preserve"> </w:t>
      </w:r>
      <w:r w:rsidRPr="007A5BBC">
        <w:rPr>
          <w:rFonts w:ascii="Times New Roman" w:hAnsi="Times New Roman"/>
          <w:szCs w:val="24"/>
        </w:rPr>
        <w:t xml:space="preserve">157(c)(1). </w:t>
      </w:r>
    </w:p>
    <w:p w14:paraId="015262DB"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084BA983"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lastRenderedPageBreak/>
        <w:t>In February 2009, Sharif filed for Chapter 7 bankruptcy in the Northern District of Illinois. The bankruptcy petition listed Wellness as a creditor. Wellness requested documents concerning Sharif ’s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s debts because, among other reasons, 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6A973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28 </w:t>
      </w:r>
      <w:r w:rsidR="00B17D36">
        <w:rPr>
          <w:rFonts w:ascii="Times New Roman" w:hAnsi="Times New Roman"/>
          <w:szCs w:val="24"/>
        </w:rPr>
        <w:t>U.S.C.</w:t>
      </w:r>
      <w:r w:rsidRPr="007A5BBC">
        <w:rPr>
          <w:rFonts w:ascii="Times New Roman" w:hAnsi="Times New Roman"/>
          <w:szCs w:val="24"/>
        </w:rPr>
        <w:t xml:space="preserve"> §157(b)—i.e.,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603EADB0"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65"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4AD40972"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claims – designated by 28 U.S.C. § 157 as core claims but not constitutionally subject to core jurisdiction – and that Stern could not consent to the Bankruptcy Court’s jurisdiction because separation of powers considerations were implicated.]  We . . . now reverse the judgment of the Seventh Circuit.</w:t>
      </w:r>
    </w:p>
    <w:p w14:paraId="69383C0E" w14:textId="5F9A2D86"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the Republic, </w:t>
      </w:r>
      <w:r w:rsidRPr="007A5BBC">
        <w:rPr>
          <w:rFonts w:ascii="Times New Roman" w:hAnsi="Times New Roman"/>
          <w:szCs w:val="24"/>
        </w:rPr>
        <w:lastRenderedPageBreak/>
        <w:t xml:space="preserve">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66"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Schor,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5354E116"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67"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68"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77777777"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w:t>
      </w:r>
      <w:r w:rsidRPr="007A5BBC">
        <w:rPr>
          <w:rFonts w:ascii="Times New Roman" w:hAnsi="Times New Roman"/>
          <w:szCs w:val="24"/>
        </w:rPr>
        <w:lastRenderedPageBreak/>
        <w:t>constitutional prerogatives of Article III courts. [the Court then reviews the pervasive power of control exercised by the District Courts over the Bankruptcy Court’s jurisdiction under 28 U.S.C. § 157].</w:t>
      </w:r>
    </w:p>
    <w:p w14:paraId="090780C0" w14:textId="57A5F64E"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[The Court distinguishes these prior cases as not involving true consent, and responds various arguments made by the dissent].</w:t>
      </w:r>
    </w:p>
    <w:p w14:paraId="7FE2F480" w14:textId="76C7EF32"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28 </w:t>
      </w:r>
      <w:r w:rsidR="00B17D36">
        <w:rPr>
          <w:rFonts w:ascii="Times New Roman" w:hAnsi="Times New Roman"/>
          <w:szCs w:val="24"/>
        </w:rPr>
        <w:t>U.S.C.</w:t>
      </w:r>
      <w:r w:rsidRPr="007A5BBC">
        <w:rPr>
          <w:rFonts w:ascii="Times New Roman" w:hAnsi="Times New Roman"/>
          <w:szCs w:val="24"/>
        </w:rPr>
        <w:t xml:space="preserve"> §157, mandate express consent; it states only that a bankruptcy court must obtain “the consent”—consent simpliciter—“of all parties to the proceeding” before hearing and determining a non-core claim. §</w:t>
      </w:r>
      <w:r w:rsidR="00100C91">
        <w:rPr>
          <w:rFonts w:ascii="Times New Roman" w:hAnsi="Times New Roman"/>
          <w:szCs w:val="24"/>
        </w:rPr>
        <w:t xml:space="preserve"> </w:t>
      </w:r>
      <w:r w:rsidRPr="007A5BBC">
        <w:rPr>
          <w:rFonts w:ascii="Times New Roman" w:hAnsi="Times New Roman"/>
          <w:szCs w:val="24"/>
        </w:rPr>
        <w:t xml:space="preserve">157(c)(2).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1149" w:name="OLE_LINK219"/>
      <w:bookmarkStart w:id="1150" w:name="OLE_LINK221"/>
      <w:r w:rsidRPr="007A5BBC">
        <w:rPr>
          <w:rFonts w:ascii="Times New Roman" w:hAnsi="Times New Roman"/>
          <w:szCs w:val="24"/>
        </w:rPr>
        <w:t xml:space="preserve">. [T]he key 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1149"/>
    <w:bookmarkEnd w:id="1150"/>
    <w:p w14:paraId="40CADFE4" w14:textId="37F2F7B3" w:rsidR="00FD72C5" w:rsidRPr="007A5BBC" w:rsidRDefault="00FD72C5" w:rsidP="00CF32A5">
      <w:pPr>
        <w:ind w:firstLine="720"/>
        <w:jc w:val="both"/>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39CC97E0" w:rsidR="00EA781F" w:rsidRDefault="00FD72C5" w:rsidP="00CF32A5">
      <w:pPr>
        <w:ind w:firstLine="720"/>
        <w:jc w:val="both"/>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78EB3221" w14:textId="77777777" w:rsidR="00CF32A5" w:rsidRPr="007A5BBC" w:rsidRDefault="00CF32A5" w:rsidP="00CF32A5">
      <w:pPr>
        <w:ind w:firstLine="720"/>
        <w:jc w:val="both"/>
        <w:rPr>
          <w:rFonts w:ascii="Times New Roman" w:hAnsi="Times New Roman"/>
          <w:szCs w:val="24"/>
        </w:rPr>
      </w:pPr>
    </w:p>
    <w:p w14:paraId="412EF1DB" w14:textId="684FFE61" w:rsidR="00B613D9" w:rsidRPr="007A5BBC" w:rsidRDefault="00132693" w:rsidP="00CF32A5">
      <w:pPr>
        <w:pStyle w:val="Heading2"/>
        <w:spacing w:line="240" w:lineRule="auto"/>
      </w:pPr>
      <w:bookmarkStart w:id="1151" w:name="_Toc417380768"/>
      <w:bookmarkStart w:id="1152" w:name="_Toc79699101"/>
      <w:bookmarkStart w:id="1153" w:name="_Toc79699427"/>
      <w:bookmarkStart w:id="1154" w:name="_Toc79699765"/>
      <w:bookmarkStart w:id="1155" w:name="_Toc79700085"/>
      <w:bookmarkStart w:id="1156" w:name="_Toc79700407"/>
      <w:bookmarkStart w:id="1157" w:name="_Toc87039184"/>
      <w:bookmarkStart w:id="1158" w:name="_Toc90983580"/>
      <w:r>
        <w:t>Practice Problems</w:t>
      </w:r>
      <w:bookmarkEnd w:id="1151"/>
      <w:r w:rsidR="00FD72C5" w:rsidRPr="007A5BBC">
        <w:t>: Bankruptcy Court Jurisdiction</w:t>
      </w:r>
      <w:bookmarkStart w:id="1159" w:name="_Toc79692959"/>
      <w:bookmarkStart w:id="1160" w:name="_Toc79693279"/>
      <w:bookmarkStart w:id="1161" w:name="_Toc79693599"/>
      <w:bookmarkStart w:id="1162" w:name="_Toc79693916"/>
      <w:bookmarkStart w:id="1163" w:name="_Toc79694556"/>
      <w:bookmarkStart w:id="1164" w:name="_Toc79695184"/>
      <w:bookmarkStart w:id="1165" w:name="_Toc79697430"/>
      <w:bookmarkStart w:id="1166" w:name="_Hlk90561717"/>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r w:rsidR="00CF32A5">
        <w:br/>
      </w:r>
    </w:p>
    <w:p w14:paraId="412EF1DD" w14:textId="286AFAE1" w:rsidR="0082190C" w:rsidRPr="003A7198" w:rsidRDefault="00132693" w:rsidP="003A7198">
      <w:pPr>
        <w:pStyle w:val="0-NORMAL"/>
      </w:pPr>
      <w:bookmarkStart w:id="1167" w:name="OLE_LINK222"/>
      <w:bookmarkStart w:id="1168" w:name="OLE_LINK223"/>
      <w:bookmarkEnd w:id="1166"/>
      <w:r w:rsidRPr="003A7198">
        <w:rPr>
          <w:b/>
        </w:rPr>
        <w:t>Problem 1</w:t>
      </w:r>
      <w:r w:rsidR="00AB3EFD">
        <w:t xml:space="preserve">. </w:t>
      </w:r>
      <w:r w:rsidR="00B613D9" w:rsidRPr="007A5BBC">
        <w:t>Creditor files a proof of claim against the estate</w:t>
      </w:r>
      <w:r w:rsidR="005F6A8B">
        <w:t xml:space="preserve">. </w:t>
      </w:r>
      <w:r w:rsidR="00B613D9" w:rsidRPr="007A5BBC">
        <w:t xml:space="preserve">Is a counterclaim brought against the creditor under Section 548 of the Bankruptcy Code to recover a fraudulent conveyance </w:t>
      </w:r>
      <w:r w:rsidR="00B613D9" w:rsidRPr="007A5BBC">
        <w:lastRenderedPageBreak/>
        <w:t xml:space="preserve">a “core” matter under Section 157? </w:t>
      </w:r>
      <w:r w:rsidR="00B613D9" w:rsidRPr="008C3330">
        <w:rPr>
          <w:i/>
          <w:iCs/>
        </w:rPr>
        <w:t xml:space="preserve">See </w:t>
      </w:r>
      <w:r w:rsidR="00B613D9" w:rsidRPr="007A5BBC">
        <w:t>28 U.S.C. § 157(b)(2)(C)</w:t>
      </w:r>
      <w:r w:rsidR="005F6A8B">
        <w:t xml:space="preserve">. </w:t>
      </w:r>
      <w:r w:rsidR="00B613D9" w:rsidRPr="007A5BBC">
        <w:t xml:space="preserve">If so, is it constitutional for the claim to be a “core” matter? </w:t>
      </w:r>
    </w:p>
    <w:p w14:paraId="484E6AF8" w14:textId="17C5500B" w:rsidR="00132693" w:rsidRPr="003A7198" w:rsidRDefault="00132693" w:rsidP="003A7198">
      <w:pPr>
        <w:pStyle w:val="0-NORMAL"/>
      </w:pPr>
      <w:r w:rsidRPr="003A7198">
        <w:rPr>
          <w:b/>
        </w:rPr>
        <w:t>Problem 2</w:t>
      </w:r>
      <w:r w:rsidR="00AB3EFD">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8C3330">
        <w:rPr>
          <w:i/>
          <w:iCs/>
        </w:rPr>
        <w:t xml:space="preserve">See </w:t>
      </w:r>
      <w:hyperlink r:id="rId69"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S.Ct. 2165 (</w:t>
        </w:r>
        <w:r w:rsidR="00B613D9" w:rsidRPr="00CD4BEA">
          <w:rPr>
            <w:rStyle w:val="Hyperlink"/>
          </w:rPr>
          <w:t>2014).</w:t>
        </w:r>
      </w:hyperlink>
    </w:p>
    <w:p w14:paraId="25B36F75" w14:textId="372600FA" w:rsidR="00132693" w:rsidRPr="005A4A55" w:rsidRDefault="00132693" w:rsidP="005A4A55">
      <w:pPr>
        <w:pStyle w:val="0-NORMAL"/>
      </w:pPr>
      <w:r w:rsidRPr="003A7198">
        <w:rPr>
          <w:b/>
        </w:rPr>
        <w:t>Problem 3</w:t>
      </w:r>
      <w:r w:rsidR="00AB3EFD">
        <w:t xml:space="preserve">. </w:t>
      </w:r>
      <w:r w:rsidR="00B613D9" w:rsidRPr="007A5BBC">
        <w:t xml:space="preserve">Is 28 U.S.C. </w:t>
      </w:r>
      <w:r w:rsidR="00CD460F">
        <w:t xml:space="preserve">§ 157(b)(2)(O) constitutional? </w:t>
      </w:r>
      <w:r w:rsidR="00B613D9" w:rsidRPr="007A5BBC">
        <w:t>Can you think of any legal matters that might arise in a bankruptcy case that would not affect the debtor-creditor or equity security holder relationship?</w:t>
      </w:r>
    </w:p>
    <w:p w14:paraId="412EF1E2" w14:textId="064113E2" w:rsidR="00B613D9" w:rsidRPr="007A5BBC" w:rsidRDefault="00132693" w:rsidP="003A7198">
      <w:pPr>
        <w:pStyle w:val="0-NORMAL"/>
      </w:pPr>
      <w:r w:rsidRPr="003A7198">
        <w:rPr>
          <w:b/>
        </w:rPr>
        <w:t>Problem 4</w:t>
      </w:r>
      <w:r w:rsidR="00AB3EFD">
        <w:t xml:space="preserve">. </w:t>
      </w:r>
      <w:r w:rsidR="00B613D9" w:rsidRPr="007A5BBC">
        <w:t>Suppose a creditor who was injured by the debtor’s defective product 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8C3330">
        <w:rPr>
          <w:i/>
          <w:iCs/>
        </w:rPr>
        <w:t xml:space="preserve">See </w:t>
      </w:r>
      <w:r w:rsidR="00B613D9" w:rsidRPr="007A5BBC">
        <w:t>28 U.S.C. § 157(b)(5)</w:t>
      </w:r>
      <w:r w:rsidR="005F6A8B">
        <w:t xml:space="preserve">. </w:t>
      </w:r>
      <w:r w:rsidR="00B613D9" w:rsidRPr="007A5BBC">
        <w:t xml:space="preserve">Does the creditor need to do anything if the creditor does not want the matter to be </w:t>
      </w:r>
      <w:r w:rsidR="00CD460F">
        <w:t xml:space="preserve">heard by the bankruptcy court? </w:t>
      </w:r>
      <w:r w:rsidR="00B613D9" w:rsidRPr="008C3330">
        <w:rPr>
          <w:i/>
          <w:iCs/>
        </w:rPr>
        <w:t xml:space="preserve">See </w:t>
      </w:r>
      <w:r w:rsidR="00B613D9" w:rsidRPr="007A5BBC">
        <w:t>Bankruptcy Rule 5011</w:t>
      </w:r>
      <w:r w:rsidR="005F6A8B">
        <w:t xml:space="preserve">. </w:t>
      </w:r>
      <w:r w:rsidR="00B613D9" w:rsidRPr="007A5BBC">
        <w:t>Can the Bankruptcy Court estimate the claim for purposes of determin</w:t>
      </w:r>
      <w:r w:rsidR="005D61FD">
        <w:t>ing</w:t>
      </w:r>
      <w:r w:rsidR="00B613D9" w:rsidRPr="007A5BBC">
        <w:t xml:space="preserve"> the size of the creditor’s vote on confirmation of a plan of re</w:t>
      </w:r>
      <w:r w:rsidR="00CD460F">
        <w:t xml:space="preserve">organization? </w:t>
      </w:r>
      <w:r w:rsidR="00B613D9" w:rsidRPr="007A5BBC">
        <w:t xml:space="preserve">Read </w:t>
      </w:r>
      <w:r w:rsidR="002A1480">
        <w:t xml:space="preserve">28 U.S.C. </w:t>
      </w:r>
      <w:r w:rsidR="00100C91" w:rsidRPr="007A5BBC">
        <w:t>§</w:t>
      </w:r>
      <w:r w:rsidR="00100C91">
        <w:t xml:space="preserve"> </w:t>
      </w:r>
      <w:r w:rsidR="00B613D9" w:rsidRPr="007A5BBC">
        <w:t xml:space="preserve">157(b)(2)(B) carefully. </w:t>
      </w:r>
    </w:p>
    <w:p w14:paraId="412EF1E3" w14:textId="1C99B91E" w:rsidR="00B613D9" w:rsidRPr="007A5BBC" w:rsidRDefault="00132693" w:rsidP="003A7198">
      <w:pPr>
        <w:pStyle w:val="0-NORMAL"/>
      </w:pPr>
      <w:r w:rsidRPr="003A7198">
        <w:rPr>
          <w:b/>
        </w:rPr>
        <w:t>Problem 5</w:t>
      </w:r>
      <w:r w:rsidR="00AB3EFD">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8C3330">
        <w:rPr>
          <w:i/>
          <w:iCs/>
        </w:rPr>
        <w:t xml:space="preserve">See </w:t>
      </w:r>
      <w:r w:rsidR="00B613D9" w:rsidRPr="007A5BBC">
        <w:t>28 U.S.C. § 1334(c)(1) and (2).</w:t>
      </w:r>
    </w:p>
    <w:p w14:paraId="412EF1E5" w14:textId="1170BABF" w:rsidR="00B613D9" w:rsidRDefault="00132693" w:rsidP="003A7198">
      <w:pPr>
        <w:pStyle w:val="0-NORMAL"/>
      </w:pPr>
      <w:bookmarkStart w:id="1169" w:name="_Hlk90561768"/>
      <w:r w:rsidRPr="003A7198">
        <w:rPr>
          <w:b/>
        </w:rPr>
        <w:t>Problem 6</w:t>
      </w:r>
      <w:r w:rsidR="00AB3EFD">
        <w:t xml:space="preserve">. </w:t>
      </w:r>
      <w:r w:rsidR="00B613D9" w:rsidRPr="007A5BBC">
        <w:t>What is the “de novo” review required by 28 U.S.C. § 157(c)(</w:t>
      </w:r>
      <w:r w:rsidR="004B0460" w:rsidRPr="007A5BBC">
        <w:t xml:space="preserve">1)? </w:t>
      </w:r>
      <w:r w:rsidR="004B0460" w:rsidRPr="008C3330">
        <w:rPr>
          <w:i/>
          <w:iCs/>
        </w:rPr>
        <w:t xml:space="preserve">See </w:t>
      </w:r>
      <w:r w:rsidR="004B0460" w:rsidRPr="007A5BBC">
        <w:t>Bankruptcy Rule 9033(d)</w:t>
      </w:r>
      <w:r w:rsidR="00DB09BA">
        <w:t xml:space="preserve">. </w:t>
      </w:r>
      <w:r w:rsidR="00B613D9" w:rsidRPr="007A5BBC">
        <w:t>When is withdrawal of reference mandatory under 28 U.S.C. § 157(d)?</w:t>
      </w:r>
    </w:p>
    <w:p w14:paraId="2CB8F892" w14:textId="77777777" w:rsidR="00CF32A5" w:rsidRPr="007A5BBC" w:rsidRDefault="00CF32A5" w:rsidP="003A7198">
      <w:pPr>
        <w:pStyle w:val="0-NORMAL"/>
      </w:pPr>
    </w:p>
    <w:p w14:paraId="412EF1E7" w14:textId="5FD44AA6" w:rsidR="00B613D9" w:rsidRPr="007A5BBC" w:rsidRDefault="00B613D9" w:rsidP="00CF32A5">
      <w:pPr>
        <w:pStyle w:val="Heading2"/>
        <w:spacing w:line="240" w:lineRule="auto"/>
      </w:pPr>
      <w:bookmarkStart w:id="1170" w:name="_Toc417380769"/>
      <w:bookmarkStart w:id="1171" w:name="_Toc79699102"/>
      <w:bookmarkStart w:id="1172" w:name="_Toc79699428"/>
      <w:bookmarkStart w:id="1173" w:name="_Toc79699766"/>
      <w:bookmarkStart w:id="1174" w:name="_Toc79700086"/>
      <w:bookmarkStart w:id="1175" w:name="_Toc79700408"/>
      <w:bookmarkStart w:id="1176" w:name="_Toc87039185"/>
      <w:bookmarkStart w:id="1177" w:name="_Toc90983581"/>
      <w:bookmarkEnd w:id="1167"/>
      <w:bookmarkEnd w:id="1168"/>
      <w:bookmarkEnd w:id="1169"/>
      <w:r w:rsidRPr="007A5BBC">
        <w:t>Venue of Bankruptcy Cases</w:t>
      </w:r>
      <w:bookmarkStart w:id="1178" w:name="_Toc79692960"/>
      <w:bookmarkStart w:id="1179" w:name="_Toc79693280"/>
      <w:bookmarkStart w:id="1180" w:name="_Toc79693600"/>
      <w:bookmarkStart w:id="1181" w:name="_Toc79693917"/>
      <w:bookmarkStart w:id="1182" w:name="_Toc79694557"/>
      <w:bookmarkStart w:id="1183" w:name="_Toc79695185"/>
      <w:bookmarkStart w:id="1184" w:name="_Toc79697431"/>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r w:rsidR="00CF32A5">
        <w:br/>
      </w:r>
    </w:p>
    <w:p w14:paraId="412EF1E8" w14:textId="3F16ED43"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r w:rsidRPr="007A5BBC">
        <w:rPr>
          <w:rFonts w:ascii="Times New Roman" w:hAnsi="Times New Roman"/>
          <w:szCs w:val="24"/>
        </w:rPr>
        <w:t>28 U.S.C. § 1408(1)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081D3946"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An even greater forum shopping loophole is contained in 28 U.S.C. § 1408(2),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r w:rsidRPr="007A5BBC">
        <w:rPr>
          <w:rFonts w:ascii="Times New Roman" w:hAnsi="Times New Roman"/>
          <w:szCs w:val="24"/>
        </w:rPr>
        <w:t xml:space="preserve">28 U.S.C. § 1412 provides for transfer on </w:t>
      </w:r>
      <w:r w:rsidRPr="007A5BBC">
        <w:rPr>
          <w:rFonts w:ascii="Times New Roman" w:hAnsi="Times New Roman"/>
          <w:szCs w:val="24"/>
        </w:rPr>
        <w:lastRenderedPageBreak/>
        <w:t>“forum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494E7351" w:rsidR="00B613D9"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61AAD2F3" w14:textId="77777777" w:rsidR="00CF32A5" w:rsidRPr="007A5BBC" w:rsidRDefault="00CF32A5" w:rsidP="00924BE2">
      <w:pPr>
        <w:ind w:firstLine="720"/>
        <w:jc w:val="both"/>
        <w:rPr>
          <w:rFonts w:ascii="Times New Roman" w:hAnsi="Times New Roman"/>
          <w:szCs w:val="24"/>
        </w:rPr>
      </w:pPr>
    </w:p>
    <w:p w14:paraId="412EF1EE" w14:textId="41EEF3E8" w:rsidR="00BA21E0" w:rsidRPr="007A5BBC" w:rsidRDefault="0082190C" w:rsidP="00CF32A5">
      <w:pPr>
        <w:pStyle w:val="Heading2"/>
        <w:spacing w:line="240" w:lineRule="auto"/>
      </w:pPr>
      <w:bookmarkStart w:id="1185" w:name="_Toc417380770"/>
      <w:bookmarkStart w:id="1186" w:name="_Toc79699103"/>
      <w:bookmarkStart w:id="1187" w:name="_Toc79699429"/>
      <w:bookmarkStart w:id="1188" w:name="_Toc79699767"/>
      <w:bookmarkStart w:id="1189" w:name="_Toc79700087"/>
      <w:bookmarkStart w:id="1190" w:name="_Toc79700409"/>
      <w:bookmarkStart w:id="1191" w:name="_Toc87039186"/>
      <w:bookmarkStart w:id="1192" w:name="_Toc90983582"/>
      <w:r w:rsidRPr="007A5BBC">
        <w:t>C</w:t>
      </w:r>
      <w:r w:rsidR="00646EC9">
        <w:t xml:space="preserve">ases on Bankruptcy </w:t>
      </w:r>
      <w:r w:rsidRPr="007A5BBC">
        <w:t>Venue</w:t>
      </w:r>
      <w:bookmarkStart w:id="1193" w:name="_Toc79692961"/>
      <w:bookmarkStart w:id="1194" w:name="_Toc79693281"/>
      <w:bookmarkStart w:id="1195" w:name="_Toc79693601"/>
      <w:bookmarkStart w:id="1196" w:name="_Toc79693918"/>
      <w:bookmarkStart w:id="1197" w:name="_Toc79694558"/>
      <w:bookmarkStart w:id="1198" w:name="_Toc79695186"/>
      <w:bookmarkStart w:id="1199" w:name="_Toc79697432"/>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00CF32A5">
        <w:br/>
      </w:r>
    </w:p>
    <w:p w14:paraId="412EF1F0" w14:textId="2F5DAA69" w:rsidR="00B613D9" w:rsidRPr="00CF32A5" w:rsidRDefault="007C1024" w:rsidP="00CF32A5">
      <w:pPr>
        <w:pStyle w:val="Heading3"/>
        <w:rPr>
          <w:color w:val="222222"/>
          <w:u w:val="single"/>
          <w:shd w:val="clear" w:color="auto" w:fill="FFFFFF"/>
        </w:rPr>
      </w:pPr>
      <w:hyperlink r:id="rId70" w:history="1">
        <w:bookmarkStart w:id="1200" w:name="_Toc87039187"/>
        <w:bookmarkStart w:id="1201" w:name="_Toc90983583"/>
        <w:r w:rsidR="00B613D9" w:rsidRPr="00CF32A5">
          <w:rPr>
            <w:rStyle w:val="Hyperlink"/>
          </w:rPr>
          <w:t>I</w:t>
        </w:r>
        <w:r w:rsidR="00132693" w:rsidRPr="00CF32A5">
          <w:rPr>
            <w:rStyle w:val="Hyperlink"/>
          </w:rPr>
          <w:t xml:space="preserve">N </w:t>
        </w:r>
        <w:r w:rsidR="0070734B" w:rsidRPr="00CF32A5">
          <w:rPr>
            <w:rStyle w:val="Hyperlink"/>
          </w:rPr>
          <w:t xml:space="preserve">RE </w:t>
        </w:r>
        <w:r w:rsidR="00132693" w:rsidRPr="00CF32A5">
          <w:rPr>
            <w:rStyle w:val="Hyperlink"/>
          </w:rPr>
          <w:t xml:space="preserve">ENRON CORP., </w:t>
        </w:r>
        <w:r w:rsidR="00B613D9" w:rsidRPr="00CF32A5">
          <w:rPr>
            <w:rStyle w:val="Hyperlink"/>
            <w:bCs w:val="0"/>
            <w:shd w:val="clear" w:color="auto" w:fill="FFFFFF"/>
          </w:rPr>
          <w:t>274 B.R. 327 (2002)</w:t>
        </w:r>
        <w:bookmarkEnd w:id="1200"/>
        <w:bookmarkEnd w:id="1201"/>
      </w:hyperlink>
      <w:bookmarkStart w:id="1202" w:name="_Toc79692962"/>
      <w:bookmarkStart w:id="1203" w:name="_Toc79693282"/>
      <w:bookmarkStart w:id="1204" w:name="_Toc79693602"/>
      <w:bookmarkStart w:id="1205" w:name="_Toc79693919"/>
      <w:bookmarkStart w:id="1206" w:name="_Toc79694237"/>
      <w:bookmarkStart w:id="1207" w:name="_Toc79694559"/>
      <w:bookmarkStart w:id="1208" w:name="_Toc79694871"/>
      <w:bookmarkStart w:id="1209" w:name="_Toc79695187"/>
      <w:bookmarkStart w:id="1210" w:name="_Toc79695503"/>
      <w:bookmarkStart w:id="1211" w:name="_Toc79695819"/>
      <w:bookmarkStart w:id="1212" w:name="_Toc79696135"/>
      <w:bookmarkStart w:id="1213" w:name="_Toc79696451"/>
      <w:bookmarkStart w:id="1214" w:name="_Toc79696772"/>
      <w:bookmarkStart w:id="1215" w:name="_Toc79697104"/>
      <w:bookmarkStart w:id="1216" w:name="_Toc79697433"/>
      <w:bookmarkStart w:id="1217" w:name="_Toc79699104"/>
      <w:bookmarkStart w:id="1218" w:name="_Toc79699430"/>
      <w:bookmarkStart w:id="1219" w:name="_Toc79699768"/>
      <w:bookmarkStart w:id="1220" w:name="_Toc79700088"/>
      <w:bookmarkStart w:id="1221" w:name="_Toc79700410"/>
      <w:bookmarkStart w:id="1222" w:name="_Toc79700732"/>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r w:rsidR="00CF32A5" w:rsidRPr="00CF32A5">
        <w:rPr>
          <w:rStyle w:val="Hyperlink"/>
          <w:bCs w:val="0"/>
          <w:shd w:val="clear" w:color="auto" w:fill="FFFFFF"/>
        </w:rPr>
        <w:br/>
      </w:r>
    </w:p>
    <w:p w14:paraId="412EF1F1" w14:textId="77777777" w:rsidR="00B613D9" w:rsidRPr="00CF32A5" w:rsidRDefault="00B613D9" w:rsidP="00132693">
      <w:pPr>
        <w:ind w:firstLine="720"/>
        <w:rPr>
          <w:rFonts w:ascii="Times New Roman" w:hAnsi="Times New Roman"/>
          <w:color w:val="222222"/>
          <w:szCs w:val="24"/>
          <w:shd w:val="clear" w:color="auto" w:fill="FFFFFF"/>
        </w:rPr>
      </w:pPr>
      <w:r w:rsidRPr="00CF32A5">
        <w:rPr>
          <w:rFonts w:ascii="Times New Roman" w:hAnsi="Times New Roman"/>
          <w:color w:val="222222"/>
          <w:szCs w:val="24"/>
          <w:shd w:val="clear" w:color="auto" w:fill="FFFFFF"/>
        </w:rPr>
        <w:t>ARTHUR J. GONZALEZ,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DISCUSSION</w:t>
      </w:r>
    </w:p>
    <w:p w14:paraId="412EF20C" w14:textId="2EAB3864"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Section 1408 of title 28 of the United States Code governs venue in Chapter 11 cases. 28 U.S.C. § 1408 provides . . . </w:t>
      </w:r>
      <w:r w:rsidR="005F6A8B">
        <w:rPr>
          <w:rFonts w:ascii="Times New Roman" w:hAnsi="Times New Roman"/>
          <w:color w:val="222222"/>
          <w:szCs w:val="24"/>
        </w:rPr>
        <w:t xml:space="preserve">. </w:t>
      </w:r>
      <w:r w:rsidRPr="007A5BBC">
        <w:rPr>
          <w:rFonts w:ascii="Times New Roman" w:hAnsi="Times New Roman"/>
          <w:color w:val="222222"/>
          <w:szCs w:val="24"/>
        </w:rPr>
        <w:t>Under § 1408(1), a prospective debtor may select the venue for its Chapter 11 reorganization. Specifically, venue is proper in any jurisdiction where the debtor maintains a domicile, residence, principal place of business or where its principal assets are located for at least 180 days before the filing of the bankruptcy petition. Pursuant to 28 U.S.C. § 1408(2), venue is also proper for any affiliate that files a bankruptcy petition within a venue where there is already a bankruptcy case pending under § 1408(1).</w:t>
      </w:r>
    </w:p>
    <w:p w14:paraId="412EF20D"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Applied here, EMC filed a petition under the Bankruptcy Code on December 2, 2001 For purposes of venue under 28 U.S.C. 1408(1), the Court finds that EMC's bankruptcy petition was properly venued in the Southern District of New York because EMC maintains its principal place of business within this district.</w:t>
      </w:r>
    </w:p>
    <w:p w14:paraId="412EF20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28 U.S.C. § 1408(2). </w:t>
      </w:r>
    </w:p>
    <w:p w14:paraId="412EF20F" w14:textId="4FA8360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When venue is determined to be proper in the district where the bankruptcy case was filed, the case may nevertheless be transferred, on motion by a party, pursuant to 28 U.S.C. § 1412</w:t>
      </w:r>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283C16A8"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Pursuant to 28 U.S.C. § 1412,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operations which have no tangible location. Furthermore, the presence of the books and 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009FB453" w:rsidR="00B613D9"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finds that in considering matters of judicial economy, timeliness and fairness as well as the efficient administration of the estate, the interest of justice is served by retaining jurisdiction.</w:t>
      </w:r>
    </w:p>
    <w:p w14:paraId="09D57C78" w14:textId="77777777" w:rsidR="00AB5086" w:rsidRPr="007A5BBC" w:rsidRDefault="00AB5086" w:rsidP="00924BE2">
      <w:pPr>
        <w:ind w:firstLine="720"/>
        <w:jc w:val="both"/>
        <w:rPr>
          <w:rFonts w:ascii="Times New Roman" w:hAnsi="Times New Roman"/>
          <w:color w:val="222222"/>
          <w:szCs w:val="24"/>
        </w:rPr>
      </w:pPr>
    </w:p>
    <w:p w14:paraId="412EF21E" w14:textId="31738471" w:rsidR="00B613D9" w:rsidRPr="007A5BBC" w:rsidRDefault="0082190C" w:rsidP="00AB5086">
      <w:pPr>
        <w:pStyle w:val="Heading2"/>
        <w:spacing w:line="240" w:lineRule="auto"/>
      </w:pPr>
      <w:bookmarkStart w:id="1223" w:name="_Toc417380771"/>
      <w:bookmarkStart w:id="1224" w:name="_Toc79699105"/>
      <w:bookmarkStart w:id="1225" w:name="_Toc79699431"/>
      <w:bookmarkStart w:id="1226" w:name="_Toc79699769"/>
      <w:bookmarkStart w:id="1227" w:name="_Toc79700089"/>
      <w:bookmarkStart w:id="1228" w:name="_Toc79700411"/>
      <w:bookmarkStart w:id="1229" w:name="_Toc87039188"/>
      <w:bookmarkStart w:id="1230" w:name="_Toc90983584"/>
      <w:bookmarkStart w:id="1231" w:name="OLE_LINK224"/>
      <w:bookmarkStart w:id="1232" w:name="OLE_LINK225"/>
      <w:r w:rsidRPr="007A5BBC">
        <w:t>P</w:t>
      </w:r>
      <w:r w:rsidR="00132693">
        <w:t>ractice Problems</w:t>
      </w:r>
      <w:r w:rsidRPr="007A5BBC">
        <w:t xml:space="preserve">: </w:t>
      </w:r>
      <w:r w:rsidR="00C60FEF">
        <w:t xml:space="preserve">Filing </w:t>
      </w:r>
      <w:r w:rsidR="000D607D" w:rsidRPr="007A5BBC">
        <w:t>Voluntary Petitions</w:t>
      </w:r>
      <w:bookmarkStart w:id="1233" w:name="_Toc79692963"/>
      <w:bookmarkStart w:id="1234" w:name="_Toc79693283"/>
      <w:bookmarkStart w:id="1235" w:name="_Toc79693603"/>
      <w:bookmarkStart w:id="1236" w:name="_Toc79693920"/>
      <w:bookmarkStart w:id="1237" w:name="_Toc79694560"/>
      <w:bookmarkStart w:id="1238" w:name="_Toc79695188"/>
      <w:bookmarkStart w:id="1239" w:name="_Toc79697434"/>
      <w:bookmarkEnd w:id="1223"/>
      <w:bookmarkEnd w:id="1224"/>
      <w:bookmarkEnd w:id="1225"/>
      <w:bookmarkEnd w:id="1226"/>
      <w:bookmarkEnd w:id="1227"/>
      <w:bookmarkEnd w:id="1228"/>
      <w:bookmarkEnd w:id="1229"/>
      <w:bookmarkEnd w:id="1230"/>
      <w:bookmarkEnd w:id="1233"/>
      <w:bookmarkEnd w:id="1234"/>
      <w:bookmarkEnd w:id="1235"/>
      <w:bookmarkEnd w:id="1236"/>
      <w:bookmarkEnd w:id="1237"/>
      <w:bookmarkEnd w:id="1238"/>
      <w:bookmarkEnd w:id="1239"/>
      <w:r w:rsidR="00AB5086">
        <w:br/>
      </w:r>
    </w:p>
    <w:p w14:paraId="12B705C1" w14:textId="076E5E38" w:rsidR="00132693" w:rsidRDefault="00B613D9" w:rsidP="003A7198">
      <w:pPr>
        <w:pStyle w:val="0-NORMAL"/>
      </w:pPr>
      <w:r w:rsidRPr="007A5BBC">
        <w:t>The eligibility rules for filing bankruptcy are very liberal</w:t>
      </w:r>
      <w:r w:rsidR="005F6A8B">
        <w:t xml:space="preserve">. </w:t>
      </w:r>
      <w:r w:rsidRPr="007A5BBC">
        <w:t>Review 11 U.S.C</w:t>
      </w:r>
      <w:r w:rsidR="005F6A8B">
        <w:t xml:space="preserve">. </w:t>
      </w:r>
      <w:r w:rsidRPr="007A5BBC">
        <w:t>§ 109 and answer the following questions:</w:t>
      </w:r>
    </w:p>
    <w:p w14:paraId="7D7BFB3D" w14:textId="4F07B2D0" w:rsidR="003A7198" w:rsidRDefault="003A7198" w:rsidP="003A7198">
      <w:pPr>
        <w:pStyle w:val="0-NORMAL"/>
      </w:pPr>
      <w:r w:rsidRPr="003A7198">
        <w:rPr>
          <w:b/>
        </w:rPr>
        <w:t>Problem 1</w:t>
      </w:r>
      <w:r w:rsidR="00AB5086">
        <w:t xml:space="preserve">. </w:t>
      </w:r>
      <w:r w:rsidR="00B613D9" w:rsidRPr="00132693">
        <w:t>How can a corporation or partnership file bankruptcy when Section 109(a</w:t>
      </w:r>
      <w:r w:rsidR="00CD460F">
        <w:t xml:space="preserve">) limits filings to “persons?” </w:t>
      </w:r>
      <w:r w:rsidR="00B613D9" w:rsidRPr="008C3330">
        <w:rPr>
          <w:i/>
          <w:iCs/>
        </w:rPr>
        <w:t xml:space="preserve">See </w:t>
      </w:r>
      <w:r w:rsidR="00B613D9" w:rsidRPr="00132693">
        <w:t>11 U.S.C. § 101(41)</w:t>
      </w:r>
      <w:r w:rsidR="005F6A8B">
        <w:t xml:space="preserve">. </w:t>
      </w:r>
    </w:p>
    <w:p w14:paraId="466C3085" w14:textId="68CC3854" w:rsidR="003A7198" w:rsidRDefault="003A7198" w:rsidP="003A7198">
      <w:pPr>
        <w:pStyle w:val="0-NORMAL"/>
      </w:pPr>
      <w:r w:rsidRPr="003A7198">
        <w:rPr>
          <w:b/>
        </w:rPr>
        <w:t>Problem 2</w:t>
      </w:r>
      <w:r w:rsidR="00AB5086">
        <w:t xml:space="preserve">. </w:t>
      </w:r>
      <w:r w:rsidR="00B613D9" w:rsidRPr="007A5BBC">
        <w:t>Can a b</w:t>
      </w:r>
      <w:r w:rsidR="00CD460F">
        <w:t xml:space="preserve">usiness trust file bankruptcy? </w:t>
      </w:r>
      <w:r w:rsidR="00B613D9" w:rsidRPr="007A5BBC">
        <w:t>How about a non-busine</w:t>
      </w:r>
      <w:r w:rsidR="00CD460F">
        <w:t xml:space="preserve">ss trust? </w:t>
      </w:r>
      <w:r w:rsidR="00B613D9" w:rsidRPr="007A5BBC">
        <w:t>11 U.S.C. § 101(9)</w:t>
      </w:r>
      <w:r w:rsidR="005F6A8B">
        <w:t xml:space="preserve">. </w:t>
      </w:r>
    </w:p>
    <w:p w14:paraId="5C95CDC8" w14:textId="438E3996" w:rsidR="003A7198" w:rsidRDefault="003A7198" w:rsidP="003A7198">
      <w:pPr>
        <w:pStyle w:val="0-NORMAL"/>
      </w:pPr>
      <w:r w:rsidRPr="003A7198">
        <w:rPr>
          <w:b/>
        </w:rPr>
        <w:t>Problem 3</w:t>
      </w:r>
      <w:r w:rsidR="00AB5086">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r w:rsidR="0082190C" w:rsidRPr="007A5BBC">
        <w:t>11 U.S.C. § 109(a).</w:t>
      </w:r>
    </w:p>
    <w:p w14:paraId="3DDD00A3" w14:textId="4A2DBEA1" w:rsidR="003A7198" w:rsidRDefault="003A7198" w:rsidP="003A7198">
      <w:pPr>
        <w:pStyle w:val="0-NORMAL"/>
      </w:pPr>
      <w:r w:rsidRPr="003A7198">
        <w:rPr>
          <w:b/>
        </w:rPr>
        <w:t>Problem 4</w:t>
      </w:r>
      <w:r w:rsidR="00AB5086">
        <w:t xml:space="preserve">. </w:t>
      </w:r>
      <w:r w:rsidR="00B613D9" w:rsidRPr="007A5BBC">
        <w:t>Can a railroad file und</w:t>
      </w:r>
      <w:r w:rsidR="00CD460F">
        <w:t xml:space="preserve">er Chapter 7? </w:t>
      </w:r>
      <w:r w:rsidR="00B613D9" w:rsidRPr="007A5BBC">
        <w:t>How about Chapte</w:t>
      </w:r>
      <w:r w:rsidR="00CD460F">
        <w:t xml:space="preserve">r 11? </w:t>
      </w:r>
      <w:r w:rsidR="0082190C" w:rsidRPr="007A5BBC">
        <w:t>11 U.S.C. § 109(b), (d).</w:t>
      </w:r>
    </w:p>
    <w:p w14:paraId="38E20F62" w14:textId="5C295676" w:rsidR="003A7198" w:rsidRDefault="003A7198" w:rsidP="003A7198">
      <w:pPr>
        <w:pStyle w:val="0-NORMAL"/>
      </w:pPr>
      <w:r w:rsidRPr="003A7198">
        <w:rPr>
          <w:b/>
        </w:rPr>
        <w:t>Problem 5</w:t>
      </w:r>
      <w:r w:rsidR="00AB5086">
        <w:t xml:space="preserve">. </w:t>
      </w:r>
      <w:r w:rsidR="00B613D9" w:rsidRPr="007A5BBC">
        <w:t xml:space="preserve">Can a bank or insurance company file </w:t>
      </w:r>
      <w:r w:rsidR="00CD460F">
        <w:t xml:space="preserve">under Chapter 7 or Chapter 11? </w:t>
      </w:r>
      <w:r w:rsidR="00B613D9" w:rsidRPr="007A5BBC">
        <w:t>11 U.S.C. § 109(b), (d)</w:t>
      </w:r>
      <w:r w:rsidR="005F6A8B">
        <w:t xml:space="preserve">. </w:t>
      </w:r>
      <w:r w:rsidR="00B613D9" w:rsidRPr="007A5BBC">
        <w:t xml:space="preserve">Can you think of a reason for this rule? </w:t>
      </w:r>
    </w:p>
    <w:p w14:paraId="1CE12EED" w14:textId="5E37CD22" w:rsidR="003A7198" w:rsidRDefault="003A7198" w:rsidP="003A7198">
      <w:pPr>
        <w:pStyle w:val="0-NORMAL"/>
      </w:pPr>
      <w:r w:rsidRPr="003A7198">
        <w:rPr>
          <w:b/>
        </w:rPr>
        <w:t>Problem 6</w:t>
      </w:r>
      <w:r w:rsidR="00AB5086">
        <w:t xml:space="preserve">. </w:t>
      </w:r>
      <w:r w:rsidR="00B613D9" w:rsidRPr="007A5BBC">
        <w:t>Only “municipalities” are eligible for Chapter 9</w:t>
      </w:r>
      <w:r w:rsidR="005F6A8B">
        <w:t xml:space="preserve">. </w:t>
      </w:r>
      <w:r w:rsidR="00CD460F">
        <w:t xml:space="preserve">What is a municipality? </w:t>
      </w:r>
      <w:r w:rsidR="00B613D9" w:rsidRPr="007A5BBC">
        <w:t>11 U.S.C. § 10</w:t>
      </w:r>
      <w:r w:rsidR="004F231A" w:rsidRPr="007A5BBC">
        <w:t>1(40)</w:t>
      </w:r>
      <w:r w:rsidR="005F6A8B">
        <w:t xml:space="preserve">. </w:t>
      </w:r>
      <w:r w:rsidR="004F231A" w:rsidRPr="007A5BBC">
        <w:t>Could a state file a</w:t>
      </w:r>
      <w:r w:rsidR="00B613D9" w:rsidRPr="007A5BBC">
        <w:t xml:space="preserve"> Chapter 9</w:t>
      </w:r>
      <w:r w:rsidR="004F231A" w:rsidRPr="007A5BBC">
        <w:t xml:space="preserve"> case</w:t>
      </w:r>
      <w:r w:rsidR="00083725" w:rsidRPr="007A5BBC">
        <w:t xml:space="preserve">? </w:t>
      </w:r>
    </w:p>
    <w:p w14:paraId="5DA4C69F" w14:textId="6F4575BE" w:rsidR="003A7198" w:rsidRDefault="003A7198" w:rsidP="003A7198">
      <w:pPr>
        <w:pStyle w:val="0-NORMAL"/>
      </w:pPr>
      <w:r w:rsidRPr="003A7198">
        <w:rPr>
          <w:b/>
        </w:rPr>
        <w:t>Problem 7</w:t>
      </w:r>
      <w:r w:rsidR="00AB5086">
        <w:t xml:space="preserve">. </w:t>
      </w:r>
      <w:r w:rsidR="00B613D9" w:rsidRPr="007A5BBC">
        <w:t>Chapter 12 is available only to “family farmers” and “family fisherman” with regular income</w:t>
      </w:r>
      <w:r w:rsidR="005F6A8B">
        <w:t xml:space="preserve">. </w:t>
      </w:r>
      <w:r w:rsidR="00B613D9" w:rsidRPr="007A5BBC">
        <w:t>Where would we look for a definition of these terms</w:t>
      </w:r>
      <w:r w:rsidR="00083725" w:rsidRPr="007A5BBC">
        <w:t xml:space="preserve">? </w:t>
      </w:r>
    </w:p>
    <w:p w14:paraId="5FCD9568" w14:textId="763E3CC5" w:rsidR="003A7198" w:rsidRDefault="003A7198" w:rsidP="003A7198">
      <w:pPr>
        <w:pStyle w:val="0-NORMAL"/>
      </w:pPr>
      <w:r w:rsidRPr="003A7198">
        <w:rPr>
          <w:b/>
        </w:rPr>
        <w:t>Problem 8</w:t>
      </w:r>
      <w:r w:rsidR="00AB5086">
        <w:t xml:space="preserve">. </w:t>
      </w:r>
      <w:r w:rsidR="00B613D9" w:rsidRPr="007A5BBC">
        <w:t xml:space="preserve">Can a small family </w:t>
      </w:r>
      <w:r w:rsidR="00B613D9" w:rsidRPr="00132693">
        <w:t>corporation</w:t>
      </w:r>
      <w:r w:rsidR="00B613D9" w:rsidRPr="007A5BBC">
        <w:t xml:space="preserve"> that otherwise meets the requirements file under Chapter 13? 11 U.S.C. § 109(e). </w:t>
      </w:r>
    </w:p>
    <w:p w14:paraId="2108481C" w14:textId="4F003D4A" w:rsidR="003A7198" w:rsidRDefault="003A7198" w:rsidP="003A7198">
      <w:pPr>
        <w:pStyle w:val="0-NORMAL"/>
      </w:pPr>
      <w:r w:rsidRPr="003A7198">
        <w:rPr>
          <w:b/>
        </w:rPr>
        <w:t>Problem 9</w:t>
      </w:r>
      <w:r w:rsidR="00AB5086">
        <w:t xml:space="preserve">. </w:t>
      </w:r>
      <w:r w:rsidR="00B613D9" w:rsidRPr="007A5BBC">
        <w:t>Can an individual who works on com</w:t>
      </w:r>
      <w:r w:rsidR="00CD460F">
        <w:t xml:space="preserve">mission file under Chapter 13? </w:t>
      </w:r>
      <w:r w:rsidR="00B613D9" w:rsidRPr="007A5BBC">
        <w:t>How about an individual who has no job but receives a monthly support payment from a relative</w:t>
      </w:r>
      <w:r w:rsidR="00083725" w:rsidRPr="007A5BBC">
        <w:t xml:space="preserve">? </w:t>
      </w:r>
    </w:p>
    <w:p w14:paraId="3AC321CA" w14:textId="111B6652" w:rsidR="003A7198" w:rsidRDefault="003A7198" w:rsidP="003A7198">
      <w:pPr>
        <w:pStyle w:val="0-NORMAL"/>
      </w:pPr>
      <w:r w:rsidRPr="003A7198">
        <w:rPr>
          <w:b/>
        </w:rPr>
        <w:t>Problem 10</w:t>
      </w:r>
      <w:r w:rsidR="00AB5086">
        <w:t xml:space="preserve">. </w:t>
      </w:r>
      <w:r w:rsidR="00B613D9" w:rsidRPr="007A5BBC">
        <w:t>Can a stoc</w:t>
      </w:r>
      <w:r w:rsidR="00CD460F">
        <w:t xml:space="preserve">kbroker file under Chapter 13? </w:t>
      </w:r>
      <w:r w:rsidR="00B613D9" w:rsidRPr="008C3330">
        <w:rPr>
          <w:i/>
          <w:iCs/>
        </w:rPr>
        <w:t xml:space="preserve">See </w:t>
      </w:r>
      <w:r w:rsidR="00B613D9" w:rsidRPr="007A5BBC">
        <w:t>11 U.S.C. § 101(30)</w:t>
      </w:r>
      <w:r w:rsidR="005F6A8B">
        <w:t xml:space="preserve">. </w:t>
      </w:r>
    </w:p>
    <w:p w14:paraId="412EF228" w14:textId="27DD35EC" w:rsidR="00B613D9" w:rsidRPr="007A5BBC" w:rsidRDefault="003A7198" w:rsidP="003A7198">
      <w:pPr>
        <w:pStyle w:val="0-NORMAL"/>
      </w:pPr>
      <w:r w:rsidRPr="003A7198">
        <w:rPr>
          <w:b/>
        </w:rPr>
        <w:t>Problem 11</w:t>
      </w:r>
      <w:r w:rsidR="00AB5086">
        <w:t xml:space="preserve">. </w:t>
      </w:r>
      <w:r w:rsidR="00B613D9" w:rsidRPr="007A5BBC">
        <w:t>Can a debtor with the following debts file under Chapter 13:</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4B2D31D3"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1FDD5740"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096905CC"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354C28A6" w:rsidR="004F231A"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1231"/>
      <w:bookmarkEnd w:id="1232"/>
    </w:p>
    <w:p w14:paraId="4722A4CE" w14:textId="77777777" w:rsidR="00AB5086" w:rsidRPr="007A5BBC" w:rsidRDefault="00AB5086" w:rsidP="00132693">
      <w:pPr>
        <w:ind w:left="2160"/>
        <w:rPr>
          <w:rFonts w:ascii="Times New Roman" w:hAnsi="Times New Roman"/>
          <w:szCs w:val="24"/>
        </w:rPr>
      </w:pPr>
    </w:p>
    <w:p w14:paraId="412EF230" w14:textId="7D6F08D1" w:rsidR="00B613D9" w:rsidRPr="007A5BBC" w:rsidRDefault="00B613D9" w:rsidP="00AB5086">
      <w:pPr>
        <w:pStyle w:val="Heading2"/>
        <w:spacing w:line="240" w:lineRule="auto"/>
      </w:pPr>
      <w:bookmarkStart w:id="1240" w:name="_Toc417380772"/>
      <w:bookmarkStart w:id="1241" w:name="_Toc79699106"/>
      <w:bookmarkStart w:id="1242" w:name="_Toc79699432"/>
      <w:bookmarkStart w:id="1243" w:name="_Toc79699770"/>
      <w:bookmarkStart w:id="1244" w:name="_Toc79700090"/>
      <w:bookmarkStart w:id="1245" w:name="_Toc79700412"/>
      <w:bookmarkStart w:id="1246" w:name="_Toc87039189"/>
      <w:bookmarkStart w:id="1247" w:name="_Toc90983585"/>
      <w:r w:rsidRPr="007A5BBC">
        <w:t>Voluntary Bankruptcy Petitions</w:t>
      </w:r>
      <w:bookmarkStart w:id="1248" w:name="_Toc79692964"/>
      <w:bookmarkStart w:id="1249" w:name="_Toc79693284"/>
      <w:bookmarkStart w:id="1250" w:name="_Toc79693604"/>
      <w:bookmarkStart w:id="1251" w:name="_Toc79693921"/>
      <w:bookmarkStart w:id="1252" w:name="_Toc79694561"/>
      <w:bookmarkStart w:id="1253" w:name="_Toc79695189"/>
      <w:bookmarkStart w:id="1254" w:name="_Toc79697435"/>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rsidR="00AB5086">
        <w:br/>
      </w:r>
    </w:p>
    <w:p w14:paraId="412EF231" w14:textId="1F24BB3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 xml:space="preserve">As of the date this was written, the filing fee for </w:t>
      </w:r>
      <w:r w:rsidR="00AB3EFD">
        <w:rPr>
          <w:rFonts w:ascii="Times New Roman" w:hAnsi="Times New Roman"/>
          <w:szCs w:val="24"/>
        </w:rPr>
        <w:t xml:space="preserve">a </w:t>
      </w:r>
      <w:r w:rsidRPr="007A5BBC">
        <w:rPr>
          <w:rFonts w:ascii="Times New Roman" w:hAnsi="Times New Roman"/>
          <w:szCs w:val="24"/>
        </w:rPr>
        <w:t>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741CBE6B"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Debtors are required to make extensive financial disclosures as part of the bankruptcy process</w:t>
      </w:r>
      <w:r w:rsidR="005F6A8B">
        <w:rPr>
          <w:rFonts w:ascii="Times New Roman" w:hAnsi="Times New Roman"/>
          <w:szCs w:val="24"/>
        </w:rPr>
        <w:t xml:space="preserve">. </w:t>
      </w:r>
      <w:r w:rsidRPr="007A5BBC">
        <w:rPr>
          <w:rFonts w:ascii="Times New Roman" w:hAnsi="Times New Roman"/>
          <w:szCs w:val="24"/>
        </w:rPr>
        <w:t>11 U.S.C. § 521(a);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r w:rsidRPr="007A5BBC">
        <w:rPr>
          <w:rFonts w:ascii="Times New Roman" w:hAnsi="Times New Roman"/>
          <w:szCs w:val="24"/>
        </w:rPr>
        <w:t>11 U.S.C. § 521(b);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329.</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However, in emergency situations debtors often file “bare bones” petitions which do not contain all of the 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104A471F" w:rsidR="00BA21E0" w:rsidRPr="007A5BBC" w:rsidRDefault="00BA21E0"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ection 521(i)(1)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11 U.S.C. § 521(i)(1)</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33E6F397"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r w:rsidRPr="007A5BBC">
        <w:rPr>
          <w:rFonts w:ascii="Times New Roman" w:hAnsi="Times New Roman"/>
          <w:szCs w:val="24"/>
        </w:rPr>
        <w:t>11 U.S.C. § 521(e)(2)</w:t>
      </w:r>
      <w:r w:rsidR="005F6A8B">
        <w:rPr>
          <w:rFonts w:ascii="Times New Roman" w:hAnsi="Times New Roman"/>
          <w:szCs w:val="24"/>
        </w:rPr>
        <w:t xml:space="preserve">. </w:t>
      </w:r>
    </w:p>
    <w:p w14:paraId="412EF237" w14:textId="4B106DC2"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The notice will list the date for the official meeting of creditors under Section 341 of the Bankruptcy Code, the deadline for objecting to the debtor’s discharge, the deadline for filing claims (if applicable), and other important information.</w:t>
      </w:r>
    </w:p>
    <w:p w14:paraId="412EF238" w14:textId="3BF35823" w:rsidR="00BA21E0" w:rsidRDefault="00B613D9" w:rsidP="00561042">
      <w:pPr>
        <w:ind w:firstLine="720"/>
        <w:jc w:val="both"/>
        <w:rPr>
          <w:rFonts w:ascii="Times New Roman" w:hAnsi="Times New Roman"/>
          <w:szCs w:val="24"/>
        </w:rPr>
      </w:pPr>
      <w:r w:rsidRPr="007A5BBC">
        <w:rPr>
          <w:rFonts w:ascii="Times New Roman" w:hAnsi="Times New Roman"/>
          <w:szCs w:val="24"/>
        </w:rPr>
        <w:t>The debtor must attend the meeting of creditors under Section 341 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01890146" w14:textId="77777777" w:rsidR="00AB5086" w:rsidRPr="007A5BBC" w:rsidRDefault="00AB5086" w:rsidP="00561042">
      <w:pPr>
        <w:ind w:firstLine="720"/>
        <w:jc w:val="both"/>
        <w:rPr>
          <w:rFonts w:ascii="Times New Roman" w:hAnsi="Times New Roman"/>
          <w:szCs w:val="24"/>
        </w:rPr>
      </w:pPr>
    </w:p>
    <w:p w14:paraId="412EF239" w14:textId="4F780DDC" w:rsidR="00B613D9" w:rsidRPr="007A5BBC" w:rsidRDefault="00B613D9" w:rsidP="00AB5086">
      <w:pPr>
        <w:pStyle w:val="Heading2"/>
        <w:spacing w:line="240" w:lineRule="auto"/>
      </w:pPr>
      <w:bookmarkStart w:id="1255" w:name="_Toc417380773"/>
      <w:bookmarkStart w:id="1256" w:name="_Toc79699107"/>
      <w:bookmarkStart w:id="1257" w:name="_Toc79699433"/>
      <w:bookmarkStart w:id="1258" w:name="_Toc79699771"/>
      <w:bookmarkStart w:id="1259" w:name="_Toc79700091"/>
      <w:bookmarkStart w:id="1260" w:name="_Toc79700413"/>
      <w:bookmarkStart w:id="1261" w:name="_Toc87039190"/>
      <w:bookmarkStart w:id="1262" w:name="_Toc90983586"/>
      <w:r w:rsidRPr="007A5BBC">
        <w:t>Involuntary Bankruptcy Petitions</w:t>
      </w:r>
      <w:bookmarkStart w:id="1263" w:name="_Toc79692965"/>
      <w:bookmarkStart w:id="1264" w:name="_Toc79693285"/>
      <w:bookmarkStart w:id="1265" w:name="_Toc79693605"/>
      <w:bookmarkStart w:id="1266" w:name="_Toc79693922"/>
      <w:bookmarkStart w:id="1267" w:name="_Toc79694562"/>
      <w:bookmarkStart w:id="1268" w:name="_Toc79695190"/>
      <w:bookmarkStart w:id="1269" w:name="_Toc79697436"/>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00AB5086">
        <w:br/>
      </w:r>
    </w:p>
    <w:p w14:paraId="412EF23A" w14:textId="69317CDB" w:rsidR="00B613D9"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Pr="007A5BBC">
        <w:rPr>
          <w:rFonts w:ascii="Times New Roman" w:hAnsi="Times New Roman"/>
          <w:szCs w:val="24"/>
        </w:rPr>
        <w:t>Read 11 U.S.C. § 303 and answer the following questions:</w:t>
      </w:r>
    </w:p>
    <w:p w14:paraId="2A8FD166" w14:textId="77777777" w:rsidR="00AB5086" w:rsidRPr="007A5BBC" w:rsidRDefault="00AB5086" w:rsidP="00561042">
      <w:pPr>
        <w:ind w:firstLine="720"/>
        <w:jc w:val="both"/>
        <w:rPr>
          <w:rFonts w:ascii="Times New Roman" w:hAnsi="Times New Roman"/>
          <w:szCs w:val="24"/>
        </w:rPr>
      </w:pPr>
    </w:p>
    <w:p w14:paraId="412EF23B" w14:textId="5669A16C" w:rsidR="00B613D9" w:rsidRPr="007A5BBC" w:rsidRDefault="0082190C" w:rsidP="00AB5086">
      <w:pPr>
        <w:pStyle w:val="Heading2"/>
        <w:spacing w:line="240" w:lineRule="auto"/>
      </w:pPr>
      <w:bookmarkStart w:id="1270" w:name="_Toc417380774"/>
      <w:bookmarkStart w:id="1271" w:name="_Toc79699108"/>
      <w:bookmarkStart w:id="1272" w:name="_Toc79699434"/>
      <w:bookmarkStart w:id="1273" w:name="_Toc79699772"/>
      <w:bookmarkStart w:id="1274" w:name="_Toc79700092"/>
      <w:bookmarkStart w:id="1275" w:name="_Toc79700414"/>
      <w:bookmarkStart w:id="1276" w:name="_Toc87039191"/>
      <w:bookmarkStart w:id="1277" w:name="_Toc90983587"/>
      <w:r w:rsidRPr="007A5BBC">
        <w:t>P</w:t>
      </w:r>
      <w:r w:rsidR="00132693">
        <w:t>ractice Problems</w:t>
      </w:r>
      <w:bookmarkEnd w:id="1270"/>
      <w:r w:rsidR="003A2EEC">
        <w:t>:</w:t>
      </w:r>
      <w:r w:rsidR="009D04D8" w:rsidRPr="007A5BBC">
        <w:t xml:space="preserve"> Involuntary Petitions</w:t>
      </w:r>
      <w:bookmarkStart w:id="1278" w:name="OLE_LINK226"/>
      <w:bookmarkStart w:id="1279" w:name="OLE_LINK227"/>
      <w:bookmarkEnd w:id="1271"/>
      <w:bookmarkEnd w:id="1272"/>
      <w:bookmarkEnd w:id="1273"/>
      <w:bookmarkEnd w:id="1274"/>
      <w:bookmarkEnd w:id="1275"/>
      <w:bookmarkEnd w:id="1276"/>
      <w:bookmarkEnd w:id="1277"/>
      <w:r w:rsidR="00AB5086">
        <w:br/>
      </w:r>
    </w:p>
    <w:p w14:paraId="731E4FC7" w14:textId="6C1093B8" w:rsidR="009D30A9" w:rsidRDefault="009D30A9" w:rsidP="003A7198">
      <w:pPr>
        <w:pStyle w:val="0-NORMAL"/>
      </w:pPr>
      <w:r w:rsidRPr="009D30A9">
        <w:rPr>
          <w:b/>
        </w:rPr>
        <w:t>Problem 1</w:t>
      </w:r>
      <w:r w:rsidR="00AB5086">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08768037" w:rsidR="009D30A9" w:rsidRDefault="009D30A9" w:rsidP="003A7198">
      <w:pPr>
        <w:pStyle w:val="0-NORMAL"/>
      </w:pPr>
      <w:r w:rsidRPr="009D30A9">
        <w:rPr>
          <w:b/>
        </w:rPr>
        <w:t>Problem 2</w:t>
      </w:r>
      <w:r w:rsidR="00AB5086">
        <w:t xml:space="preserve">. </w:t>
      </w:r>
      <w:r w:rsidR="00B613D9" w:rsidRPr="009D30A9">
        <w:t>Can an involuntary bankruptcy petition be filed under Chapter 13?</w:t>
      </w:r>
    </w:p>
    <w:p w14:paraId="6D7C24D4" w14:textId="798CE68A" w:rsidR="009D30A9" w:rsidRDefault="009D30A9" w:rsidP="003A7198">
      <w:pPr>
        <w:pStyle w:val="0-NORMAL"/>
      </w:pPr>
      <w:r w:rsidRPr="009D30A9">
        <w:rPr>
          <w:b/>
        </w:rPr>
        <w:t>Problem 3</w:t>
      </w:r>
      <w:r w:rsidR="00AB5086">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 xml:space="preserve">What would you need to know to answer that question? </w:t>
      </w:r>
      <w:r w:rsidR="00B613D9" w:rsidRPr="008C3330">
        <w:rPr>
          <w:i/>
          <w:iCs/>
        </w:rPr>
        <w:t xml:space="preserve">See </w:t>
      </w:r>
      <w:r w:rsidR="00B613D9" w:rsidRPr="009D30A9">
        <w:t>11 U.S.C. §§ 303(b)(2);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4A787765" w:rsidR="009D30A9" w:rsidRDefault="009D30A9" w:rsidP="003A7198">
      <w:pPr>
        <w:pStyle w:val="0-NORMAL"/>
      </w:pPr>
      <w:r w:rsidRPr="009D30A9">
        <w:rPr>
          <w:b/>
        </w:rPr>
        <w:t>Problem 4</w:t>
      </w:r>
      <w:r w:rsidR="00AB5086">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8C3330">
        <w:rPr>
          <w:i/>
          <w:iCs/>
        </w:rPr>
        <w:t xml:space="preserve">See </w:t>
      </w:r>
      <w:r w:rsidR="00B613D9" w:rsidRPr="009D30A9">
        <w:t>11 U.S.C. § 303(i)</w:t>
      </w:r>
      <w:r w:rsidR="005F6A8B">
        <w:t xml:space="preserve">. </w:t>
      </w:r>
    </w:p>
    <w:p w14:paraId="179A0FBA" w14:textId="77B34C08" w:rsidR="009D30A9" w:rsidRDefault="009D30A9" w:rsidP="003A7198">
      <w:pPr>
        <w:pStyle w:val="0-NORMAL"/>
      </w:pPr>
      <w:r w:rsidRPr="009D30A9">
        <w:rPr>
          <w:b/>
        </w:rPr>
        <w:t>Problem 5</w:t>
      </w:r>
      <w:r w:rsidR="00AB5086">
        <w:t xml:space="preserve">. </w:t>
      </w:r>
      <w:r w:rsidR="00B613D9" w:rsidRPr="009D30A9">
        <w:t>The Bank asks you what the phrase “generally not paying such debtor’s debts as such debts become due” in Section 303(h) means</w:t>
      </w:r>
      <w:r w:rsidR="005F6A8B">
        <w:t xml:space="preserve">. </w:t>
      </w:r>
      <w:r w:rsidR="00CD460F">
        <w:t xml:space="preserve">What do you tell them? </w:t>
      </w:r>
      <w:r w:rsidR="00B613D9" w:rsidRPr="009D30A9">
        <w:t>How would you determine whether the Debtor is “generally not paying?”</w:t>
      </w:r>
    </w:p>
    <w:p w14:paraId="5CBDAA36" w14:textId="5977EF4D" w:rsidR="009D30A9" w:rsidRDefault="009D30A9" w:rsidP="003A7198">
      <w:pPr>
        <w:pStyle w:val="0-NORMAL"/>
      </w:pPr>
      <w:r w:rsidRPr="009D30A9">
        <w:rPr>
          <w:b/>
        </w:rPr>
        <w:t>Problem 6</w:t>
      </w:r>
      <w:r w:rsidR="00AB5086">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The Bankruptcy Court determines that the Debtor had been “generally paying” 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71"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2"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Section 303(i), even though the petition was proper and dismissal was granted under Section 305(a)(1) because “the interests of creditors and the debtor would be better served by such dismissal . . . .”) </w:t>
      </w:r>
    </w:p>
    <w:p w14:paraId="5C46D94D" w14:textId="77B96981" w:rsidR="009D30A9" w:rsidRDefault="009D30A9" w:rsidP="003A7198">
      <w:pPr>
        <w:pStyle w:val="0-NORMAL"/>
      </w:pPr>
      <w:r w:rsidRPr="009D30A9">
        <w:rPr>
          <w:b/>
        </w:rPr>
        <w:t>Problem 7</w:t>
      </w:r>
      <w:r w:rsidR="00AB5086">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Must the court dismiss the case</w:t>
      </w:r>
      <w:r w:rsidR="00083725" w:rsidRPr="009D30A9">
        <w:t xml:space="preserve">? </w:t>
      </w:r>
    </w:p>
    <w:p w14:paraId="6AB5852D" w14:textId="0C971F05" w:rsidR="00561042" w:rsidRDefault="009D30A9" w:rsidP="003A7198">
      <w:pPr>
        <w:pStyle w:val="0-NORMAL"/>
      </w:pPr>
      <w:r w:rsidRPr="009D30A9">
        <w:rPr>
          <w:b/>
        </w:rPr>
        <w:t>Problem 8</w:t>
      </w:r>
      <w:r w:rsidR="00AB5086">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Can the three subsidiaries be counted as three separate entities for f</w:t>
      </w:r>
      <w:r w:rsidR="00CD460F">
        <w:t xml:space="preserve">iling an involuntary petition? </w:t>
      </w:r>
      <w:r w:rsidR="00B613D9" w:rsidRPr="009D30A9">
        <w:rPr>
          <w:i/>
        </w:rPr>
        <w:t>See</w:t>
      </w:r>
      <w:r w:rsidR="00B613D9" w:rsidRPr="009D30A9">
        <w:t xml:space="preserve"> </w:t>
      </w:r>
      <w:hyperlink r:id="rId73"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195A6E2D" w14:textId="77777777" w:rsidR="00AB5086" w:rsidRPr="009D30A9" w:rsidRDefault="00AB5086" w:rsidP="003A7198">
      <w:pPr>
        <w:pStyle w:val="0-NORMAL"/>
      </w:pPr>
    </w:p>
    <w:p w14:paraId="412EF244" w14:textId="4ECF9C17" w:rsidR="00B613D9" w:rsidRPr="007A5BBC" w:rsidRDefault="00B613D9" w:rsidP="00AB5086">
      <w:pPr>
        <w:pStyle w:val="Heading2"/>
        <w:spacing w:line="240" w:lineRule="auto"/>
      </w:pPr>
      <w:bookmarkStart w:id="1280" w:name="_Toc417380775"/>
      <w:bookmarkStart w:id="1281" w:name="_Toc79699109"/>
      <w:bookmarkStart w:id="1282" w:name="_Toc79699435"/>
      <w:bookmarkStart w:id="1283" w:name="_Toc79699773"/>
      <w:bookmarkStart w:id="1284" w:name="_Toc79700093"/>
      <w:bookmarkStart w:id="1285" w:name="_Toc79700415"/>
      <w:bookmarkStart w:id="1286" w:name="_Toc87039192"/>
      <w:bookmarkStart w:id="1287" w:name="_Toc90983588"/>
      <w:bookmarkEnd w:id="1278"/>
      <w:bookmarkEnd w:id="1279"/>
      <w:r w:rsidRPr="007A5BBC">
        <w:t>Dismissal of Pr</w:t>
      </w:r>
      <w:r w:rsidRPr="00132693">
        <w:t>o</w:t>
      </w:r>
      <w:r w:rsidRPr="007A5BBC">
        <w:t>perly Filed Bankruptcy Petitions</w:t>
      </w:r>
      <w:r w:rsidR="0082190C" w:rsidRPr="007A5BBC">
        <w:t xml:space="preserve"> </w:t>
      </w:r>
      <w:r w:rsidRPr="007A5BBC">
        <w:t>for “Cause”</w:t>
      </w:r>
      <w:bookmarkEnd w:id="1280"/>
      <w:bookmarkEnd w:id="1281"/>
      <w:bookmarkEnd w:id="1282"/>
      <w:bookmarkEnd w:id="1283"/>
      <w:bookmarkEnd w:id="1284"/>
      <w:bookmarkEnd w:id="1285"/>
      <w:bookmarkEnd w:id="1286"/>
      <w:bookmarkEnd w:id="1287"/>
      <w:r w:rsidRPr="007A5BBC">
        <w:t xml:space="preserve">  </w:t>
      </w:r>
      <w:bookmarkStart w:id="1288" w:name="_Toc79692967"/>
      <w:bookmarkStart w:id="1289" w:name="_Toc79693287"/>
      <w:bookmarkStart w:id="1290" w:name="_Toc79693607"/>
      <w:bookmarkStart w:id="1291" w:name="_Toc79693924"/>
      <w:bookmarkStart w:id="1292" w:name="_Toc79694564"/>
      <w:bookmarkStart w:id="1293" w:name="_Toc79695192"/>
      <w:bookmarkStart w:id="1294" w:name="_Toc79697438"/>
      <w:bookmarkEnd w:id="1288"/>
      <w:bookmarkEnd w:id="1289"/>
      <w:bookmarkEnd w:id="1290"/>
      <w:bookmarkEnd w:id="1291"/>
      <w:bookmarkEnd w:id="1292"/>
      <w:bookmarkEnd w:id="1293"/>
      <w:bookmarkEnd w:id="1294"/>
      <w:r w:rsidR="00AB5086">
        <w:br/>
      </w:r>
    </w:p>
    <w:p w14:paraId="412EF245" w14:textId="642ACA71"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707(a) of the Bankruptcy Code allows the Court to dismiss a bankruptcy case for “Cause.”  “Cause” is not specifically defined, although it includes a debtor’s unreasonable prejudicial delay, failure to pay fees, and failure to file schedules and other information required by Section 521(a)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Section 707(a), which requires notice and an opportunity for hearing, with the automatic dismissal rules in Section 521(i)(I) which offer no due process prior to dismissal.</w:t>
      </w:r>
    </w:p>
    <w:p w14:paraId="412EF246" w14:textId="174D775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Does “cause” exist for dismissal if the debtor has the ability to pay his, her or its debts from future earnings</w:t>
      </w:r>
      <w:r w:rsidR="00083725" w:rsidRPr="007A5BBC">
        <w:rPr>
          <w:rFonts w:ascii="Times New Roman" w:hAnsi="Times New Roman"/>
          <w:szCs w:val="24"/>
        </w:rPr>
        <w:t xml:space="preserve">? </w:t>
      </w:r>
      <w:r w:rsidRPr="007A5BBC">
        <w:rPr>
          <w:rFonts w:ascii="Times New Roman" w:hAnsi="Times New Roman"/>
          <w:szCs w:val="24"/>
        </w:rPr>
        <w:t xml:space="preserve">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1AF04173"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Most courts follow the legislative history and preclude issues of ability to pay from consideration under Section 707(a)</w:t>
      </w:r>
      <w:r w:rsidR="005F6A8B">
        <w:rPr>
          <w:rFonts w:ascii="Times New Roman" w:hAnsi="Times New Roman"/>
          <w:szCs w:val="24"/>
        </w:rPr>
        <w:t xml:space="preserve">. </w:t>
      </w:r>
      <w:r w:rsidRPr="007A5BBC">
        <w:rPr>
          <w:rFonts w:ascii="Times New Roman" w:hAnsi="Times New Roman"/>
          <w:szCs w:val="24"/>
        </w:rPr>
        <w:t>Note that the next section of the Bankruptcy Code, Section 707(b),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332402A5"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w:t>
      </w:r>
      <w:r w:rsidR="00083725" w:rsidRPr="007A5BBC">
        <w:rPr>
          <w:rFonts w:ascii="Times New Roman" w:hAnsi="Times New Roman"/>
          <w:szCs w:val="24"/>
        </w:rPr>
        <w:t xml:space="preserve">? </w:t>
      </w:r>
      <w:r w:rsidRPr="007A5BBC">
        <w:rPr>
          <w:rFonts w:ascii="Times New Roman" w:hAnsi="Times New Roman"/>
          <w:szCs w:val="24"/>
        </w:rPr>
        <w:t>Outside of the consumer context most courts have said “yes.”  We will read one such a case shortly</w:t>
      </w:r>
      <w:r w:rsidR="005F6A8B">
        <w:rPr>
          <w:rFonts w:ascii="Times New Roman" w:hAnsi="Times New Roman"/>
          <w:szCs w:val="24"/>
        </w:rPr>
        <w:t xml:space="preserve">. </w:t>
      </w:r>
    </w:p>
    <w:p w14:paraId="1715949C" w14:textId="7B45D86D" w:rsidR="009E3511"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74"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Section 707(a),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The Court of Appeals held that bad faith conduct should not be a factor in determining “cause” for dismissal under Section 707(a)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considered under Section 707(b), which at 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Section 707(b) creates structural problems after Congress adopted the Means Test in Section 707(b).</w:t>
      </w:r>
    </w:p>
    <w:p w14:paraId="418CDAB0" w14:textId="77777777" w:rsidR="00AB5086" w:rsidRPr="007A5BBC" w:rsidRDefault="00AB5086" w:rsidP="009E3511">
      <w:pPr>
        <w:ind w:firstLine="720"/>
        <w:jc w:val="both"/>
        <w:rPr>
          <w:rFonts w:ascii="Times New Roman" w:hAnsi="Times New Roman"/>
          <w:szCs w:val="24"/>
        </w:rPr>
      </w:pPr>
    </w:p>
    <w:p w14:paraId="31F2F06D" w14:textId="6E6AFCD2" w:rsidR="009E3511" w:rsidRPr="007A5BBC" w:rsidRDefault="009E3511" w:rsidP="00AB5086">
      <w:pPr>
        <w:pStyle w:val="Heading2"/>
        <w:spacing w:line="240" w:lineRule="auto"/>
      </w:pPr>
      <w:bookmarkStart w:id="1295" w:name="_Toc417380777"/>
      <w:bookmarkStart w:id="1296" w:name="_Toc79699110"/>
      <w:bookmarkStart w:id="1297" w:name="_Toc79699436"/>
      <w:bookmarkStart w:id="1298" w:name="_Toc79699774"/>
      <w:bookmarkStart w:id="1299" w:name="_Toc79700094"/>
      <w:bookmarkStart w:id="1300" w:name="_Toc79700416"/>
      <w:bookmarkStart w:id="1301" w:name="_Toc87039193"/>
      <w:bookmarkStart w:id="1302" w:name="_Toc90983589"/>
      <w:r w:rsidRPr="007A5BBC">
        <w:t>Bad Faith Dismissals after the 2005 Amendments</w:t>
      </w:r>
      <w:bookmarkStart w:id="1303" w:name="_Toc79692968"/>
      <w:bookmarkStart w:id="1304" w:name="_Toc79693288"/>
      <w:bookmarkStart w:id="1305" w:name="_Toc79693608"/>
      <w:bookmarkStart w:id="1306" w:name="_Toc79693925"/>
      <w:bookmarkStart w:id="1307" w:name="_Toc79694565"/>
      <w:bookmarkStart w:id="1308" w:name="_Toc79695193"/>
      <w:bookmarkStart w:id="1309" w:name="_Toc79697439"/>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r w:rsidR="00AB5086">
        <w:br/>
      </w:r>
    </w:p>
    <w:p w14:paraId="4FFE5193" w14:textId="6484C575"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With the 2005 BAPCPA amendments, Congress added Section 707(b)(3), clarifying that the Bankruptcy Court should consider both the totality of circumstances and whether the debtor filed the petition in bad faith in deciding whether to dismiss a consumer case for general “abuse” under Section 707(b)</w:t>
      </w:r>
      <w:r w:rsidR="005F6A8B">
        <w:rPr>
          <w:rFonts w:ascii="Times New Roman" w:hAnsi="Times New Roman"/>
          <w:szCs w:val="24"/>
        </w:rPr>
        <w:t xml:space="preserve">. </w:t>
      </w:r>
      <w:r w:rsidRPr="007A5BBC">
        <w:rPr>
          <w:rFonts w:ascii="Times New Roman" w:hAnsi="Times New Roman"/>
          <w:szCs w:val="24"/>
        </w:rPr>
        <w:t xml:space="preserve">The general “abuse” test in Section 707(b)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r w:rsidRPr="007A5BBC">
        <w:rPr>
          <w:rFonts w:ascii="Times New Roman" w:hAnsi="Times New Roman"/>
          <w:szCs w:val="24"/>
        </w:rPr>
        <w:t>11 U.S.C. §§ 707(b)(1),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w:t>
      </w:r>
      <w:r w:rsidR="006C728A">
        <w:rPr>
          <w:rFonts w:ascii="Times New Roman" w:hAnsi="Times New Roman"/>
          <w:szCs w:val="24"/>
        </w:rPr>
        <w:t>s</w:t>
      </w:r>
      <w:r w:rsidRPr="007A5BBC">
        <w:rPr>
          <w:rFonts w:ascii="Times New Roman" w:hAnsi="Times New Roman"/>
          <w:szCs w:val="24"/>
        </w:rPr>
        <w:t xml:space="preserve"> to have undermined Congress’s goal of cutting down on abusive bankruptcy filings.</w:t>
      </w:r>
    </w:p>
    <w:p w14:paraId="6A8C5548" w14:textId="42A86E44"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What about bad faith petitions in non-consumer cases? Did Congress eliminate consideration of bad faith in the “Cause” test for businesses under Section 707(a) by including bad faith in the definition of “abuse” under Section 707(b) (which only applies to consumer cases)</w:t>
      </w:r>
      <w:r w:rsidR="00083725" w:rsidRPr="007A5BBC">
        <w:rPr>
          <w:rFonts w:ascii="Times New Roman" w:hAnsi="Times New Roman"/>
          <w:szCs w:val="24"/>
        </w:rPr>
        <w:t xml:space="preserve">? </w:t>
      </w:r>
      <w:r w:rsidRPr="007A5BBC">
        <w:rPr>
          <w:rFonts w:ascii="Times New Roman" w:hAnsi="Times New Roman"/>
          <w:szCs w:val="24"/>
        </w:rPr>
        <w:t>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Indeed, Congress may not have even considered the effect of an amendment to Section 707(b) on an entirely unrelated section 707(a)</w:t>
      </w:r>
      <w:r w:rsidR="005F6A8B">
        <w:rPr>
          <w:rFonts w:ascii="Times New Roman" w:hAnsi="Times New Roman"/>
          <w:szCs w:val="24"/>
        </w:rPr>
        <w:t xml:space="preserve">. </w:t>
      </w:r>
    </w:p>
    <w:p w14:paraId="24B0A60A" w14:textId="646B02A6"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The cases are split on whether bad faith can be considered in non-consumer dismissals for “cause” under Section 707(a)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5"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Section 707(a) after 2005 BAPCPA amendments); </w:t>
      </w:r>
      <w:hyperlink r:id="rId76"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4181E98D" w14:textId="1A92D1BC" w:rsidR="001A75AB" w:rsidRDefault="009E3511" w:rsidP="004659E6">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w:t>
      </w:r>
      <w:r w:rsidR="005A4A55">
        <w:rPr>
          <w:rFonts w:ascii="Times New Roman" w:hAnsi="Times New Roman"/>
          <w:szCs w:val="24"/>
        </w:rPr>
        <w:t xml:space="preserve"> allowing dismissal of</w:t>
      </w:r>
      <w:r w:rsidRPr="007A5BBC">
        <w:rPr>
          <w:rFonts w:ascii="Times New Roman" w:hAnsi="Times New Roman"/>
          <w:szCs w:val="24"/>
        </w:rPr>
        <w:t xml:space="preserve"> consumer filings for “cause,</w:t>
      </w:r>
      <w:r w:rsidR="005A4A55">
        <w:rPr>
          <w:rFonts w:ascii="Times New Roman" w:hAnsi="Times New Roman"/>
          <w:szCs w:val="24"/>
        </w:rPr>
        <w:t>”</w:t>
      </w:r>
      <w:r w:rsidRPr="007A5BBC">
        <w:rPr>
          <w:rFonts w:ascii="Times New Roman" w:hAnsi="Times New Roman"/>
          <w:szCs w:val="24"/>
        </w:rPr>
        <w:t xml:space="preserv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p>
    <w:p w14:paraId="0D84D312" w14:textId="77777777" w:rsidR="00AB5086" w:rsidRDefault="00AB5086" w:rsidP="004659E6">
      <w:pPr>
        <w:ind w:firstLine="720"/>
        <w:jc w:val="both"/>
        <w:rPr>
          <w:rFonts w:ascii="Times New Roman" w:hAnsi="Times New Roman"/>
          <w:szCs w:val="24"/>
        </w:rPr>
      </w:pPr>
    </w:p>
    <w:p w14:paraId="412EF24D" w14:textId="3ECB421D" w:rsidR="00B613D9" w:rsidRPr="007A5BBC" w:rsidRDefault="00B613D9" w:rsidP="00AB5086">
      <w:pPr>
        <w:pStyle w:val="Heading2"/>
        <w:spacing w:line="240" w:lineRule="auto"/>
      </w:pPr>
      <w:bookmarkStart w:id="1310" w:name="_Toc417380776"/>
      <w:bookmarkStart w:id="1311" w:name="_Toc79699111"/>
      <w:bookmarkStart w:id="1312" w:name="_Toc79699437"/>
      <w:bookmarkStart w:id="1313" w:name="_Toc79699775"/>
      <w:bookmarkStart w:id="1314" w:name="_Toc79700095"/>
      <w:bookmarkStart w:id="1315" w:name="_Toc79700417"/>
      <w:bookmarkStart w:id="1316" w:name="_Toc87039194"/>
      <w:bookmarkStart w:id="1317" w:name="_Toc90983590"/>
      <w:r w:rsidRPr="007A5BBC">
        <w:t xml:space="preserve">Dismissal of </w:t>
      </w:r>
      <w:r w:rsidR="0082190C" w:rsidRPr="007A5BBC">
        <w:t>Cases Properly Filed under Other Chapters</w:t>
      </w:r>
      <w:bookmarkStart w:id="1318" w:name="_Toc79692969"/>
      <w:bookmarkStart w:id="1319" w:name="_Toc79693289"/>
      <w:bookmarkStart w:id="1320" w:name="_Toc79693609"/>
      <w:bookmarkStart w:id="1321" w:name="_Toc79693926"/>
      <w:bookmarkStart w:id="1322" w:name="_Toc79694566"/>
      <w:bookmarkStart w:id="1323" w:name="_Toc79695194"/>
      <w:bookmarkStart w:id="1324" w:name="_Toc79697440"/>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00AB5086">
        <w:br/>
      </w:r>
    </w:p>
    <w:p w14:paraId="412EF251" w14:textId="64D71228" w:rsidR="000D607D"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8C3330">
        <w:rPr>
          <w:rFonts w:ascii="Times New Roman" w:hAnsi="Times New Roman"/>
          <w:i/>
          <w:iCs/>
          <w:szCs w:val="24"/>
        </w:rPr>
        <w:t xml:space="preserve">See </w:t>
      </w:r>
      <w:r w:rsidR="009E3511" w:rsidRPr="007A5BBC">
        <w:rPr>
          <w:rFonts w:ascii="Times New Roman" w:hAnsi="Times New Roman"/>
          <w:szCs w:val="24"/>
        </w:rPr>
        <w:t xml:space="preserve">11 U.S.C. § </w:t>
      </w:r>
      <w:r w:rsidRPr="007A5BBC">
        <w:rPr>
          <w:rFonts w:ascii="Times New Roman" w:hAnsi="Times New Roman"/>
          <w:szCs w:val="24"/>
        </w:rPr>
        <w:t>1112(b)(1), 1208(c) and 1307(c)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1129(a)(3), 1225(a)(3), 1325(a)(3)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1325" w:name="_Toc417380778"/>
      <w:r w:rsidR="009E3511" w:rsidRPr="007A5BBC">
        <w:rPr>
          <w:rFonts w:ascii="Times New Roman" w:hAnsi="Times New Roman"/>
          <w:szCs w:val="24"/>
        </w:rPr>
        <w:t xml:space="preserve"> </w:t>
      </w:r>
      <w:bookmarkEnd w:id="1325"/>
    </w:p>
    <w:p w14:paraId="29E0685E" w14:textId="77777777" w:rsidR="00C1694C" w:rsidRPr="007A5BBC" w:rsidRDefault="00C1694C" w:rsidP="009E3511">
      <w:pPr>
        <w:ind w:firstLine="720"/>
        <w:jc w:val="both"/>
        <w:rPr>
          <w:rFonts w:ascii="Times New Roman" w:hAnsi="Times New Roman"/>
          <w:szCs w:val="24"/>
        </w:rPr>
      </w:pPr>
    </w:p>
    <w:p w14:paraId="4FB252A1" w14:textId="28AC13F6" w:rsidR="008C1755" w:rsidRPr="007A5BBC" w:rsidRDefault="00646EC9" w:rsidP="00C1694C">
      <w:pPr>
        <w:pStyle w:val="Heading2"/>
        <w:spacing w:line="240" w:lineRule="auto"/>
      </w:pPr>
      <w:bookmarkStart w:id="1326" w:name="_Toc79699112"/>
      <w:bookmarkStart w:id="1327" w:name="_Toc79699438"/>
      <w:bookmarkStart w:id="1328" w:name="_Toc79699776"/>
      <w:bookmarkStart w:id="1329" w:name="_Toc79700096"/>
      <w:bookmarkStart w:id="1330" w:name="_Toc79700418"/>
      <w:bookmarkStart w:id="1331" w:name="_Toc87039195"/>
      <w:bookmarkStart w:id="1332" w:name="_Toc90983591"/>
      <w:r>
        <w:t xml:space="preserve">Cases on </w:t>
      </w:r>
      <w:r w:rsidR="008C1755" w:rsidRPr="007A5BBC">
        <w:t>Bad Faith Dismissals</w:t>
      </w:r>
      <w:bookmarkStart w:id="1333" w:name="_Toc79692970"/>
      <w:bookmarkStart w:id="1334" w:name="_Toc79693290"/>
      <w:bookmarkStart w:id="1335" w:name="_Toc79693610"/>
      <w:bookmarkStart w:id="1336" w:name="_Toc79693927"/>
      <w:bookmarkStart w:id="1337" w:name="_Toc79694567"/>
      <w:bookmarkStart w:id="1338" w:name="_Toc79695195"/>
      <w:bookmarkStart w:id="1339" w:name="_Toc79697441"/>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r w:rsidR="00C1694C">
        <w:br/>
      </w:r>
    </w:p>
    <w:p w14:paraId="412EF253" w14:textId="0DBC24C8" w:rsidR="00B613D9" w:rsidRPr="00C1694C" w:rsidRDefault="007C1024" w:rsidP="00C1694C">
      <w:pPr>
        <w:pStyle w:val="Heading3"/>
        <w:rPr>
          <w:u w:val="single"/>
        </w:rPr>
      </w:pPr>
      <w:hyperlink r:id="rId77" w:history="1">
        <w:bookmarkStart w:id="1340" w:name="_Toc79699113"/>
        <w:bookmarkStart w:id="1341" w:name="_Toc79699439"/>
        <w:bookmarkStart w:id="1342" w:name="_Toc79699777"/>
        <w:bookmarkStart w:id="1343" w:name="_Toc79700097"/>
        <w:bookmarkStart w:id="1344" w:name="_Toc79700419"/>
        <w:bookmarkStart w:id="1345" w:name="_Toc87039196"/>
        <w:bookmarkStart w:id="1346" w:name="_Toc90983592"/>
        <w:r w:rsidR="00B613D9" w:rsidRPr="00C1694C">
          <w:rPr>
            <w:rStyle w:val="Hyperlink"/>
          </w:rPr>
          <w:t>I</w:t>
        </w:r>
        <w:r w:rsidR="00132693" w:rsidRPr="00C1694C">
          <w:rPr>
            <w:rStyle w:val="Hyperlink"/>
          </w:rPr>
          <w:t xml:space="preserve">N RE JOHNS-MANVILLE CORPORATION, </w:t>
        </w:r>
        <w:r w:rsidR="00B613D9" w:rsidRPr="00C1694C">
          <w:rPr>
            <w:rStyle w:val="Hyperlink"/>
          </w:rPr>
          <w:t>36 B.R. 727 (Bankr. S.D.N.Y. 1984)</w:t>
        </w:r>
        <w:bookmarkEnd w:id="1340"/>
        <w:bookmarkEnd w:id="1341"/>
        <w:bookmarkEnd w:id="1342"/>
        <w:bookmarkEnd w:id="1343"/>
        <w:bookmarkEnd w:id="1344"/>
        <w:bookmarkEnd w:id="1345"/>
        <w:bookmarkEnd w:id="1346"/>
      </w:hyperlink>
      <w:bookmarkStart w:id="1347" w:name="_Toc79692971"/>
      <w:bookmarkStart w:id="1348" w:name="_Toc79693291"/>
      <w:bookmarkStart w:id="1349" w:name="_Toc79693611"/>
      <w:bookmarkStart w:id="1350" w:name="_Toc79693928"/>
      <w:bookmarkStart w:id="1351" w:name="_Toc79694568"/>
      <w:bookmarkStart w:id="1352" w:name="_Toc79695196"/>
      <w:bookmarkStart w:id="1353" w:name="_Toc79697442"/>
      <w:bookmarkEnd w:id="1347"/>
      <w:bookmarkEnd w:id="1348"/>
      <w:bookmarkEnd w:id="1349"/>
      <w:bookmarkEnd w:id="1350"/>
      <w:bookmarkEnd w:id="1351"/>
      <w:bookmarkEnd w:id="1352"/>
      <w:bookmarkEnd w:id="1353"/>
      <w:r w:rsidR="00C1694C" w:rsidRPr="00C1694C">
        <w:rPr>
          <w:rStyle w:val="Hyperlink"/>
        </w:rPr>
        <w:br/>
      </w:r>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3B8D601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Four separate motions to dismiss the petition pursuant to Section 1112(b)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which is comprised with one exception of attorneys for asbestos victims, initially moved to dismiss this case on November 8, 1982 citing Manville's alleged lack of good faith in filing this petition. However, the Asbestos Committee did not press its motion before the Court until now, more than one year later. In the interim, while engaging in plan formulation negotiations, it has vigorously pursued discovery in order to bolster its factual 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the word "person" used in subsection (a), as defined in Code section 101(30), includes an individual, a partnership, and a corporation, but not a governmental unit. </w:t>
      </w:r>
    </w:p>
    <w:p w14:paraId="412EF25A" w14:textId="63CFFBF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Section 109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Accordingly, it is abundantly clear that Manville has met all of the threshold eligibility requirements for filing a voluntary petition under the Code. This Court will now turn to the issue of whether any of the movants have demonstrated sufficient "cause" pursuant to Code Section 1112(b) to warrant the dismissal of Manville's petition.</w:t>
      </w:r>
    </w:p>
    <w:p w14:paraId="412EF25B" w14:textId="0B45A3D0"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Section 1112(b) of the Code provides for conversion or dismissal of a case for "cause".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What constitutes cause under section 1112(b) is subject to judicial discretion under the circumstances of each case." [M]uch of the argument in support of all of the motions to dismiss is 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to follow this advice was neither unreasonable, illogical, nor in any sense fraudulent. Therefore, on balance, the Asbestos Committee has failed to sustain its burden of proof of fraud as to either the magnitude of the reserve to be booked or the necessity of so booking this reserve. </w:t>
      </w:r>
    </w:p>
    <w:p w14:paraId="412EF260" w14:textId="7E67972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Section 1112(b), a court is not necessarily required to consider whether the debtor has filed in "good faith" because that is not a specified predicate under the Code for filing. Rather, according to Code Section 1129(a)(3),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It is thus logical that the good faith of the debtor be deemed a predicate primarily for emergence out 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Moreover, courts have generally held that the concept of good faith as of the filing date may only be applied where it is demonstrated that the jurisdiction of the bankruptcy court has been 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w:t>
      </w:r>
      <w:r w:rsidRPr="00763567">
        <w:rPr>
          <w:rFonts w:ascii="Times New Roman" w:hAnsi="Times New Roman"/>
          <w:szCs w:val="24"/>
        </w:rPr>
        <w:t xml:space="preserve">business supporting employees and unsecured creditors has more recently been burdened with judgments that threaten to put it out of existence, unless and until rehabilitation has been shown to be unfeasible, the bankruptcy courts are </w:t>
      </w:r>
      <w:r w:rsidRPr="007A5BBC">
        <w:rPr>
          <w:rFonts w:ascii="Times New Roman" w:hAnsi="Times New Roman"/>
          <w:color w:val="222222"/>
          <w:szCs w:val="24"/>
        </w:rPr>
        <w:t>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05DBB379" w:rsidR="00B613D9"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5880DFE1" w14:textId="77777777" w:rsidR="00C1694C" w:rsidRPr="007A5BBC" w:rsidRDefault="00C1694C" w:rsidP="00561042">
      <w:pPr>
        <w:ind w:firstLine="720"/>
        <w:jc w:val="both"/>
        <w:rPr>
          <w:rFonts w:ascii="Times New Roman" w:hAnsi="Times New Roman"/>
          <w:szCs w:val="24"/>
        </w:rPr>
      </w:pPr>
    </w:p>
    <w:p w14:paraId="412EF26E" w14:textId="63199A0C" w:rsidR="00B613D9" w:rsidRPr="00C1694C" w:rsidRDefault="007C1024" w:rsidP="00C1694C">
      <w:pPr>
        <w:pStyle w:val="Heading3"/>
        <w:rPr>
          <w:u w:val="single"/>
        </w:rPr>
      </w:pPr>
      <w:hyperlink r:id="rId78" w:history="1">
        <w:bookmarkStart w:id="1354" w:name="_Toc79699114"/>
        <w:bookmarkStart w:id="1355" w:name="_Toc79699440"/>
        <w:bookmarkStart w:id="1356" w:name="_Toc79699778"/>
        <w:bookmarkStart w:id="1357" w:name="_Toc79700098"/>
        <w:bookmarkStart w:id="1358" w:name="_Toc79700420"/>
        <w:bookmarkStart w:id="1359" w:name="_Toc87039197"/>
        <w:bookmarkStart w:id="1360" w:name="_Toc90983593"/>
        <w:r w:rsidR="00B613D9" w:rsidRPr="00C1694C">
          <w:rPr>
            <w:rStyle w:val="Hyperlink"/>
          </w:rPr>
          <w:t>I</w:t>
        </w:r>
        <w:r w:rsidR="004659E6" w:rsidRPr="00C1694C">
          <w:rPr>
            <w:rStyle w:val="Hyperlink"/>
          </w:rPr>
          <w:t>N RE SG</w:t>
        </w:r>
        <w:r w:rsidR="00132693" w:rsidRPr="00C1694C">
          <w:rPr>
            <w:rStyle w:val="Hyperlink"/>
          </w:rPr>
          <w:t xml:space="preserve">L CARBON, </w:t>
        </w:r>
        <w:r w:rsidR="00B613D9" w:rsidRPr="00C1694C">
          <w:rPr>
            <w:rStyle w:val="Hyperlink"/>
          </w:rPr>
          <w:t>200 F.3d 154 (</w:t>
        </w:r>
        <w:r w:rsidR="001A75AB" w:rsidRPr="00C1694C">
          <w:rPr>
            <w:rStyle w:val="Hyperlink"/>
          </w:rPr>
          <w:t>3d</w:t>
        </w:r>
        <w:r w:rsidR="00B613D9" w:rsidRPr="00C1694C">
          <w:rPr>
            <w:rStyle w:val="Hyperlink"/>
          </w:rPr>
          <w:t xml:space="preserve"> Cir. 1999)</w:t>
        </w:r>
        <w:bookmarkEnd w:id="1354"/>
        <w:bookmarkEnd w:id="1355"/>
        <w:bookmarkEnd w:id="1356"/>
        <w:bookmarkEnd w:id="1357"/>
        <w:bookmarkEnd w:id="1358"/>
        <w:bookmarkEnd w:id="1359"/>
        <w:bookmarkEnd w:id="1360"/>
      </w:hyperlink>
      <w:bookmarkStart w:id="1361" w:name="_Toc79692972"/>
      <w:bookmarkStart w:id="1362" w:name="_Toc79693292"/>
      <w:bookmarkStart w:id="1363" w:name="_Toc79693612"/>
      <w:bookmarkStart w:id="1364" w:name="_Toc79693929"/>
      <w:bookmarkStart w:id="1365" w:name="_Toc79694569"/>
      <w:bookmarkStart w:id="1366" w:name="_Toc79695197"/>
      <w:bookmarkStart w:id="1367" w:name="_Toc79697443"/>
      <w:bookmarkEnd w:id="1361"/>
      <w:bookmarkEnd w:id="1362"/>
      <w:bookmarkEnd w:id="1363"/>
      <w:bookmarkEnd w:id="1364"/>
      <w:bookmarkEnd w:id="1365"/>
      <w:bookmarkEnd w:id="1366"/>
      <w:bookmarkEnd w:id="1367"/>
      <w:r w:rsidR="00C1694C" w:rsidRPr="00C1694C">
        <w:rPr>
          <w:rStyle w:val="Hyperlink"/>
        </w:rPr>
        <w:br/>
      </w:r>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On December 16, 1998, at the direction of [its parent], SGL Carbon filed a voluntary Chapter 11 bankruptcy petition. The bankruptcy filing contained a proposed reorganization plan under which only one type of creditor would be required to accept less than full cash payment for 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7CE420E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11 U.S.C. § 1112(b) imposes a duty of good faith upon bankruptcy petitioners. It 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12FCECD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threshold issue is whether Chapter 11 petitions may be dismissed for "cause" under 11 U.S.C. § 1112(b)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Chapter 11 bankruptcy petitions are subject to dismissal under 11 U.S.C. § 1112(b)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which does equity and is fair to rights and interests of the parties affected. But the perimeters of 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Having determined that § 1112(b) imposes a good-faith requirement on Chapter 11 petitions, we consider whether SGL Carbon's Chapter 11 petition was filed in good faith.</w:t>
      </w:r>
    </w:p>
    <w:p w14:paraId="412EF277" w14:textId="52B0557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At the time of filing, SGL Carbon's assets had a stipulated book value of $400 million, only $100,000 of which was encumbered. On 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do not hold that a company cannot file a valid Chapter 11 petition until after a massive judgment has been entered against it. Courts have allowed companies to seek the protections of 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2CA2FFF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also believe reliance on In re Johns-Manville is misplaced. As an initial matter, the Johns-Manville Court had a narrow view of what constitutes "good faith." After expressing doubt that § 1112(b)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62592BC6" w14:textId="683799FF" w:rsidR="007A0D85" w:rsidRDefault="00B613D9" w:rsidP="00AB3EFD">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381BAB19" w14:textId="77777777" w:rsidR="00C1694C" w:rsidRDefault="00C1694C" w:rsidP="00AB3EFD">
      <w:pPr>
        <w:ind w:firstLine="720"/>
        <w:jc w:val="both"/>
        <w:rPr>
          <w:rFonts w:ascii="Times New Roman" w:hAnsi="Times New Roman"/>
          <w:szCs w:val="24"/>
        </w:rPr>
      </w:pPr>
    </w:p>
    <w:bookmarkStart w:id="1368" w:name="_Toc87039198"/>
    <w:p w14:paraId="705ACED7" w14:textId="29C16756" w:rsidR="007A0D85" w:rsidRPr="0080423B" w:rsidRDefault="00C1694C" w:rsidP="00AA389C">
      <w:pPr>
        <w:pStyle w:val="Heading3"/>
        <w:rPr>
          <w:u w:val="single"/>
        </w:rPr>
      </w:pPr>
      <w:r w:rsidRPr="0080423B">
        <w:rPr>
          <w:u w:val="single"/>
        </w:rPr>
        <w:fldChar w:fldCharType="begin"/>
      </w:r>
      <w:r w:rsidRPr="0080423B">
        <w:rPr>
          <w:u w:val="single"/>
        </w:rPr>
        <w:instrText xml:space="preserve"> HYPERLINK "https://scholar.google.com/scholar_case?case=5175930322275357628&amp;q=IN+RE+PADILLA&amp;hl=en&amp;as_sdt=6,33" </w:instrText>
      </w:r>
      <w:r w:rsidRPr="0080423B">
        <w:rPr>
          <w:u w:val="single"/>
        </w:rPr>
        <w:fldChar w:fldCharType="separate"/>
      </w:r>
      <w:bookmarkStart w:id="1369" w:name="_Toc90983594"/>
      <w:r w:rsidR="006C728A" w:rsidRPr="0080423B">
        <w:rPr>
          <w:rStyle w:val="Hyperlink"/>
        </w:rPr>
        <w:t>IN RE PADILLA</w:t>
      </w:r>
      <w:r w:rsidR="0074487F" w:rsidRPr="0080423B">
        <w:rPr>
          <w:rStyle w:val="Hyperlink"/>
        </w:rPr>
        <w:t>, 222 F. 3d 1184 (9th Cir</w:t>
      </w:r>
      <w:r w:rsidR="006C728A" w:rsidRPr="0080423B">
        <w:rPr>
          <w:rStyle w:val="Hyperlink"/>
        </w:rPr>
        <w:t>.</w:t>
      </w:r>
      <w:r w:rsidR="0074487F" w:rsidRPr="0080423B">
        <w:rPr>
          <w:rStyle w:val="Hyperlink"/>
        </w:rPr>
        <w:t xml:space="preserve"> 2000)</w:t>
      </w:r>
      <w:bookmarkEnd w:id="1368"/>
      <w:bookmarkEnd w:id="1369"/>
      <w:r w:rsidRPr="0080423B">
        <w:rPr>
          <w:u w:val="single"/>
        </w:rPr>
        <w:fldChar w:fldCharType="end"/>
      </w:r>
      <w:r w:rsidRPr="0080423B">
        <w:rPr>
          <w:u w:val="single"/>
        </w:rPr>
        <w:br/>
      </w:r>
    </w:p>
    <w:p w14:paraId="67FA350E" w14:textId="10293925"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On April 19, 1996, Danny Padilla filed a voluntary petition for Chapter 7 liquidation. At the time, Padilla had a monthly take-home income of $1,950 and monthly expenses of $1,830. He had accrued almost $100,000 in credit card debt—a debt apparently related to gambling losses of $50,000 to $80,000 that Padilla had incurred during most of 1995. Padilla's assets consisted of his house and personal property. His house, though mortgaged for $145,000, was valued at $115,000. His personal property, valued at $11,745, included cash, furnishings, a car, and other personal effects. Padilla claimed an exemption for all but $1,000 of his personal property.</w:t>
      </w:r>
    </w:p>
    <w:p w14:paraId="260DB8B1" w14:textId="0F83783F" w:rsidR="007A0D85" w:rsidRDefault="0074487F" w:rsidP="0074487F">
      <w:pPr>
        <w:ind w:firstLine="720"/>
        <w:jc w:val="both"/>
        <w:rPr>
          <w:rFonts w:ascii="Times New Roman" w:hAnsi="Times New Roman"/>
          <w:szCs w:val="24"/>
        </w:rPr>
      </w:pPr>
      <w:r w:rsidRPr="0074487F">
        <w:rPr>
          <w:rFonts w:ascii="Times New Roman" w:hAnsi="Times New Roman"/>
          <w:szCs w:val="24"/>
        </w:rPr>
        <w:t>On June 27, 1996, the Trustee moved to dismiss Padilla's petition for bad faith under 11 U.S.C. § 707(a) alleging that Padilla had engaged in credit card "bust-out." Credit card "bust-out" is a term used to describe a person's accumulation of a consumer debt in anticipation of filing for bankruptcy. The bankruptcy court granted the motion and dismissed Padilla's petition on September 10, 1996. On September 23, 1996, Padilla appealed to the BAP. The BAP held that, given the facts presented in the case, the bankruptcy court erred in concluding Padilla's filing constituted bad faith requiring dismissal under § 707(a). The BAP then reversed the bankruptcy court's order dismissing the petition and remanded the case for reinstatement. The BAP entered the judgment on October 24, 1997, and issued its mandate to the bankruptcy court on November 21, 1997. On December 22, 1997, the Trustee filed a notice of appeal to this court. The Trustee did not move to stay the BAP's judgment. In February 1998, the bankruptcy court, having reinstated Padilla's petition and proceeded with the bankruptcy, discharged Padilla's debts and closed the case. The Trustee did not object to the discharge.</w:t>
      </w:r>
    </w:p>
    <w:p w14:paraId="23569167" w14:textId="781E5FCA"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BAP held that the bankruptcy court erred in concluding Padilla's filing constituted bad faith requiring dismissal under § 707(a). This court reviews the BAP's decision de novo. See Preblich v. Battley, 181 F.3d 1048, 1051 (9th Cir. 1999) (stating that review of a district court's decision on appeal from a bankruptcy court is de novo); Arden v. Motel Partners (In re Arden), 176 F.3d 1226, 1227 (9th Cir.1999) (reviewing the BAP's decision de novo). In essence, we review </w:t>
      </w:r>
      <w:r w:rsidRPr="0074487F">
        <w:rPr>
          <w:rFonts w:ascii="Times New Roman" w:hAnsi="Times New Roman"/>
          <w:i/>
          <w:iCs/>
          <w:szCs w:val="24"/>
        </w:rPr>
        <w:t>de novo</w:t>
      </w:r>
      <w:r w:rsidRPr="0074487F">
        <w:rPr>
          <w:rFonts w:ascii="Times New Roman" w:hAnsi="Times New Roman"/>
          <w:szCs w:val="24"/>
        </w:rPr>
        <w:t xml:space="preserve"> whether the bankruptcy court erred in concluding that bad faith is a ground for dismissal under § 707(a). We affirm the BAP's conclusion that § 707(a) does not apply here.</w:t>
      </w:r>
    </w:p>
    <w:p w14:paraId="7E2B70B6" w14:textId="0273FB7C"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Under § 707(a), a court may dismiss a bankruptcy liquidation petition filed under Chapter 7 of the Bankruptcy Code</w:t>
      </w:r>
      <w:r>
        <w:rPr>
          <w:rFonts w:ascii="Times New Roman" w:hAnsi="Times New Roman"/>
          <w:szCs w:val="24"/>
        </w:rPr>
        <w:t xml:space="preserve"> </w:t>
      </w:r>
      <w:r w:rsidRPr="0074487F">
        <w:rPr>
          <w:rFonts w:ascii="Times New Roman" w:hAnsi="Times New Roman"/>
          <w:szCs w:val="24"/>
        </w:rPr>
        <w:t>only after notice and a hearing and only for cause, including—</w:t>
      </w:r>
    </w:p>
    <w:p w14:paraId="638FF319"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(1) unreasonable delay by the debtor that is prejudicial to creditors;</w:t>
      </w:r>
    </w:p>
    <w:p w14:paraId="246DDF0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(2) nonpayment of any fees or charges required under chapter 123 of title 28; and</w:t>
      </w:r>
    </w:p>
    <w:p w14:paraId="2611B3F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(3) failure of the debtor in a voluntary case to file, within fifteen days ..., the information required by paragraph (1) of section 521, but only on a motion by the United States trustee.</w:t>
      </w:r>
    </w:p>
    <w:p w14:paraId="24557CDB" w14:textId="77777777" w:rsidR="0074487F" w:rsidRDefault="0074487F" w:rsidP="0074487F">
      <w:pPr>
        <w:ind w:firstLine="720"/>
        <w:jc w:val="both"/>
        <w:rPr>
          <w:rFonts w:ascii="Times New Roman" w:hAnsi="Times New Roman"/>
          <w:szCs w:val="24"/>
        </w:rPr>
      </w:pPr>
      <w:r w:rsidRPr="0074487F">
        <w:rPr>
          <w:rFonts w:ascii="Times New Roman" w:hAnsi="Times New Roman"/>
          <w:szCs w:val="24"/>
        </w:rPr>
        <w:t xml:space="preserve">11 U.S.C.A. § 707(a) (West 1993) (italics added). The grounds that § 707(a) lists as providing "cause" for dismissal are illustrative and not exhaustive. </w:t>
      </w:r>
    </w:p>
    <w:p w14:paraId="5715F9F1" w14:textId="7EA39574"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Whether bad faith can provide "cause" for dismissing a Chapter 7 bankruptcy petition pursuant to § 707(a) is a matter of first impression for this court. The Sixth Circuit and a host of bankruptcy courts that have considered the issue have found bad faith to be a ground for dismissal under § 707(a). As is discussed below, we agree with the Eighth Circuit that bad faith as a general proposition does not provide "cause" to dismiss a Chapter 7 petition under § 707(a).</w:t>
      </w:r>
    </w:p>
    <w:p w14:paraId="6D49121D" w14:textId="77777777" w:rsidR="00DD3942" w:rsidRDefault="0074487F" w:rsidP="0074487F">
      <w:pPr>
        <w:ind w:firstLine="720"/>
        <w:jc w:val="both"/>
        <w:rPr>
          <w:rFonts w:ascii="Times New Roman" w:hAnsi="Times New Roman"/>
          <w:szCs w:val="24"/>
        </w:rPr>
      </w:pPr>
      <w:r w:rsidRPr="0074487F">
        <w:rPr>
          <w:rFonts w:ascii="Times New Roman" w:hAnsi="Times New Roman"/>
          <w:szCs w:val="24"/>
        </w:rPr>
        <w:t xml:space="preserve">Balanced against the relief that the Bankruptcy Code makes available to debtors are the protections the Code affords creditors and, through the United States trustee or the court itself, the public. In the Chapter 7 context, four provisions allow creditors and trustees to object to the discharge of debt: (1) </w:t>
      </w:r>
      <w:r>
        <w:rPr>
          <w:rFonts w:ascii="Times New Roman" w:hAnsi="Times New Roman"/>
          <w:szCs w:val="24"/>
        </w:rPr>
        <w:t xml:space="preserve">[exceptions to discharge under Section 523, (2) denial of discharge under </w:t>
      </w:r>
      <w:r w:rsidRPr="0074487F">
        <w:rPr>
          <w:rFonts w:ascii="Times New Roman" w:hAnsi="Times New Roman"/>
          <w:szCs w:val="24"/>
        </w:rPr>
        <w:t xml:space="preserve">under </w:t>
      </w:r>
      <w:r>
        <w:rPr>
          <w:rFonts w:ascii="Times New Roman" w:hAnsi="Times New Roman"/>
          <w:szCs w:val="24"/>
        </w:rPr>
        <w:t xml:space="preserve">Section </w:t>
      </w:r>
      <w:r w:rsidRPr="0074487F">
        <w:rPr>
          <w:rFonts w:ascii="Times New Roman" w:hAnsi="Times New Roman"/>
          <w:szCs w:val="24"/>
        </w:rPr>
        <w:t>727(a)(2), (c)(1)</w:t>
      </w:r>
      <w:r w:rsidR="00DD3942">
        <w:rPr>
          <w:rFonts w:ascii="Times New Roman" w:hAnsi="Times New Roman"/>
          <w:szCs w:val="24"/>
        </w:rPr>
        <w:t>]</w:t>
      </w:r>
      <w:r w:rsidRPr="0074487F">
        <w:rPr>
          <w:rFonts w:ascii="Times New Roman" w:hAnsi="Times New Roman"/>
          <w:szCs w:val="24"/>
        </w:rPr>
        <w:t xml:space="preserve">, (3) the court on its own or on a motion by the United States trustee may dismiss a Chapter 7 petition if the debts are primarily consumer debts and if granting relief would be a </w:t>
      </w:r>
      <w:r w:rsidRPr="00DD3942">
        <w:rPr>
          <w:rFonts w:ascii="Times New Roman" w:hAnsi="Times New Roman"/>
          <w:b/>
          <w:bCs/>
          <w:szCs w:val="24"/>
        </w:rPr>
        <w:t>substantial abuse</w:t>
      </w:r>
      <w:r w:rsidRPr="0074487F">
        <w:rPr>
          <w:rFonts w:ascii="Times New Roman" w:hAnsi="Times New Roman"/>
          <w:szCs w:val="24"/>
        </w:rPr>
        <w:t xml:space="preserve"> of the provisions of Chapter 7</w:t>
      </w:r>
      <w:r w:rsidR="00DD3942">
        <w:rPr>
          <w:rFonts w:ascii="Times New Roman" w:hAnsi="Times New Roman"/>
          <w:szCs w:val="24"/>
        </w:rPr>
        <w:t xml:space="preserve"> [Section] </w:t>
      </w:r>
      <w:r w:rsidRPr="0074487F">
        <w:rPr>
          <w:rFonts w:ascii="Times New Roman" w:hAnsi="Times New Roman"/>
          <w:szCs w:val="24"/>
        </w:rPr>
        <w:t xml:space="preserve">707(b); and (4) court </w:t>
      </w:r>
      <w:r w:rsidR="00DD3942">
        <w:rPr>
          <w:rFonts w:ascii="Times New Roman" w:hAnsi="Times New Roman"/>
          <w:szCs w:val="24"/>
        </w:rPr>
        <w:t xml:space="preserve">may </w:t>
      </w:r>
      <w:r w:rsidRPr="0074487F">
        <w:rPr>
          <w:rFonts w:ascii="Times New Roman" w:hAnsi="Times New Roman"/>
          <w:szCs w:val="24"/>
        </w:rPr>
        <w:t xml:space="preserve">dismiss "for cause" and sets forth three particular grounds that, including unspecified others, provide "cause" for dismissal. see 11 U.S.C. § 707(a)(1)-(3). Section 707(a) is the only ground raised by the Trustee. </w:t>
      </w:r>
    </w:p>
    <w:p w14:paraId="7C5144B0" w14:textId="2748D8A0"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The three explicit grounds contained in § 707(a) have been described as being "technical and procedural" violations of the Bankruptcy Code. </w:t>
      </w:r>
    </w:p>
    <w:p w14:paraId="54C4FDC6" w14:textId="30AB2FCB"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Statutory construction canons require that "[w]here both a specific and a general statute address the same subject matter, the specific one takes precedence regardless of the sequence of the enactment, and must be applied first." </w:t>
      </w:r>
    </w:p>
    <w:p w14:paraId="0A35C896"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Of the four Code provisions that protect the public and creditors from Chapter 7 debtors, three are specific in nature in that they can be used only in particular circumstances. See 11 U.S.C. § 523(a)(2)(A), (c)(1) (indebtedness obtained by fraud); 11 U.S.C. § 727(a)(2), (c)(1) (transfer of assets with intent to defraud a creditor); 11 U.S.C. § 707(b) (discharge of consumer debts would be substantial abuse of Chapter 7). Therefore, debtor misconduct falling within the particular circumstances addressed by one of the three provisions must be analyzed under that provision.</w:t>
      </w:r>
    </w:p>
    <w:p w14:paraId="213B94C0" w14:textId="32554508"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fourth provision, 11 U.S.C. § 707(a), in reciting three technical and procedural grounds that provide "cause" for dismissal, functions as a "specific" Code provision. Yet, some courts have focused on the word "including," in § 707(a) and used it as a "general" Code provision that allows dismissal for bad faith. No provision that protects Chapter 7 creditors and the public explicitly uses the words "good faith" or "bad faith." Therefore, the question of whether a Chapter 7 debtor's bad faith can provide "cause" for dismissal or grounds for preventing discharge under §§ 523(a)(2)(A), 727(a)(2), 707(b) or 707(a) necessarily depends on the nature of the debtor's actions or inactions that have given rise to the "bad faith" label and whether they are within the contemplation of specific Code provisions. We agree with the Eighth Circuit which stated that</w:t>
      </w:r>
    </w:p>
    <w:p w14:paraId="230A9604" w14:textId="77777777" w:rsidR="0074487F" w:rsidRPr="0074487F" w:rsidRDefault="0074487F" w:rsidP="00DD3942">
      <w:pPr>
        <w:pStyle w:val="Quote"/>
        <w:ind w:firstLine="0"/>
      </w:pPr>
      <w:r w:rsidRPr="0074487F">
        <w:t>some conduct constituting cause to dismiss a Chapter 7 petition may readily be characterized as bad faith. But framing the issue in terms of bad faith may tend to misdirect the inquiry away from the fundamental principles and purposes of Chapter 7. Thus, we think the § 707(a) analysis is better conducted under the statutory standard, "for cause."</w:t>
      </w:r>
    </w:p>
    <w:p w14:paraId="6829EF0B" w14:textId="77777777" w:rsidR="0074487F" w:rsidRPr="0074487F" w:rsidRDefault="0074487F" w:rsidP="00DD3942">
      <w:pPr>
        <w:jc w:val="both"/>
        <w:rPr>
          <w:rFonts w:ascii="Times New Roman" w:hAnsi="Times New Roman"/>
          <w:szCs w:val="24"/>
        </w:rPr>
      </w:pPr>
      <w:r w:rsidRPr="00DD3942">
        <w:rPr>
          <w:rFonts w:ascii="Times New Roman" w:hAnsi="Times New Roman"/>
          <w:i/>
          <w:iCs/>
          <w:szCs w:val="24"/>
        </w:rPr>
        <w:t>Huckfeldt</w:t>
      </w:r>
      <w:r w:rsidRPr="0074487F">
        <w:rPr>
          <w:rFonts w:ascii="Times New Roman" w:hAnsi="Times New Roman"/>
          <w:szCs w:val="24"/>
        </w:rPr>
        <w:t>, 39 F.3d at 832.</w:t>
      </w:r>
    </w:p>
    <w:p w14:paraId="279BF70B" w14:textId="122DFB48"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We note that Chapters 11 and 13 of the Bankruptcy Code each contain a "dismissal for cause" provision that is structured like § 707(a) and includes the same or similar examples of "cause" as § 707(a).</w:t>
      </w:r>
      <w:r w:rsidR="00DD3942">
        <w:rPr>
          <w:rFonts w:ascii="Times New Roman" w:hAnsi="Times New Roman"/>
          <w:szCs w:val="24"/>
        </w:rPr>
        <w:t xml:space="preserve"> </w:t>
      </w:r>
      <w:r w:rsidRPr="0074487F">
        <w:rPr>
          <w:rFonts w:ascii="Times New Roman" w:hAnsi="Times New Roman"/>
          <w:szCs w:val="24"/>
        </w:rPr>
        <w:t>However, under the Chapter 11 and Chapter 13 provisions we have held that bad faith does provide "cause" to dismiss Chapter 11 and Chapter 13 bankruptcy petitions.</w:t>
      </w:r>
      <w:r w:rsidR="00AA389C">
        <w:rPr>
          <w:rFonts w:ascii="Times New Roman" w:hAnsi="Times New Roman"/>
          <w:szCs w:val="24"/>
        </w:rPr>
        <w:t xml:space="preserve"> </w:t>
      </w:r>
      <w:r w:rsidRPr="0074487F">
        <w:rPr>
          <w:rFonts w:ascii="Times New Roman" w:hAnsi="Times New Roman"/>
          <w:szCs w:val="24"/>
        </w:rPr>
        <w:t>What distinguishes Chapters 11 and 13 from Chapter 7 is the language of the Bankruptcy Code itself and the post-filing relationship between the debtor and his creditors. The Bankruptcy Code specifically mentions good faith in Chapters 11 and 13 when it permits a court to confirm a payment plan only if it is proposed in good faith. No mention of good faith or bad faith is made in Chapter 7. Also, the post-filing debtor-creditor relationship is markedly different in liquidation and reorganization bankruptcies. Chapters 11 and 13, both reorganization chapters, permit the debtor to "retain its assets and reorder its contractual obligations to its creditors. In return for these benefits, . . . the debtor [must] approach its new relationship with the creditors in good faith ..." Chapter 7, a liquidation chapter, "requires no ongoing relationship between the debtor and its creditors" and should be available to any debtor willing to surrender all of its nonexempt assets, "regardless of whether the debtor's motive in seeking such a remedy was grounded in good faith." The Bankruptcy Code's language and the protracted relationship between reorganization debtors and their creditors lead us to conclude that bad faith per se can properly constitute "cause" for dismissal of a Chapter 11 or Chapter 13 petition but not of a Chapter 7 petition under § 707(a).[6]</w:t>
      </w:r>
    </w:p>
    <w:p w14:paraId="1AAE3CDC" w14:textId="7777777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 xml:space="preserve">Having discarded the "bad faith" label in favor of simply examining the actions of the debtor that are complained of, and assuming arguendo that Padilla's prefiling activities constitute credit card bust-out, the remaining issue is whether Padilla's credit card bust-out provides "cause" for dismissal under § 707(a). </w:t>
      </w:r>
      <w:r w:rsidRPr="00DD3942">
        <w:rPr>
          <w:rFonts w:ascii="Times New Roman" w:hAnsi="Times New Roman"/>
          <w:b/>
          <w:bCs/>
          <w:szCs w:val="24"/>
        </w:rPr>
        <w:t>We begin by observing that there is no evidence that Padilla violated any technical or procedural requirements of Chapter 7</w:t>
      </w:r>
      <w:r w:rsidRPr="0074487F">
        <w:rPr>
          <w:rFonts w:ascii="Times New Roman" w:hAnsi="Times New Roman"/>
          <w:szCs w:val="24"/>
        </w:rPr>
        <w:t>. The record reveals no failure to pay filing fees or to file necessary information. Padilla did not falsify bankruptcy forms or cause delays during the administration of bankruptcy proceeding. Thus, Padilla's bankruptcy petition can only be dismissed under § 707(a) if credit card bust-out is not a type of misconduct or cause contemplated by any specific Code provision applicable to Chapter 7 petitions.</w:t>
      </w:r>
    </w:p>
    <w:p w14:paraId="1F8103F0" w14:textId="45383DF2"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Padilla's debts—consisting of credit card debt and a mortgage—are solely consumer debts. Section 707(b) concerns consumer debt and provides in relevant part that</w:t>
      </w:r>
    </w:p>
    <w:p w14:paraId="7132DEA8" w14:textId="77777777" w:rsidR="0074487F" w:rsidRPr="0074487F" w:rsidRDefault="0074487F" w:rsidP="00DD3942">
      <w:pPr>
        <w:pStyle w:val="Quote"/>
        <w:ind w:firstLine="0"/>
      </w:pPr>
      <w:r w:rsidRPr="0074487F">
        <w:t>[a]fter notice and a hearing, the court, on its own motion or on a motion by the United States trustee, but not at the 1194*1194 request or suggestion of any party in interest, may dismiss a case filed by an individual debtor under this chapter whose debts are primarily consumer debts if it finds that the granting of relief would be a substantial abuse of the provisions of this chapter. There shall be a presumption in favor of granting the relief requested by the debtor.</w:t>
      </w:r>
    </w:p>
    <w:p w14:paraId="4794B809" w14:textId="4F127997"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The history of § 707(b) demonstrates that this subsection, rather than § 707(a), was intended as the mechanism by which the court or the United States trustee could address general concerns regarding discharge of consumer debt. In 1978, when Congress enacted the Bankruptcy Code, § 707 comprised only part of what is now § 707(a). There was no § 707(b).</w:t>
      </w:r>
    </w:p>
    <w:p w14:paraId="314083BD" w14:textId="3C33435F" w:rsidR="0074487F" w:rsidRPr="0074487F" w:rsidRDefault="0074487F" w:rsidP="00DD3942">
      <w:pPr>
        <w:pStyle w:val="Quote"/>
        <w:ind w:firstLine="0"/>
      </w:pPr>
      <w:r w:rsidRPr="0074487F">
        <w:t>Within several years the consumer credit industry mobilized</w:t>
      </w:r>
      <w:r w:rsidR="00DD3942">
        <w:t xml:space="preserve"> </w:t>
      </w:r>
      <w:r w:rsidRPr="0074487F">
        <w:t>in an attempt to curtail the access of debtors to Chapter 7 relief .... This move was brought about by the increasingly popular perception that people were using the bankruptcy system, not to extricate themselves from an unfortunate situation, but rather as a method of avoiding debts even though they were not suffering economic hardship and possessed future income sufficient to meet their obligations.... According to the consumer credit industry, this "needless discharge" of debt led to the shifting of the repayment burden for literally billions of dollars of debt to the public at large, and principally to those who utilized consumer credit at increasingly higher interest rates.</w:t>
      </w:r>
    </w:p>
    <w:p w14:paraId="130AB484" w14:textId="0F654FFB" w:rsidR="0074487F" w:rsidRPr="0074487F" w:rsidRDefault="0074487F" w:rsidP="0074487F">
      <w:pPr>
        <w:ind w:firstLine="720"/>
        <w:jc w:val="both"/>
        <w:rPr>
          <w:rFonts w:ascii="Times New Roman" w:hAnsi="Times New Roman"/>
          <w:szCs w:val="24"/>
        </w:rPr>
      </w:pPr>
      <w:r w:rsidRPr="0074487F">
        <w:rPr>
          <w:rFonts w:ascii="Times New Roman" w:hAnsi="Times New Roman"/>
          <w:szCs w:val="24"/>
        </w:rPr>
        <w:t>Robert M. Thompson, Comment, Consumer Bankruptcy: Substantial Abuse and Section 707 of the Bankruptcy Code, 55 Mo. L.Rev. 247, 249 (1990). Finally, "[i]n response to persistent pressure from creditors, who felt that debtors were avoiding bothersome unsecured debts which they could easily repay, Congress enacted section 707(b) in the Bankruptcy Amendments and Federal Judgeship Act of 1984, ... to address some of the perceived abuses of chapter 7." Had "cause" in § 707(a) been broadly construed, § 707(b) would have been unnecessary. Therefore, Padilla's credit card bust-out, a consumer debt, is a type of misconduct contemplated by § 707(b).</w:t>
      </w:r>
    </w:p>
    <w:p w14:paraId="45AF6CCE" w14:textId="7BA61E90" w:rsidR="007A0D85" w:rsidRDefault="0074487F" w:rsidP="00DD3942">
      <w:pPr>
        <w:ind w:firstLine="720"/>
        <w:jc w:val="both"/>
        <w:rPr>
          <w:rFonts w:ascii="Times New Roman" w:hAnsi="Times New Roman"/>
          <w:szCs w:val="24"/>
        </w:rPr>
      </w:pPr>
      <w:r w:rsidRPr="0074487F">
        <w:rPr>
          <w:rFonts w:ascii="Times New Roman" w:hAnsi="Times New Roman"/>
          <w:szCs w:val="24"/>
        </w:rPr>
        <w:t>We hold that Padilla's alleged credit card "bust out" did not constitute cause under § 707(a) and thus the bankruptcy court's dismissal of Padilla's petition pursuant to § 707(a) was improper.</w:t>
      </w:r>
    </w:p>
    <w:p w14:paraId="2EEF7B3A" w14:textId="77777777" w:rsidR="00C1694C" w:rsidRPr="007A5BBC" w:rsidRDefault="00C1694C" w:rsidP="00DD3942">
      <w:pPr>
        <w:ind w:firstLine="720"/>
        <w:jc w:val="both"/>
        <w:rPr>
          <w:rFonts w:ascii="Times New Roman" w:hAnsi="Times New Roman"/>
          <w:szCs w:val="24"/>
        </w:rPr>
      </w:pPr>
    </w:p>
    <w:p w14:paraId="412EF293" w14:textId="075722F3" w:rsidR="00B613D9" w:rsidRPr="007A5BBC" w:rsidRDefault="00B613D9" w:rsidP="00C1694C">
      <w:pPr>
        <w:pStyle w:val="Heading2"/>
        <w:spacing w:line="240" w:lineRule="auto"/>
      </w:pPr>
      <w:bookmarkStart w:id="1370" w:name="_Toc417380779"/>
      <w:bookmarkStart w:id="1371" w:name="_Toc79699115"/>
      <w:bookmarkStart w:id="1372" w:name="_Toc79699441"/>
      <w:bookmarkStart w:id="1373" w:name="_Toc79699779"/>
      <w:bookmarkStart w:id="1374" w:name="_Toc79700099"/>
      <w:bookmarkStart w:id="1375" w:name="_Toc79700421"/>
      <w:bookmarkStart w:id="1376" w:name="_Toc87039199"/>
      <w:bookmarkStart w:id="1377" w:name="_Toc90983595"/>
      <w:r w:rsidRPr="007A5BBC">
        <w:t>Voluntary and Involuntary Conversion and Dismissal</w:t>
      </w:r>
      <w:bookmarkStart w:id="1378" w:name="_Toc79692973"/>
      <w:bookmarkStart w:id="1379" w:name="_Toc79693293"/>
      <w:bookmarkStart w:id="1380" w:name="_Toc79693613"/>
      <w:bookmarkStart w:id="1381" w:name="_Toc79693930"/>
      <w:bookmarkStart w:id="1382" w:name="_Toc79694570"/>
      <w:bookmarkStart w:id="1383" w:name="_Toc79695198"/>
      <w:bookmarkStart w:id="1384" w:name="_Toc79697444"/>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00C1694C">
        <w:br/>
      </w:r>
    </w:p>
    <w:p w14:paraId="6BAACDF1" w14:textId="21246C90"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706(a) (debtor’s right to convert to Chapter 11 or 13); 1307(a) (</w:t>
      </w:r>
      <w:r w:rsidR="00100C91" w:rsidRPr="007A5BBC">
        <w:rPr>
          <w:rFonts w:ascii="Times New Roman" w:hAnsi="Times New Roman"/>
          <w:szCs w:val="24"/>
        </w:rPr>
        <w:t>debtor’s</w:t>
      </w:r>
      <w:r w:rsidRPr="007A5BBC">
        <w:rPr>
          <w:rFonts w:ascii="Times New Roman" w:hAnsi="Times New Roman"/>
          <w:szCs w:val="24"/>
        </w:rPr>
        <w:t xml:space="preserve"> right to convert to Chapter 7), 1112(4)(d) (debtor’s right to convert to Chapter 13)</w:t>
      </w:r>
      <w:r w:rsidR="005F6A8B">
        <w:rPr>
          <w:rFonts w:ascii="Times New Roman" w:hAnsi="Times New Roman"/>
          <w:szCs w:val="24"/>
        </w:rPr>
        <w:t xml:space="preserve">. </w:t>
      </w:r>
    </w:p>
    <w:p w14:paraId="412EF294" w14:textId="646631C6"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r w:rsidRPr="007A5BBC">
        <w:rPr>
          <w:rFonts w:ascii="Times New Roman" w:hAnsi="Times New Roman"/>
          <w:szCs w:val="24"/>
        </w:rPr>
        <w:t>11 U.S.C. § 1307(b)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79"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8C3330">
        <w:rPr>
          <w:rFonts w:ascii="Times New Roman" w:hAnsi="Times New Roman"/>
          <w:i/>
          <w:iCs/>
          <w:szCs w:val="24"/>
        </w:rPr>
        <w:t xml:space="preserve">See </w:t>
      </w:r>
      <w:r w:rsidR="00FE2EAC" w:rsidRPr="007A5BBC">
        <w:rPr>
          <w:rFonts w:ascii="Times New Roman" w:hAnsi="Times New Roman"/>
          <w:szCs w:val="24"/>
        </w:rPr>
        <w:t>11 U.S.C. § 1307(b).</w:t>
      </w:r>
    </w:p>
    <w:p w14:paraId="412EF295" w14:textId="1D70FD31"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Cases may be involuntarily converted from Chapter 7 to 11, Chapter 11 to 7, or dismissed from any chapter, after notice and a hearing upon a showing of “cause” for conversion or dismissal. 11 U.S.C. §§ 706(b); 1112(b)(1); 1307(c)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083725">
        <w:rPr>
          <w:rFonts w:ascii="Times New Roman" w:hAnsi="Times New Roman"/>
          <w:szCs w:val="24"/>
        </w:rPr>
        <w:t xml:space="preserve">. </w:t>
      </w:r>
      <w:r w:rsidRPr="007A5BBC">
        <w:rPr>
          <w:rFonts w:ascii="Times New Roman" w:hAnsi="Times New Roman"/>
          <w:szCs w:val="24"/>
        </w:rPr>
        <w:t xml:space="preserve">The Bankruptcy Code contains a long list of conduct constituting “cause” for converting from Chapter 11 to Chapter 7, with the focus being on the debtor’s post-petition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8C3330">
        <w:rPr>
          <w:rFonts w:ascii="Times New Roman" w:hAnsi="Times New Roman"/>
          <w:i/>
          <w:iCs/>
          <w:szCs w:val="24"/>
        </w:rPr>
        <w:t xml:space="preserve">See </w:t>
      </w:r>
      <w:r w:rsidRPr="007A5BBC">
        <w:rPr>
          <w:rFonts w:ascii="Times New Roman" w:hAnsi="Times New Roman"/>
          <w:szCs w:val="24"/>
        </w:rPr>
        <w:t>11 U.S.C. § 1112(b)(4).</w:t>
      </w:r>
    </w:p>
    <w:p w14:paraId="412EF296" w14:textId="310CC21B"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Prepetition bad faith is not a factor listed as </w:t>
      </w:r>
      <w:r w:rsidR="006C728A">
        <w:rPr>
          <w:rFonts w:ascii="Times New Roman" w:hAnsi="Times New Roman"/>
          <w:szCs w:val="24"/>
        </w:rPr>
        <w:t xml:space="preserve">an </w:t>
      </w:r>
      <w:r w:rsidRPr="007A5BBC">
        <w:rPr>
          <w:rFonts w:ascii="Times New Roman" w:hAnsi="Times New Roman"/>
          <w:szCs w:val="24"/>
        </w:rPr>
        <w:t>example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80"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(5th Cir. 1986)</w:t>
        </w:r>
      </w:hyperlink>
      <w:r w:rsidRPr="007A5BBC">
        <w:rPr>
          <w:rFonts w:ascii="Times New Roman" w:hAnsi="Times New Roman"/>
          <w:szCs w:val="24"/>
        </w:rPr>
        <w:t xml:space="preserve"> (“Every bankruptcy statute since 1898 has incorporated literally, or by judicial interpretation, a standard of good faith for the 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751B8A05" w:rsidR="00B613D9"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083725">
        <w:rPr>
          <w:rFonts w:ascii="Times New Roman" w:hAnsi="Times New Roman"/>
          <w:szCs w:val="24"/>
        </w:rPr>
        <w:t xml:space="preserve">. </w:t>
      </w:r>
      <w:hyperlink r:id="rId81"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2"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In any case, the courts have continued to recognize bad faith dismissals in Chapter 11 cases, even after the 2005 BAPCPA amendments defined pre-petition bad faith as an element of “abuse” by consumer debtors under Section 707(b), rather than as an element of “cause” for dismissal generally under Section 707(a)</w:t>
      </w:r>
      <w:r w:rsidR="005F6A8B">
        <w:rPr>
          <w:rFonts w:ascii="Times New Roman" w:hAnsi="Times New Roman"/>
          <w:szCs w:val="24"/>
        </w:rPr>
        <w:t xml:space="preserve">. </w:t>
      </w:r>
    </w:p>
    <w:p w14:paraId="3C8AE7CA" w14:textId="77777777" w:rsidR="00763567" w:rsidRDefault="00763567" w:rsidP="00561042">
      <w:pPr>
        <w:ind w:firstLine="720"/>
        <w:jc w:val="both"/>
        <w:rPr>
          <w:rFonts w:ascii="Times New Roman" w:hAnsi="Times New Roman"/>
          <w:szCs w:val="24"/>
        </w:rPr>
      </w:pPr>
    </w:p>
    <w:p w14:paraId="2AF5AEA1" w14:textId="1CE23634" w:rsidR="009C1A50" w:rsidRDefault="00A7201D" w:rsidP="00286100">
      <w:pPr>
        <w:pStyle w:val="Heading2"/>
        <w:spacing w:line="240" w:lineRule="auto"/>
      </w:pPr>
      <w:bookmarkStart w:id="1385" w:name="_Toc79699116"/>
      <w:bookmarkStart w:id="1386" w:name="_Toc79699442"/>
      <w:bookmarkStart w:id="1387" w:name="_Toc79699780"/>
      <w:bookmarkStart w:id="1388" w:name="_Toc79700100"/>
      <w:bookmarkStart w:id="1389" w:name="_Toc79700422"/>
      <w:bookmarkStart w:id="1390" w:name="_Toc87039200"/>
      <w:bookmarkStart w:id="1391" w:name="_Toc90983596"/>
      <w:r>
        <w:t>Fees, Surcharges and Sanctions</w:t>
      </w:r>
      <w:bookmarkStart w:id="1392" w:name="_Toc79692974"/>
      <w:bookmarkStart w:id="1393" w:name="_Toc79693294"/>
      <w:bookmarkStart w:id="1394" w:name="_Toc79693614"/>
      <w:bookmarkStart w:id="1395" w:name="_Toc79693931"/>
      <w:bookmarkStart w:id="1396" w:name="_Toc79694571"/>
      <w:bookmarkStart w:id="1397" w:name="_Toc79695199"/>
      <w:bookmarkStart w:id="1398" w:name="_Toc79697445"/>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00286100">
        <w:br/>
      </w:r>
    </w:p>
    <w:bookmarkStart w:id="1399" w:name="_Toc87039201"/>
    <w:p w14:paraId="2AE145F9" w14:textId="0146B30A" w:rsidR="00517661" w:rsidRPr="0080423B" w:rsidRDefault="00286100" w:rsidP="00286100">
      <w:pPr>
        <w:pStyle w:val="Heading3"/>
        <w:rPr>
          <w:u w:val="single"/>
        </w:rPr>
      </w:pPr>
      <w:r w:rsidRPr="0080423B">
        <w:rPr>
          <w:u w:val="single"/>
        </w:rPr>
        <w:fldChar w:fldCharType="begin"/>
      </w:r>
      <w:r w:rsidRPr="0080423B">
        <w:rPr>
          <w:u w:val="single"/>
        </w:rPr>
        <w:instrText xml:space="preserve"> HYPERLINK "https://scholar.google.com/scholar_case?case=8928203021139895651&amp;q=UNITED+STATES+v.+KRAS,+409+U.S.+434+&amp;hl=en&amp;as_sdt=6,33" </w:instrText>
      </w:r>
      <w:r w:rsidRPr="0080423B">
        <w:rPr>
          <w:u w:val="single"/>
        </w:rPr>
        <w:fldChar w:fldCharType="separate"/>
      </w:r>
      <w:bookmarkStart w:id="1400" w:name="_Toc90983597"/>
      <w:r w:rsidR="00517661" w:rsidRPr="0080423B">
        <w:rPr>
          <w:rStyle w:val="Hyperlink"/>
        </w:rPr>
        <w:t>UNITED STATES v</w:t>
      </w:r>
      <w:r w:rsidR="00AB3EFD" w:rsidRPr="0080423B">
        <w:rPr>
          <w:rStyle w:val="Hyperlink"/>
        </w:rPr>
        <w:t>.</w:t>
      </w:r>
      <w:r w:rsidR="00517661" w:rsidRPr="0080423B">
        <w:rPr>
          <w:rStyle w:val="Hyperlink"/>
        </w:rPr>
        <w:t xml:space="preserve"> KRAS, 409 U</w:t>
      </w:r>
      <w:r w:rsidR="00AB3EFD" w:rsidRPr="0080423B">
        <w:rPr>
          <w:rStyle w:val="Hyperlink"/>
        </w:rPr>
        <w:t>.</w:t>
      </w:r>
      <w:r w:rsidR="00517661" w:rsidRPr="0080423B">
        <w:rPr>
          <w:rStyle w:val="Hyperlink"/>
        </w:rPr>
        <w:t>S</w:t>
      </w:r>
      <w:r w:rsidR="00AB3EFD" w:rsidRPr="0080423B">
        <w:rPr>
          <w:rStyle w:val="Hyperlink"/>
        </w:rPr>
        <w:t>.</w:t>
      </w:r>
      <w:r w:rsidR="00517661" w:rsidRPr="0080423B">
        <w:rPr>
          <w:rStyle w:val="Hyperlink"/>
        </w:rPr>
        <w:t xml:space="preserve"> 434 (1973)</w:t>
      </w:r>
      <w:bookmarkStart w:id="1401" w:name="_Toc79692975"/>
      <w:bookmarkStart w:id="1402" w:name="_Toc79693295"/>
      <w:bookmarkStart w:id="1403" w:name="_Toc79693615"/>
      <w:bookmarkStart w:id="1404" w:name="_Toc79693932"/>
      <w:bookmarkStart w:id="1405" w:name="_Toc79694250"/>
      <w:bookmarkStart w:id="1406" w:name="_Toc79694572"/>
      <w:bookmarkStart w:id="1407" w:name="_Toc79694884"/>
      <w:bookmarkStart w:id="1408" w:name="_Toc79695200"/>
      <w:bookmarkStart w:id="1409" w:name="_Toc79695516"/>
      <w:bookmarkStart w:id="1410" w:name="_Toc79695832"/>
      <w:bookmarkStart w:id="1411" w:name="_Toc79696148"/>
      <w:bookmarkStart w:id="1412" w:name="_Toc79696464"/>
      <w:bookmarkStart w:id="1413" w:name="_Toc79696785"/>
      <w:bookmarkStart w:id="1414" w:name="_Toc79697117"/>
      <w:bookmarkStart w:id="1415" w:name="_Toc79697446"/>
      <w:bookmarkStart w:id="1416" w:name="_Toc79699117"/>
      <w:bookmarkStart w:id="1417" w:name="_Toc79699443"/>
      <w:bookmarkStart w:id="1418" w:name="_Toc79699781"/>
      <w:bookmarkStart w:id="1419" w:name="_Toc79700101"/>
      <w:bookmarkStart w:id="1420" w:name="_Toc79700423"/>
      <w:bookmarkStart w:id="1421" w:name="_Toc79700745"/>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80423B">
        <w:rPr>
          <w:u w:val="single"/>
        </w:rPr>
        <w:fldChar w:fldCharType="end"/>
      </w:r>
      <w:r w:rsidRPr="0080423B">
        <w:rPr>
          <w:u w:val="single"/>
        </w:rPr>
        <w:br/>
      </w:r>
    </w:p>
    <w:p w14:paraId="61D9C140" w14:textId="77777777" w:rsidR="00517661" w:rsidRDefault="00517661" w:rsidP="00517661">
      <w:pPr>
        <w:pStyle w:val="0-NORMAL"/>
      </w:pPr>
      <w:r>
        <w:t>The Bankruptcy Act and one of this Court's complementary Orders in Bankruptcy impose fees and make the payment of those fees a condition to a discharge in voluntary bankruptcy.</w:t>
      </w:r>
    </w:p>
    <w:p w14:paraId="5DBD96AA" w14:textId="77777777" w:rsidR="00517661" w:rsidRDefault="00517661" w:rsidP="00517661">
      <w:pPr>
        <w:pStyle w:val="0-NORMAL"/>
      </w:pPr>
      <w:r>
        <w:t xml:space="preserve">Appellee Kras, an indigent petitioner in bankruptcy, challenged the fees on Fifth Amendment grounds. The District Court held the fee provisions to be unconstitutional as applied to Kras. </w:t>
      </w:r>
    </w:p>
    <w:p w14:paraId="251A1F53" w14:textId="77777777" w:rsidR="00517661" w:rsidRDefault="00517661" w:rsidP="00517661">
      <w:pPr>
        <w:pStyle w:val="0-NORMAL"/>
      </w:pPr>
      <w:r>
        <w:t xml:space="preserve">Section 14 (b) (2) of the Bankruptcy Act provides that, upon the expiration of the time fixed by the court for filing of objections, "the court shall discharge the bankrupt if no objection has been filed and if the filing fees required to be paid by this title have been paid in full." Section 14 (c) similarly provides that the court "shall grant the discharge unless satisfied that the bankrupt. . . (8) has failed to pay the filing fees required to be paid by this title in full." Section 59 (g), 11 U. S. C. § 95 (g), relates to the dismissal of a petition in bankruptcy and states that "in the case of a dismissal for failure to pay the costs," notice to creditors shall not be required. Three separate sections of the thus contemplate the imposition of fees and condition a discharge upon payment of those fees. </w:t>
      </w:r>
    </w:p>
    <w:p w14:paraId="76307011" w14:textId="77777777" w:rsidR="00517661" w:rsidRDefault="00517661" w:rsidP="00517661">
      <w:pPr>
        <w:pStyle w:val="0-NORMAL"/>
      </w:pPr>
      <w:r>
        <w:t>[The Court noted that Kras’s filing fees totaled $50, and could be paid in installments. He submitted an affidavit establishing that he, his wife, and two children were living on an income of $300 per month, and $366 of public assistance, and that he had no non-exempt assets].</w:t>
      </w:r>
    </w:p>
    <w:p w14:paraId="3B482FDE" w14:textId="77777777" w:rsidR="00517661" w:rsidRDefault="00517661" w:rsidP="00517661">
      <w:pPr>
        <w:pStyle w:val="0-NORMAL"/>
      </w:pPr>
      <w:r>
        <w:t>Because of his poverty, Kras is wholly unable to pay or promise to pay the bankruptcy fees, even in small installments. He has been unable to borrow money. The New York City Department of Social Services refuses to allot money for payment of the fees. He has no prospect of immediate employment.</w:t>
      </w:r>
    </w:p>
    <w:p w14:paraId="5B611C82" w14:textId="77777777" w:rsidR="00517661" w:rsidRDefault="00517661" w:rsidP="00517661">
      <w:pPr>
        <w:pStyle w:val="0-NORMAL"/>
      </w:pPr>
      <w:r>
        <w:t>Kras seeks a discharge in bankruptcy of $6,428.69 in total indebtedness in order to relieve himself and his family of the distress of financial insolvency and creditor harassment and in order to make a new start in life. It is especially important that he obtain a discharge of his debt to Metropolitan soon "because until that is cleared up Metropolitan will continue to falsely charge me with fraud and give me bad references which prevent my getting employment."</w:t>
      </w:r>
    </w:p>
    <w:p w14:paraId="378F7E4B" w14:textId="77777777" w:rsidR="00517661" w:rsidRDefault="00517661" w:rsidP="00517661">
      <w:pPr>
        <w:pStyle w:val="0-NORMAL"/>
      </w:pPr>
      <w:r>
        <w:t>The District Court's opinion contains an order granting Kras' motion for leave to file his petition in bankruptcy without prepayment of fees. He was adjudged a bankrupt. Later, the referee, upon consent of the parties, entered an order allowing Kras to conduct all necessary proceedings in bankruptcy up to but not including discharge. The referee stayed the discharge pending disposition of this appeal.</w:t>
      </w:r>
    </w:p>
    <w:p w14:paraId="184C2245" w14:textId="77777777" w:rsidR="00517661" w:rsidRDefault="00517661" w:rsidP="00517661">
      <w:pPr>
        <w:pStyle w:val="0-NORMAL"/>
      </w:pPr>
      <w:r>
        <w:t>[The Court held that there were no provisions in the bankruptcy statute at the time that would allow a debtor to file bankruptcy and obtain a discharge without paying filing fees.]  Neither do we perceive any common-law right to proceed without payment of fees. Congress, of course, sometime might conclude that [a fee waiver provision] should be made applicable to bankruptcy and legislate accordingly.</w:t>
      </w:r>
    </w:p>
    <w:p w14:paraId="06CB63ED" w14:textId="77777777" w:rsidR="00517661" w:rsidRDefault="00517661" w:rsidP="00517661">
      <w:pPr>
        <w:pStyle w:val="0-NORMAL"/>
      </w:pPr>
      <w:r>
        <w:t xml:space="preserve">The District Court went on to hold, however, that the prescribed fees, payment of which was required as a condition precedent to discharge, served to deny Kras "his Fifth Amendment right of due process, including equal protection." It held that a discharge in bankruptcy was a "fundamental interest" that could be denied only when a "compelling government interest" was demonstrated. It noted that provision should be made by the referee for the survival, beyond bankruptcy, of the bankrupt's obligation to pay the fees. The court rested its decision primarily upon </w:t>
      </w:r>
      <w:r w:rsidRPr="00555C66">
        <w:rPr>
          <w:i/>
          <w:iCs/>
        </w:rPr>
        <w:t>Boddie v. Connecticut</w:t>
      </w:r>
      <w:r>
        <w:t>, 401 U. S. 371 (1971). A number of other district courts and bankruptcy referees have reached the same result.</w:t>
      </w:r>
    </w:p>
    <w:p w14:paraId="43C54234" w14:textId="77777777" w:rsidR="00517661" w:rsidRDefault="00517661" w:rsidP="00517661">
      <w:pPr>
        <w:pStyle w:val="0-NORMAL"/>
      </w:pPr>
      <w:r>
        <w:t xml:space="preserve">Kras contends that his case falls squarely within </w:t>
      </w:r>
      <w:r w:rsidRPr="00555C66">
        <w:rPr>
          <w:i/>
          <w:iCs/>
        </w:rPr>
        <w:t>Boddie</w:t>
      </w:r>
      <w:r>
        <w:t xml:space="preserve">. The Government, on the other hand, stresses the differences between divorce (with which </w:t>
      </w:r>
      <w:r w:rsidRPr="00555C66">
        <w:rPr>
          <w:i/>
          <w:iCs/>
        </w:rPr>
        <w:t>Boddie</w:t>
      </w:r>
      <w:r>
        <w:t xml:space="preserve"> was concerned) and bankruptcy, and claims that </w:t>
      </w:r>
      <w:r w:rsidRPr="00555C66">
        <w:rPr>
          <w:i/>
          <w:iCs/>
        </w:rPr>
        <w:t>Boddie</w:t>
      </w:r>
      <w:r>
        <w:t xml:space="preserve"> is not controlling and that the fee requirements constitute a reasonable exercise of Congress' plenary power over bankruptcy.</w:t>
      </w:r>
    </w:p>
    <w:p w14:paraId="0189AD32" w14:textId="77777777" w:rsidR="00517661" w:rsidRDefault="00517661" w:rsidP="00517661">
      <w:pPr>
        <w:pStyle w:val="0-NORMAL"/>
      </w:pPr>
      <w:r w:rsidRPr="00555C66">
        <w:rPr>
          <w:i/>
          <w:iCs/>
        </w:rPr>
        <w:t>Boddie</w:t>
      </w:r>
      <w:r>
        <w:t xml:space="preserve"> was a challenge by welfare recipients to certain Connecticut procedures, including the payment of court fees and costs, that allegedly restricted their access to the courts for divorce. The plaintiffs, simply by reason of their indigency, were unable to bring their actions. The Court reversed a district court judgment that a State could limit access to its courts by fees "which effectively bar persons on relief from commencing actions therein." Mr. Justice Harlan, writing for the Court, stressed state monopolization of the means for legally dissolving marriage and identified the would-be indigent divorce plaintiff with any other action's impoverished defendant forced into court by the institution of a lawsuit against him. He declared that "a meaningful opportunity to be heard" was firmly imbedded in our due process jurisprudence, and that this was to be protected against denial by laws that operate to jeopardize it for particular individuals. The Court then concluded that Connecticut's refusal to admit these good-faith divorce plaintiffs to its courts equated with the denial of an opportunity to be heard and, in the absence of a sufficient countervailing justification for the State's action, a denial of due process.</w:t>
      </w:r>
    </w:p>
    <w:p w14:paraId="19C604A6" w14:textId="77777777" w:rsidR="00517661" w:rsidRDefault="00517661" w:rsidP="00517661">
      <w:pPr>
        <w:pStyle w:val="0-NORMAL"/>
      </w:pPr>
      <w:r>
        <w:t xml:space="preserve">But the Court emphasized that "we go no further than necessary to dispose of the case before us." </w:t>
      </w:r>
    </w:p>
    <w:p w14:paraId="5CAD1199" w14:textId="77777777" w:rsidR="00517661" w:rsidRDefault="00517661" w:rsidP="00517661">
      <w:pPr>
        <w:pStyle w:val="0-NORMAL"/>
      </w:pPr>
      <w:r>
        <w:t xml:space="preserve">"We do not decide that access for all individuals to the courts is a right that is, in all circumstances, guaranteed by the Due Process Clause of the Fourteenth Amendment so that its exercise may not be placed beyond the reach of any individual, for, as we have already noted, in the case before us this right is the exclusive precondition to the adjustment of a fundamental human relationship. The requirement that these appellants resort to the judicial process is entirely a state-created matter. Thus we hold only that a State may not, consistent with the obligations imposed on it by the Due Process Clause of the Fourteenth Amendment, pre-empt the right to dissolve this legal relationship without affording all citizens access to the means it has prescribed for doing so." </w:t>
      </w:r>
    </w:p>
    <w:p w14:paraId="7688EFE3" w14:textId="77777777" w:rsidR="00517661" w:rsidRDefault="00517661" w:rsidP="00517661">
      <w:pPr>
        <w:pStyle w:val="0-NORMAL"/>
      </w:pPr>
      <w:r>
        <w:t xml:space="preserve">We agree with the Government that our decision in </w:t>
      </w:r>
      <w:r w:rsidRPr="00094AC1">
        <w:rPr>
          <w:i/>
          <w:iCs/>
        </w:rPr>
        <w:t>Boddie</w:t>
      </w:r>
      <w:r>
        <w:t xml:space="preserve"> does not control the disposition of this case and that the District Court's reliance upon </w:t>
      </w:r>
      <w:r w:rsidRPr="00094AC1">
        <w:rPr>
          <w:i/>
          <w:iCs/>
        </w:rPr>
        <w:t>Boddie</w:t>
      </w:r>
      <w:r>
        <w:t xml:space="preserve"> is misplaced.</w:t>
      </w:r>
    </w:p>
    <w:p w14:paraId="6CC19B38" w14:textId="77777777" w:rsidR="00517661" w:rsidRDefault="00517661" w:rsidP="00517661">
      <w:pPr>
        <w:pStyle w:val="0-NORMAL"/>
      </w:pPr>
      <w:r w:rsidRPr="00517661">
        <w:rPr>
          <w:i/>
          <w:iCs/>
        </w:rPr>
        <w:t>Boddie</w:t>
      </w:r>
      <w:r>
        <w:t xml:space="preserve"> was based on the notion that a State cannot deny access, simply because of one's poverty, to a "judicial proceeding [that is] the only effective means of resolving the dispute at hand." Throughout the opinion there is constant and recurring reference to Connecticut's exclusive control over the establishment, enforcement, and dissolution of the marital relationship. The Court emphasized that "marriage involves interests of basic importance in our society," and spoke of "state monopolization of the means for legally dissolving this relationship," "[R]esort to the state courts [was] the only avenue to dissolution of . . . marriages," which was "not only the paramount dispute-settlement technique, but, in fact, the only available one.” The Court acknowledged that it knew "of no instance where two consenting adults may divorce and mutually liberate themselves from the constraints of legal obligations that go with marriage, and more fundamentally the prohibition against remarriage, without invoking the State's judicial machinery." In the light of all this, we concluded that resort to the judicial process was "no more voluntary in a realistic sense than that of the defendant called upon to defend his interests in court" and we resolved the case "in light of the principles enunciated in our due process decisions that delimit rights of defendants compelled to litigate their differences in the judicial forum." </w:t>
      </w:r>
    </w:p>
    <w:p w14:paraId="14A17118" w14:textId="7DA10457" w:rsidR="00517661" w:rsidRDefault="00517661" w:rsidP="00517661">
      <w:pPr>
        <w:pStyle w:val="0-NORMAL"/>
      </w:pPr>
      <w:r>
        <w:t xml:space="preserve">The appellants in </w:t>
      </w:r>
      <w:r w:rsidRPr="00094AC1">
        <w:rPr>
          <w:i/>
          <w:iCs/>
        </w:rPr>
        <w:t>Boddie</w:t>
      </w:r>
      <w:r>
        <w:t xml:space="preserve">, on the one hand, and Robert Kras, on the other, stand in materially different postures. The denial of access to the judicial forum in </w:t>
      </w:r>
      <w:r w:rsidRPr="00094AC1">
        <w:rPr>
          <w:i/>
          <w:iCs/>
        </w:rPr>
        <w:t>Boddie</w:t>
      </w:r>
      <w:r>
        <w:t xml:space="preserve"> touched directly, as has been noted, on the marital relationship and on the associational interests that surround the establishment and dissolution of that relationship. On many occasions we have recognized the fundamental importance of these interests under our Constitution. The </w:t>
      </w:r>
      <w:r w:rsidRPr="00094AC1">
        <w:rPr>
          <w:i/>
          <w:iCs/>
        </w:rPr>
        <w:t>Boddie</w:t>
      </w:r>
      <w:r>
        <w:t xml:space="preserve"> appellants' inability to dissolve their marriages seriously impaired their freedom to pursue other protected associational activities. Kras' alleged interest in the elimination of his debt burden, and in obtaining his desired new start in life, although important and so recognized by the enactment of the Bankruptcy Act, does not rise to the same constitutional level. If Kras is not discharged in bankruptcy, his position will not be materially altered in any constitutional sense. Gaining or not gaining a discharge will effect no change with respect to basic necessities</w:t>
      </w:r>
      <w:r w:rsidR="00083725">
        <w:t xml:space="preserve">. </w:t>
      </w:r>
      <w:r>
        <w:t>We see no fundamental interest that is gained or lost depending on the availability of a discharge in bankruptcy.</w:t>
      </w:r>
    </w:p>
    <w:p w14:paraId="114518FF" w14:textId="77777777" w:rsidR="00517661" w:rsidRDefault="00517661" w:rsidP="00517661">
      <w:pPr>
        <w:pStyle w:val="0-NORMAL"/>
      </w:pPr>
      <w:r>
        <w:t xml:space="preserve">Nor is the Government's control over the establishment, enforcement, or dissolution of debts nearly so exclusive as Connecticut's control over the marriage relationship in </w:t>
      </w:r>
      <w:r w:rsidRPr="00094AC1">
        <w:rPr>
          <w:i/>
          <w:iCs/>
        </w:rPr>
        <w:t>Boddie</w:t>
      </w:r>
      <w:r>
        <w:t xml:space="preserve">. In contrast with divorce, bankruptcy is not the only method available to a debtor for the adjustment of his legal relationship with his creditors. The utter exclusiveness of court access and court remedy, as has been noted, was a potent factor in </w:t>
      </w:r>
      <w:r w:rsidRPr="00094AC1">
        <w:rPr>
          <w:i/>
          <w:iCs/>
        </w:rPr>
        <w:t>Boddie</w:t>
      </w:r>
      <w:r>
        <w:t>. But "[w]ithout a prior judicial imprimatur, individuals may freely enter into and rescind commercial contracts. . . .".</w:t>
      </w:r>
    </w:p>
    <w:p w14:paraId="088E3E51" w14:textId="77777777" w:rsidR="00517661" w:rsidRDefault="00517661" w:rsidP="00517661">
      <w:pPr>
        <w:pStyle w:val="0-NORMAL"/>
      </w:pPr>
      <w:r>
        <w:t>However unrealistic the remedy may be in a particular situation, a debtor, in theory, and often in actuality, may adjust his debts by negotiated agreement with his creditors. At times the happy passage of the applicable limitation period, or other acceptable creditor arrangement, will provide the answer. Government's role with respect to the private commercial relationship is qualitatively and quantitatively different from its role in the establishment, enforcement, and dissolution of marriage.</w:t>
      </w:r>
    </w:p>
    <w:p w14:paraId="2361D994" w14:textId="77777777" w:rsidR="00517661" w:rsidRDefault="00517661" w:rsidP="00517661">
      <w:pPr>
        <w:pStyle w:val="0-NORMAL"/>
      </w:pPr>
      <w:r>
        <w:t xml:space="preserve">Resort to the court, therefore, is not Kras' sole path to relief. </w:t>
      </w:r>
      <w:r w:rsidRPr="00094AC1">
        <w:rPr>
          <w:i/>
          <w:iCs/>
        </w:rPr>
        <w:t>Boddie's</w:t>
      </w:r>
      <w:r>
        <w:t xml:space="preserve"> emphasis on exclusivity finds no counterpart in the bankrupt's situation. </w:t>
      </w:r>
    </w:p>
    <w:p w14:paraId="146BE971" w14:textId="77777777" w:rsidR="00517661" w:rsidRDefault="00517661" w:rsidP="00517661">
      <w:pPr>
        <w:pStyle w:val="0-NORMAL"/>
      </w:pPr>
      <w:r>
        <w:t xml:space="preserve">We are also of the opinion that the filing fee requirement does not deny Kras the equal protection of the laws. Bankruptcy is hardly akin to free speech or marriage or to those other rights, so many of which are imbedded in the First Amendment, that the Court has come to regard as fundamental and that demand the lofty requirement of a compelling governmental interest before they may be significantly regulated. Neither does it touch upon what have been said to be the suspect criteria of race, nationality, or alienage. Instead, bankruptcy legislation is in the area of economics and social welfare. This being so, the applicable standard, in measuring the propriety of Congress' classification, is that of rational justification. </w:t>
      </w:r>
    </w:p>
    <w:p w14:paraId="6884371F" w14:textId="4D6BE192" w:rsidR="00517661" w:rsidRDefault="00517661" w:rsidP="00517661">
      <w:pPr>
        <w:pStyle w:val="0-NORMAL"/>
      </w:pPr>
      <w:r>
        <w:t>There is no constitutional right to obtain a discharge of one's debts in bankruptcy. The Constitution, Art. I, § 8, cl. 4, merely authorizes the Congress to "establish. . . uniform Laws on the subject of Bankruptcies throughout the United States." Although the first bankruptcy law in England was enacted in 1542, and a discharge provision first appeared in 1705, primarily as a reward for cooperating debtors, voluntary bankruptcy was not known in this country at the adoption of the Constitution. Indeed, for the entire period prior to the present Act of 1898, the Nation was without a federal bankruptcy law except for three short periods aggregating about 15 1/2 years</w:t>
      </w:r>
      <w:r w:rsidR="00083725">
        <w:t xml:space="preserve">. </w:t>
      </w:r>
      <w:r>
        <w:t>Professor MacLachlan has said that the development of the discharge "represents an independent. . . public policy in favor of extricating an insolvent debtor from what would otherwise be a financial impasse." But this obviously is a legislatively created benefit, not a constitutional one, and, as noted, it was a benefit withheld, save for three short periods, during the first 110 years of the Nation's life. The mere fact that Congress has delegated to the District Court supervision over the proceedings by which a petition for discharge is processed does not convert a statutory benefit into a constitutional right of access to a court. Then, too, Congress might have delegated the responsibility to an administrative agency.</w:t>
      </w:r>
    </w:p>
    <w:p w14:paraId="33439D51" w14:textId="77777777" w:rsidR="00517661" w:rsidRDefault="00517661" w:rsidP="00517661">
      <w:pPr>
        <w:pStyle w:val="0-NORMAL"/>
      </w:pPr>
      <w:r>
        <w:t xml:space="preserve">The rational basis for the fee requirement is readily apparent. Congressional power over bankruptcy, of course, is plenary and exclusive. By the 1946 Amendment, as has been noted, abolished the theretofore existing practices of the pauper petition and of compensating the referee from the fees he collected. It replaced that system with one for salaried referees and for fixed fees for every petition filed and a specified percentage of distributable assets. It sought to make the system self-sustaining and paid for by those who use it rather than by tax revenues drawn from the public at large. The propriety of the requirement that the fees be paid ultimately has been recognized even by those district courts that have held the payment of the fee as a precondition to a discharge to be unconstitutional, for those courts would make the payments survive the bankruptcy as a continuing obligation of the bankrupt. </w:t>
      </w:r>
    </w:p>
    <w:p w14:paraId="43F70C56" w14:textId="77777777" w:rsidR="00517661" w:rsidRDefault="00517661" w:rsidP="00517661">
      <w:pPr>
        <w:pStyle w:val="0-NORMAL"/>
      </w:pPr>
      <w:r>
        <w:t xml:space="preserve">Further, the reasonableness of the structure Congress produced, and congressional concern for the debtor, are apparent from the provisions permitting the debtor to file his petition without payment of any fee, with consequent freedom of subsequent earnings and of after-acquired assets from the claims of then-existing obligations. These provisions, coupled with the bankrupt's ability to obtain a stay of all debt enforcement actions pending at the filing of the petition or thereafter commenced, enable a bankrupt to terminate his harassment by creditors, to protect his future earnings and property, and to have his new start with a minimum of effort and financial obligation. They serve also, as an incidental effect, to promote and not to defeat the purpose of making the bankruptcy system financially self-sufficient. </w:t>
      </w:r>
    </w:p>
    <w:p w14:paraId="776C2D68" w14:textId="61013BF1" w:rsidR="00517661" w:rsidRDefault="00517661" w:rsidP="00517661">
      <w:pPr>
        <w:pStyle w:val="0-NORMAL"/>
      </w:pPr>
      <w:r>
        <w:t>If the $50 filing fees are paid in installments over six months as General Order No. 35 (4) permits on a proper showing, the required average weekly payment is $1.92. If the payment period is extended for the additional three months as the Order permits, the average weekly payment is lowered to $1.28.[8] This is a sum less than the payments Kras makes on his couch of negligible value in storage, and less than the price of a movie and little more than the cost of a pack or two of cigarettes. If, as Kras alleges in his affidavit, a discharge in bankruptcy will afford him that new start he so desires, and the Metropolitan then no longer will charge him with fraud and give him bad references,</w:t>
      </w:r>
      <w:r w:rsidR="001D2102">
        <w:t xml:space="preserve"> </w:t>
      </w:r>
      <w:r>
        <w:t>and if he really needs and desires that discharge, this much available revenue should be within his able-bodied reach when the adjudication in bankruptcy has stayed collection and has brought to a halt whatever harassment, if any, he may have sustained from creditors.</w:t>
      </w:r>
    </w:p>
    <w:p w14:paraId="0C16DB81" w14:textId="77777777" w:rsidR="00517661" w:rsidRDefault="00517661" w:rsidP="00517661">
      <w:pPr>
        <w:pStyle w:val="0-NORMAL"/>
      </w:pPr>
      <w:r>
        <w:t xml:space="preserve">Mr. Justice Harlan, in his opinion for the Court in </w:t>
      </w:r>
      <w:r w:rsidRPr="00094AC1">
        <w:rPr>
          <w:i/>
          <w:iCs/>
        </w:rPr>
        <w:t>Boddie</w:t>
      </w:r>
      <w:r>
        <w:t>, meticulously pointed out, as we have noted above, that the Court went "no further than necessary to dispose of the case before us" and did "not decide that access for all individuals to the courts is a right that is, in all circumstances, guaranteed by the Due Process Clause of the Fourteenth Amendment so that its exercise may not be placed beyond the reach of any individual." The Court obviously stopped short of an unlimited rule that an indigent at all times and in all cases has the right to relief without the payment of fees.</w:t>
      </w:r>
    </w:p>
    <w:p w14:paraId="06A407FA" w14:textId="5E16C515" w:rsidR="00A7201D" w:rsidRDefault="00517661" w:rsidP="00A7201D">
      <w:pPr>
        <w:pStyle w:val="0-NORMAL"/>
      </w:pPr>
      <w:r>
        <w:t xml:space="preserve">We decline to extend the principle of </w:t>
      </w:r>
      <w:r w:rsidRPr="00094AC1">
        <w:rPr>
          <w:i/>
          <w:iCs/>
        </w:rPr>
        <w:t>Boddie</w:t>
      </w:r>
      <w:r>
        <w:t xml:space="preserve"> to the no-asset bankruptcy proceeding. That relief, if it is to be forthcoming, should originate with Congress. </w:t>
      </w:r>
    </w:p>
    <w:p w14:paraId="2A93962A" w14:textId="77777777" w:rsidR="00392BFB" w:rsidRPr="00A7201D" w:rsidRDefault="00392BFB" w:rsidP="00A7201D">
      <w:pPr>
        <w:pStyle w:val="0-NORMAL"/>
      </w:pPr>
    </w:p>
    <w:p w14:paraId="35B70E9B" w14:textId="217C9D6E" w:rsidR="008524C3" w:rsidRPr="00392BFB" w:rsidRDefault="007C1024" w:rsidP="00392BFB">
      <w:pPr>
        <w:pStyle w:val="Heading3"/>
        <w:rPr>
          <w:u w:val="single"/>
        </w:rPr>
      </w:pPr>
      <w:hyperlink r:id="rId83" w:history="1">
        <w:bookmarkStart w:id="1422" w:name="_Toc87039202"/>
        <w:bookmarkStart w:id="1423" w:name="_Toc90983598"/>
        <w:r w:rsidR="008524C3" w:rsidRPr="00392BFB">
          <w:rPr>
            <w:rStyle w:val="Hyperlink"/>
          </w:rPr>
          <w:t xml:space="preserve">LAW v. SIEGEL, </w:t>
        </w:r>
        <w:bookmarkStart w:id="1424" w:name="_Hlk79691443"/>
        <w:r w:rsidR="008524C3" w:rsidRPr="00392BFB">
          <w:rPr>
            <w:rStyle w:val="Hyperlink"/>
          </w:rPr>
          <w:t>134 S.Ct. 1188</w:t>
        </w:r>
        <w:bookmarkEnd w:id="1424"/>
        <w:r w:rsidR="008524C3" w:rsidRPr="00392BFB">
          <w:rPr>
            <w:rStyle w:val="Hyperlink"/>
          </w:rPr>
          <w:t xml:space="preserve"> (2014)</w:t>
        </w:r>
        <w:bookmarkEnd w:id="1422"/>
        <w:bookmarkEnd w:id="1423"/>
      </w:hyperlink>
      <w:bookmarkStart w:id="1425" w:name="_Toc79692976"/>
      <w:bookmarkStart w:id="1426" w:name="_Toc79693296"/>
      <w:bookmarkStart w:id="1427" w:name="_Toc79693616"/>
      <w:bookmarkStart w:id="1428" w:name="_Toc79693933"/>
      <w:bookmarkStart w:id="1429" w:name="_Toc79694251"/>
      <w:bookmarkStart w:id="1430" w:name="_Toc79694573"/>
      <w:bookmarkStart w:id="1431" w:name="_Toc79694885"/>
      <w:bookmarkStart w:id="1432" w:name="_Toc79695201"/>
      <w:bookmarkStart w:id="1433" w:name="_Toc79695517"/>
      <w:bookmarkStart w:id="1434" w:name="_Toc79695833"/>
      <w:bookmarkStart w:id="1435" w:name="_Toc79696149"/>
      <w:bookmarkStart w:id="1436" w:name="_Toc79696465"/>
      <w:bookmarkStart w:id="1437" w:name="_Toc79696786"/>
      <w:bookmarkStart w:id="1438" w:name="_Toc79697118"/>
      <w:bookmarkStart w:id="1439" w:name="_Toc79697447"/>
      <w:bookmarkStart w:id="1440" w:name="_Toc79699118"/>
      <w:bookmarkStart w:id="1441" w:name="_Toc79699444"/>
      <w:bookmarkStart w:id="1442" w:name="_Toc79699782"/>
      <w:bookmarkStart w:id="1443" w:name="_Toc79700102"/>
      <w:bookmarkStart w:id="1444" w:name="_Toc79700424"/>
      <w:bookmarkStart w:id="1445" w:name="_Toc79700746"/>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r w:rsidR="00392BFB">
        <w:rPr>
          <w:rStyle w:val="Hyperlink"/>
        </w:rPr>
        <w:br/>
      </w:r>
    </w:p>
    <w:p w14:paraId="17217AE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Bankruptcy Code provides that a debtor may exempt certain assets from the bankruptcy estate. It further provides that exempt assets generally are not liable for any expenses associated with administering the estate. In this case, we consider whether a bankruptcy court nonetheless may order that a debtor's exempt assets be used to pay administrative expenses incurred as a result of the debtor's misconduct.</w:t>
      </w:r>
    </w:p>
    <w:p w14:paraId="40776EF8"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filing of a bankruptcy petition under Chapter 7 creates a bankruptcy "estate" generally comprising all of the debtor's property. § 541(a)(1). The estate is placed under the control of a trustee, who is responsible for managing liquidation of the estate's assets and distribution of the proceeds. § 704(a)(1). The Code authorizes the debtor to "exempt," however, certain kinds of property from the estate, enabling him to retain those assets post-bankruptcy. § 522(b)(1). Except in particular situations specified in the Code, exempt property "is not liable" for the payment of "any [prepetition] debt" or "any administrative expense." § 522(c), (k).</w:t>
      </w:r>
    </w:p>
    <w:p w14:paraId="456A1041"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The "homestead exemption," protects up to $22,975 in equity in the debtor's residence. The debtor may elect, however, to forgo the § 522(d) exemptions and instead claim whatever exemptions are available under applicable state or local law. § 522(b)(3)(A). Some States provide homestead exemptions that are more generous than the federal exemption; some provide less generous versions; but nearly every State provides some type of homestead exemption. </w:t>
      </w:r>
    </w:p>
    <w:p w14:paraId="0AAB60A0" w14:textId="77777777"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Petitioner, Stephen Law, filed for Chapter 7 bankruptcy in 2004, and respondent, Alfred H. Siegel, was appointed to serve as trustee. The estate's only significant asset was Law's house in Hacienda Heights, California. On a schedule filed with the Bankruptcy Court, Law valued the house at $363,348 and claimed that $75,000 of its value was covered by California's homestead exemption. He also reported that the house was subject to two voluntary liens: a note and deed of trust for $147,156.52 in favor of Washington Mutual Bank, and a second note and deed of trust for $156,929.04 in favor of "Lin's Mortgage &amp; Associates." Law thus represented that there was no equity in the house that could be recovered for his other creditors, because the sum of the two liens exceeded the house's nonexempt value.</w:t>
      </w:r>
    </w:p>
    <w:p w14:paraId="72677E06" w14:textId="3918832E"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If Law's representations had been accurate, he presumably would have been able to retain the house, since Siegel would have had no reason to pursue its sale. Instead, a few months after Law's petition was filed, Siegel initiated an adversary proceeding alleging that the lien in favor of "Lin's Mortgage &amp; Associates" was fraudulent. The deed of trust supporting that lien had been recorded by Law in 1999 and reflected a debt to someone named "Lili Lin." Not one but two individuals claiming to be Lili Lin ultimately responded to Siegel's complaint. One, Lili Lin of Artesia, California, was a former acquaintance of Law's who denied ever having loaned him money and described his repeated efforts to involve her in various sham transactions relating to the disputed deed of trust. That Lili Lin promptly entered into a stipulated judgment disclaiming any interest in the house. But that was not the end of the matter, because the second "Lili Lin" claimed to be the true beneficiary of the disputed deed of trust. Over the next five years, this "Lili Lin" managed — despite supposedly living in China and speaking no English — to engage in extensive and costly litigation, including several appeals, contesting the avoidance of the deed of trust and Siegel's</w:t>
      </w:r>
      <w:r>
        <w:rPr>
          <w:rFonts w:ascii="Times New Roman" w:hAnsi="Times New Roman"/>
          <w:szCs w:val="24"/>
        </w:rPr>
        <w:t xml:space="preserve"> </w:t>
      </w:r>
      <w:r w:rsidRPr="008524C3">
        <w:rPr>
          <w:rFonts w:ascii="Times New Roman" w:hAnsi="Times New Roman"/>
          <w:szCs w:val="24"/>
        </w:rPr>
        <w:t>subsequent sale of the house.</w:t>
      </w:r>
    </w:p>
    <w:p w14:paraId="596A9410" w14:textId="7C6D3EE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Finally, in 2009, the Bankruptcy Court entered an order concluding that "no person named Lili Lin ever made a loan to [Law] in exchange for the disputed deed of trust." The court found that "the loan was a fiction, meant to preserve [Law's] equity in his residence beyond what he was entitled to exempt" by perpetrating "a fraud on his creditors and the court." With regard to the second "Lili Lin," the court declared itself "unpersuaded that Lili Lin of China signed or approved any declaration or pleading purporting to come from her." Rather, it said, the "most plausible conclusion" was that Law himself had "authored, signed, and filed some or all of these papers." It also found that Law had submitted false evidence "in an effort to persuade the court that Lili Lin of China — rather than Lili Lin of Artesia — was the true holder of the lien on his residence." The court determined that Siegel had incurred more than $500,000 in attorney's fees overcoming Law's fraudulent misrepresentations. It therefore granted Siegel's motion to "surcharge" the entirety of Law's $75,000 homestead exemption, making those funds available to defray Siegel's attorney's fees.</w:t>
      </w:r>
    </w:p>
    <w:p w14:paraId="04212227" w14:textId="0613BAF4"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A bankruptcy court has statutory authority to "issue any order, process, or judgment that is necessary or appropriate to carry out the provisions of" the Bankruptcy Code. 11 U.S.C. § 105(a). And it may also possess "inherent power ... to sanction `abusive litigation practices.'" But in exercising those statutory and inherent powers, a bankruptcy court may not contravene specific statutory provisions.</w:t>
      </w:r>
    </w:p>
    <w:p w14:paraId="43CFBA8B" w14:textId="3DF7E69A"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It is hornbook law that § 105(a) "does not allow the bankruptcy court to override explicit mandates of other sections of the Bankruptcy Code." Section 105(a) confers authority to "carry out" the provisions of the Code, but it is quite impossible to do that by taking action that the Code prohibits. That is simply an application of the axiom that a statute's general permission to take actions of a certain type must yield to a specific prohibition found elsewhere. We have long held that "whatever equitable powers remain in the bankruptcy courts must and can only be exercised within the confines of" the Bankruptcy Code. </w:t>
      </w:r>
    </w:p>
    <w:p w14:paraId="5821A311" w14:textId="6CCB5DD0"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Thus, the Bankruptcy Court's "surcharge" was unauthorized if it contravened a specific provision of the Code. We conclude that it did. Section 522 (by reference to California law) entitled Law to exempt $75,000 of equity in his home from the bankruptcy estate. And it made that $75,000 "not liable for payment of any administrative expense." The reasonable attorney's fees Siegel incurred defeating the "Lili Lin" lien were indubitably an administrative expense</w:t>
      </w:r>
      <w:r w:rsidR="00083725" w:rsidRPr="008524C3">
        <w:rPr>
          <w:rFonts w:ascii="Times New Roman" w:hAnsi="Times New Roman"/>
          <w:szCs w:val="24"/>
        </w:rPr>
        <w:t xml:space="preserve">. </w:t>
      </w:r>
    </w:p>
    <w:p w14:paraId="5E7AE943" w14:textId="1164D061"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The Bankruptcy Court thus violated § 522's express terms when it ordered that the $75,000 protected by Law's homestead exemption be made available to pay Siegel's attorney's fees, an administrative expense. In doing so, the court exceeded the limits of its authority under § 105(a) and its inherent powers.</w:t>
      </w:r>
    </w:p>
    <w:p w14:paraId="1B8EBDB7" w14:textId="639AC6CB"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Insofar as Siegel and the United States equate the Bankruptcy Court's surcharge with an outright denial of Law's homestead exemption, their arguments founder upon this case's procedural history. The Bankruptcy Appellate Panel stated that because no one "timely oppose[d] [Law]'s homestead exemption claim," the exemption "became final" before the Bankruptcy Court imposed the surcharge. We have held that a trustee's failure to make a timely objection prevents him from challenging an exemption. </w:t>
      </w:r>
      <w:r w:rsidRPr="008524C3">
        <w:rPr>
          <w:rFonts w:ascii="Times New Roman" w:hAnsi="Times New Roman"/>
          <w:i/>
          <w:iCs/>
          <w:szCs w:val="24"/>
        </w:rPr>
        <w:t>Taylor v. Freeland &amp; Kronz</w:t>
      </w:r>
      <w:r w:rsidRPr="008524C3">
        <w:rPr>
          <w:rFonts w:ascii="Times New Roman" w:hAnsi="Times New Roman"/>
          <w:szCs w:val="24"/>
        </w:rPr>
        <w:t>, 503 U.S. 638, 643-644, 112 S.Ct. 1644, 118 L.Ed.2d 280 (1992).</w:t>
      </w:r>
    </w:p>
    <w:p w14:paraId="748735D9" w14:textId="43C9445F"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But even assuming the Bankruptcy Court could have revisited Law's entitlement to the exemption, § 522 does not give courts discretion to grant or withhold exemptions based on whatever considerations they deem appropriate. Rather, the statute exhaustively specifies the criteria that will render property exempt. Siegel insists that because § 522(b) says that the debtor "may exempt" certain property, rather than that he "shall be entitled" to do so, the court retains discretion to grant or deny exemptions even when the statutory criteria are met. But the subject of "may exempt" in § 522(b) is the debtor, not the court, so it is the debtor in whom the statute vests discretion. A debtor need not invoke an exemption to which the statute entitles him; but if he does, the court may not refuse to honor the exemption absent a valid statutory basis for doing so.</w:t>
      </w:r>
    </w:p>
    <w:p w14:paraId="1383085A" w14:textId="1B50B633"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Moreover, § 522 sets forth a number of carefully calibrated exceptions and limitations, some of which relate to the debtor's misconduct. For example, § 522(c) makes exempt property liable for certain kinds of prepetition debts, including debts arising from tax fraud, fraud in connection with student loans, and other specified types of wrongdoing. Section 522(o) prevents a debtor from claiming a homestead exemption to the extent he acquired the homestead with nonexempt property in the previous 10 years "with the intent to hinder, delay, or defraud a creditor." And § 522(q) caps a debtor's homestead exemption at approximately $150,000 (but does not eliminate it entirely) where the debtor has been convicted of a felony that shows "that the filing of the case was an abuse of the provisions of" the Code, or where the debtor owes a debt arising from specified wrongful acts — such as securities fraud, civil violations of the Racketeer Influenced and Corrupt Organizations Act, or "any criminal act, intentional tort, or willful or reckless misconduct that caused serious physical injury or death to another individual in the preceding 5 years." § 522(q) and note following § 522. The Code's meticulous — not to say mind-numbingly detailed — enumeration of exemptions and exceptions to those exemptions confirms that courts are not authorized to create additional exceptions. </w:t>
      </w:r>
    </w:p>
    <w:p w14:paraId="604BF875" w14:textId="026A7329"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Siegel points out that a handful of courts have claimed authority to disallow an exemption (or to bar a debtor from amending his schedules to claim an exemption, which is much the same thing) based on the debtor's fraudulent concealment of the asset alleged to be exempt. He suggests that those decisions reflect a general, equitable power in bankruptcy courts to deny exemptions based on a debtor's bad-faith conduct. For the reasons we have given, the Bankruptcy Code admits no such power. It is of course true that when a debtor claims a state-created exemption, the exemption's scope is determined by state law, which may provide that certain types of debtor misconduct warrant denial of the exemption. But federal law provides no authority for bankruptcy courts to deny an exemption on a ground not specified in the Code.</w:t>
      </w:r>
    </w:p>
    <w:p w14:paraId="31731362" w14:textId="48D09AF3"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 xml:space="preserve">We acknowledge that our ruling forces Siegel to shoulder a heavy financial burden resulting from Law's egregious misconduct, and that it may produce inequitable results for trustees and creditors in other cases. We have recognized, however, that in crafting the provisions of § 522, "Congress balanced the difficult choices that exemption limits impose on debtors with the economic harm that exemptions 1198*1198 visit on creditors." The same can be said of the limits imposed on recovery of administrative expenses by trustees. For the reasons we have explained, it is not for courts to alter the balance struck by the statute. </w:t>
      </w:r>
    </w:p>
    <w:p w14:paraId="7E87FFB9" w14:textId="05D538D2" w:rsidR="008524C3" w:rsidRPr="008524C3" w:rsidRDefault="008524C3" w:rsidP="008524C3">
      <w:pPr>
        <w:ind w:firstLine="720"/>
        <w:jc w:val="both"/>
        <w:rPr>
          <w:rFonts w:ascii="Times New Roman" w:hAnsi="Times New Roman"/>
          <w:szCs w:val="24"/>
        </w:rPr>
      </w:pPr>
      <w:r w:rsidRPr="008524C3">
        <w:rPr>
          <w:rFonts w:ascii="Times New Roman" w:hAnsi="Times New Roman"/>
          <w:szCs w:val="24"/>
        </w:rPr>
        <w:t>Our decision today does not denude bankruptcy courts of the essential "authority to respond to debtor misconduct with meaningful sanctions." There is ample authority to deny the dishonest debtor a discharge. See § 727(a)(2)-(6). (That sanction lacks bite here, since by reason of a postpetition settlement between Siegel and Law's major creditor, Law has no debts left to discharge; but that will not often be the case.) In addition, Federal Rule of Bankruptcy Procedure 9011 — bankruptcy's analogue to Civil Rule 11 — authorizes the court to impose sanctions for bad-faith litigation conduct, which may include "an order directing payment ... of some or all of the reasonable attorneys' fees and other expenses incurred as a direct result of the violation." The court may also possess further sanctioning authority under either § 105(a) or its inherent powers. And because it arises postpetition, a bankruptcy court's monetary sanction survives the bankruptcy case and is thereafter enforceable through the normal procedures for collecting money judgments. Fraudulent conduct in a bankruptcy case may also subject a debtor to criminal prosecution under 18 U.S.C. § 152, which carries a maximum penalty of five years' imprisonment.</w:t>
      </w:r>
    </w:p>
    <w:p w14:paraId="31596F7B" w14:textId="756AFFE7" w:rsidR="009C1A50" w:rsidRDefault="008524C3" w:rsidP="0021560E">
      <w:pPr>
        <w:ind w:firstLine="720"/>
        <w:jc w:val="both"/>
        <w:rPr>
          <w:rFonts w:ascii="Times New Roman" w:hAnsi="Times New Roman"/>
          <w:szCs w:val="24"/>
        </w:rPr>
      </w:pPr>
      <w:r w:rsidRPr="008524C3">
        <w:rPr>
          <w:rFonts w:ascii="Times New Roman" w:hAnsi="Times New Roman"/>
          <w:szCs w:val="24"/>
        </w:rPr>
        <w:t>But whatever other sanctions a bankruptcy court may impose on a dishonest debtor, it may not contravene express provisions of the Bankruptcy Code by ordering that the debtor's exempt property be used to pay debts and expenses for which that property is not liable under the Code.</w:t>
      </w:r>
    </w:p>
    <w:p w14:paraId="24E83CC7" w14:textId="77777777" w:rsidR="00392BFB" w:rsidRPr="007A5BBC" w:rsidRDefault="00392BFB" w:rsidP="0021560E">
      <w:pPr>
        <w:ind w:firstLine="720"/>
        <w:jc w:val="both"/>
        <w:rPr>
          <w:rFonts w:ascii="Times New Roman" w:hAnsi="Times New Roman"/>
          <w:szCs w:val="24"/>
        </w:rPr>
      </w:pPr>
    </w:p>
    <w:p w14:paraId="412EF299" w14:textId="4CA1FA65" w:rsidR="00B613D9" w:rsidRPr="007A5BBC" w:rsidRDefault="00B613D9" w:rsidP="00392BFB">
      <w:pPr>
        <w:pStyle w:val="Heading2"/>
        <w:spacing w:line="240" w:lineRule="auto"/>
      </w:pPr>
      <w:bookmarkStart w:id="1446" w:name="_Toc417380780"/>
      <w:bookmarkStart w:id="1447" w:name="_Toc79699119"/>
      <w:bookmarkStart w:id="1448" w:name="_Toc79699445"/>
      <w:bookmarkStart w:id="1449" w:name="_Toc79699783"/>
      <w:bookmarkStart w:id="1450" w:name="_Toc79700103"/>
      <w:bookmarkStart w:id="1451" w:name="_Toc79700425"/>
      <w:bookmarkStart w:id="1452" w:name="_Toc87039203"/>
      <w:bookmarkStart w:id="1453" w:name="_Toc90983599"/>
      <w:r w:rsidRPr="007A5BBC">
        <w:t>Dismissal of Consumer Chapter 7 Cases for “Abuse”</w:t>
      </w:r>
      <w:r w:rsidR="00A00881" w:rsidRPr="007A5BBC">
        <w:t xml:space="preserve"> – The Means Test</w:t>
      </w:r>
      <w:bookmarkStart w:id="1454" w:name="_Toc79692977"/>
      <w:bookmarkStart w:id="1455" w:name="_Toc79693297"/>
      <w:bookmarkStart w:id="1456" w:name="_Toc79693617"/>
      <w:bookmarkStart w:id="1457" w:name="_Toc79693934"/>
      <w:bookmarkStart w:id="1458" w:name="_Toc79694574"/>
      <w:bookmarkStart w:id="1459" w:name="_Toc79695202"/>
      <w:bookmarkStart w:id="1460" w:name="_Toc79697448"/>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sidR="00392BFB">
        <w:br/>
      </w:r>
    </w:p>
    <w:p w14:paraId="76F2679E" w14:textId="2CFA08DF"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Section 707(b) of the Bankruptcy Code provides for dismissal in consumer bankruptcy cases if the granting of relief would be an “abuse” of Chapter 7</w:t>
      </w:r>
      <w:r w:rsidR="005F6A8B">
        <w:rPr>
          <w:rFonts w:ascii="Times New Roman" w:hAnsi="Times New Roman"/>
          <w:szCs w:val="24"/>
        </w:rPr>
        <w:t xml:space="preserve">. </w:t>
      </w:r>
      <w:r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Pr="007A5BBC">
        <w:rPr>
          <w:rFonts w:ascii="Times New Roman" w:hAnsi="Times New Roman"/>
          <w:szCs w:val="24"/>
        </w:rPr>
        <w:t>to determine whether the filing was abusive</w:t>
      </w:r>
      <w:r w:rsidR="005F6A8B">
        <w:rPr>
          <w:rFonts w:ascii="Times New Roman" w:hAnsi="Times New Roman"/>
          <w:szCs w:val="24"/>
        </w:rPr>
        <w:t xml:space="preserve">. </w:t>
      </w:r>
      <w:r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72988691"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In performing the case by case analysis under Section 707(b),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3643C30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important to first note that the entirety of Section 707(b)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511FF756" w14:textId="5A877A6D" w:rsidR="00392BFB" w:rsidRDefault="00B613D9" w:rsidP="009B7ED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The place to begin reading the means test statute is in the middle - Sections 707(b)(6)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Section </w:t>
      </w:r>
      <w:r w:rsidR="00F96856" w:rsidRPr="007A5BBC">
        <w:rPr>
          <w:rFonts w:ascii="Times New Roman" w:hAnsi="Times New Roman"/>
          <w:szCs w:val="24"/>
        </w:rPr>
        <w:t>101(10A)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r w:rsidRPr="007A5BBC">
        <w:rPr>
          <w:rFonts w:ascii="Times New Roman" w:hAnsi="Times New Roman"/>
          <w:szCs w:val="24"/>
        </w:rPr>
        <w:t xml:space="preserve">Section 101(10)(A), Sections 707(b)(6)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1A707CA5" w14:textId="77777777" w:rsidR="009B7ED2" w:rsidRPr="007A5BBC" w:rsidRDefault="009B7ED2" w:rsidP="009B7ED2">
      <w:pPr>
        <w:ind w:firstLine="720"/>
        <w:jc w:val="both"/>
        <w:rPr>
          <w:rFonts w:ascii="Times New Roman" w:hAnsi="Times New Roman"/>
          <w:szCs w:val="24"/>
        </w:rPr>
      </w:pPr>
    </w:p>
    <w:p w14:paraId="412EF2A0" w14:textId="2B85B310" w:rsidR="00B613D9" w:rsidRPr="007A5BBC" w:rsidRDefault="0082190C" w:rsidP="00392BFB">
      <w:pPr>
        <w:pStyle w:val="Heading2"/>
        <w:spacing w:line="240" w:lineRule="auto"/>
      </w:pPr>
      <w:bookmarkStart w:id="1461" w:name="_Toc417380781"/>
      <w:bookmarkStart w:id="1462" w:name="_Toc79699120"/>
      <w:bookmarkStart w:id="1463" w:name="_Toc79699446"/>
      <w:bookmarkStart w:id="1464" w:name="_Toc79699784"/>
      <w:bookmarkStart w:id="1465" w:name="_Toc79700104"/>
      <w:bookmarkStart w:id="1466" w:name="_Toc79700426"/>
      <w:bookmarkStart w:id="1467" w:name="_Toc87039204"/>
      <w:bookmarkStart w:id="1468" w:name="_Toc90983600"/>
      <w:r w:rsidRPr="007A5BBC">
        <w:t>P</w:t>
      </w:r>
      <w:r w:rsidR="00132693">
        <w:t>ractice Problems</w:t>
      </w:r>
      <w:r w:rsidR="00A00881" w:rsidRPr="007A5BBC">
        <w:t>: Dismi</w:t>
      </w:r>
      <w:r w:rsidR="008B4047">
        <w:t xml:space="preserve">ssal for Abuse – The Means Test, </w:t>
      </w:r>
      <w:r w:rsidR="00A00881" w:rsidRPr="007A5BBC">
        <w:t xml:space="preserve">Part </w:t>
      </w:r>
      <w:bookmarkEnd w:id="1461"/>
      <w:r w:rsidR="00132693">
        <w:t>One</w:t>
      </w:r>
      <w:bookmarkStart w:id="1469" w:name="_Toc79692978"/>
      <w:bookmarkStart w:id="1470" w:name="_Toc79693298"/>
      <w:bookmarkStart w:id="1471" w:name="_Toc79693618"/>
      <w:bookmarkStart w:id="1472" w:name="_Toc79693935"/>
      <w:bookmarkStart w:id="1473" w:name="_Toc79694575"/>
      <w:bookmarkStart w:id="1474" w:name="_Toc79695203"/>
      <w:bookmarkStart w:id="1475" w:name="_Toc79697449"/>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00392BFB">
        <w:br/>
      </w:r>
    </w:p>
    <w:p w14:paraId="0AE71D0F" w14:textId="7A233D13" w:rsidR="009B7ED2" w:rsidRPr="009B7ED2" w:rsidRDefault="00132693" w:rsidP="00E35EC8">
      <w:pPr>
        <w:pStyle w:val="0-NORMAL"/>
        <w:widowControl w:val="0"/>
      </w:pPr>
      <w:r w:rsidRPr="003A7198">
        <w:rPr>
          <w:b/>
        </w:rPr>
        <w:t>Problem 1</w:t>
      </w:r>
      <w:r w:rsidR="00721795">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xml:space="preserve">”  </w:t>
      </w:r>
      <w:r w:rsidR="00A00881" w:rsidRPr="007065C6">
        <w:rPr>
          <w:i/>
          <w:iCs/>
        </w:rPr>
        <w:t xml:space="preserve">See </w:t>
      </w:r>
      <w:r w:rsidR="00A00881" w:rsidRPr="00132693">
        <w:t>11 U.S.C. § 101(10A).</w:t>
      </w:r>
    </w:p>
    <w:bookmarkStart w:id="1476" w:name="_MON_1483534359"/>
    <w:bookmarkEnd w:id="1476"/>
    <w:p w14:paraId="412EF2A2" w14:textId="5B17AA60"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6" type="#_x0000_t75" style="width:561.75pt;height:228pt" o:ole="">
            <v:imagedata r:id="rId84" o:title=""/>
          </v:shape>
          <o:OLEObject Type="Embed" ProgID="Excel.Sheet.12" ShapeID="_x0000_i1026" DrawAspect="Content" ObjectID="_1702891100" r:id="rId85"/>
        </w:object>
      </w:r>
    </w:p>
    <w:p w14:paraId="0734BEF6" w14:textId="5D453B6A" w:rsidR="00132693" w:rsidRPr="003A7198" w:rsidRDefault="00132693" w:rsidP="003A7198">
      <w:pPr>
        <w:pStyle w:val="0-NORMAL"/>
      </w:pPr>
      <w:r w:rsidRPr="003A7198">
        <w:rPr>
          <w:b/>
        </w:rPr>
        <w:t>Problem 2</w:t>
      </w:r>
      <w:r w:rsidR="00721795">
        <w:t xml:space="preserve">. </w:t>
      </w:r>
      <w:r w:rsidR="00B613D9" w:rsidRPr="007A5BBC">
        <w:t>Assume that the median income for a single person in the debtor’s state in the current year is $14,400</w:t>
      </w:r>
      <w:r w:rsidR="005F6A8B">
        <w:t xml:space="preserve">. </w:t>
      </w:r>
      <w:r w:rsidR="00B613D9" w:rsidRPr="007A5BBC">
        <w:t>Does the debtor satisfy the means test</w:t>
      </w:r>
      <w:r w:rsidR="00083725" w:rsidRPr="007A5BBC">
        <w:t xml:space="preserve">? </w:t>
      </w:r>
      <w:r w:rsidR="00B613D9" w:rsidRPr="007A5BBC">
        <w:t xml:space="preserve">If so, what is the effect of satisfying the means </w:t>
      </w:r>
      <w:r w:rsidR="00975856" w:rsidRPr="007A5BBC">
        <w:t>test</w:t>
      </w:r>
      <w:r w:rsidR="00083725" w:rsidRPr="007A5BBC">
        <w:t>?</w:t>
      </w:r>
      <w:r w:rsidR="00083725">
        <w:t xml:space="preserve"> </w:t>
      </w:r>
      <w:r w:rsidR="005D3EE4" w:rsidRPr="007065C6">
        <w:rPr>
          <w:i/>
          <w:iCs/>
        </w:rPr>
        <w:t xml:space="preserve">See </w:t>
      </w:r>
      <w:r w:rsidR="005D3EE4">
        <w:t>11 U.S.C. § 707(b)(6) and (b)(7).</w:t>
      </w:r>
    </w:p>
    <w:p w14:paraId="3A23E0A5" w14:textId="7D093096" w:rsidR="00132693" w:rsidRPr="003A7198" w:rsidRDefault="00132693" w:rsidP="003A7198">
      <w:pPr>
        <w:pStyle w:val="0-NORMAL"/>
      </w:pPr>
      <w:r w:rsidRPr="003A7198">
        <w:rPr>
          <w:b/>
        </w:rPr>
        <w:t>Problem 3</w:t>
      </w:r>
      <w:r w:rsidR="00721795">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0A3D7098" w:rsidR="00B613D9" w:rsidRDefault="00132693" w:rsidP="003A7198">
      <w:pPr>
        <w:pStyle w:val="0-NORMAL"/>
      </w:pPr>
      <w:r w:rsidRPr="003A7198">
        <w:rPr>
          <w:b/>
        </w:rPr>
        <w:t>Problem 4</w:t>
      </w:r>
      <w:r w:rsidR="00721795">
        <w:t xml:space="preserve">. </w:t>
      </w:r>
      <w:r w:rsidR="00B613D9" w:rsidRPr="007A5BBC">
        <w:t>If the Debtor were married, would the Debtor’s spouse’s income be included in calculating the Debtor’s “current monthly income”</w:t>
      </w:r>
      <w:r w:rsidR="00083725" w:rsidRPr="007A5BBC">
        <w:t xml:space="preserve">? </w:t>
      </w:r>
      <w:r w:rsidR="00B613D9" w:rsidRPr="007A5BBC">
        <w:t>How about in determining whether the presumption of abuse applies, or whether a creditor could move for dismissal under the general “abuse” test</w:t>
      </w:r>
      <w:r w:rsidR="00083725" w:rsidRPr="007A5BBC">
        <w:t xml:space="preserve">? </w:t>
      </w:r>
      <w:r w:rsidR="00B613D9" w:rsidRPr="007A5BBC">
        <w:t xml:space="preserve">Compare 11 U.S.C. </w:t>
      </w:r>
      <w:r w:rsidR="00F96856" w:rsidRPr="007A5BBC">
        <w:t>§§</w:t>
      </w:r>
      <w:r w:rsidR="00B613D9" w:rsidRPr="007A5BBC">
        <w:t xml:space="preserve"> 707(b)(6) and 707(b)(7)</w:t>
      </w:r>
      <w:r w:rsidR="005F6A8B">
        <w:t xml:space="preserve">. </w:t>
      </w:r>
    </w:p>
    <w:p w14:paraId="72153ACD" w14:textId="77777777" w:rsidR="00721795" w:rsidRPr="007A5BBC" w:rsidRDefault="00721795" w:rsidP="003A7198">
      <w:pPr>
        <w:pStyle w:val="0-NORMAL"/>
      </w:pPr>
    </w:p>
    <w:p w14:paraId="412EF2A6" w14:textId="28C62B35" w:rsidR="00B613D9" w:rsidRPr="007A5BBC" w:rsidRDefault="00A00881" w:rsidP="00721795">
      <w:pPr>
        <w:pStyle w:val="Heading2"/>
        <w:spacing w:line="240" w:lineRule="auto"/>
      </w:pPr>
      <w:bookmarkStart w:id="1477" w:name="_Toc417380782"/>
      <w:bookmarkStart w:id="1478" w:name="_Toc79699121"/>
      <w:bookmarkStart w:id="1479" w:name="_Toc79699447"/>
      <w:bookmarkStart w:id="1480" w:name="_Toc79699785"/>
      <w:bookmarkStart w:id="1481" w:name="_Toc79700105"/>
      <w:bookmarkStart w:id="1482" w:name="_Toc79700427"/>
      <w:bookmarkStart w:id="1483" w:name="_Toc87039205"/>
      <w:bookmarkStart w:id="1484" w:name="_Toc90983601"/>
      <w:r w:rsidRPr="007A5BBC">
        <w:t>Dismissal for “Abuse”</w:t>
      </w:r>
      <w:r w:rsidR="00721795">
        <w:t xml:space="preserve"> – </w:t>
      </w:r>
      <w:r w:rsidR="008B4047">
        <w:t>The Means Test,</w:t>
      </w:r>
      <w:r w:rsidR="00B613D9" w:rsidRPr="007A5BBC">
        <w:t xml:space="preserve"> Part </w:t>
      </w:r>
      <w:r w:rsidR="00132693">
        <w:t>Two</w:t>
      </w:r>
      <w:bookmarkStart w:id="1485" w:name="_Toc79692979"/>
      <w:bookmarkStart w:id="1486" w:name="_Toc79693299"/>
      <w:bookmarkStart w:id="1487" w:name="_Toc79693619"/>
      <w:bookmarkStart w:id="1488" w:name="_Toc79693936"/>
      <w:bookmarkStart w:id="1489" w:name="_Toc79694576"/>
      <w:bookmarkStart w:id="1490" w:name="_Toc79695204"/>
      <w:bookmarkStart w:id="1491" w:name="_Toc79697450"/>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r w:rsidR="00721795">
        <w:br/>
      </w:r>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7777777" w:rsidR="00B613D9" w:rsidRPr="0070734B" w:rsidRDefault="00B613D9" w:rsidP="00DB2210">
      <w:pPr>
        <w:pStyle w:val="ListParagraph"/>
        <w:numPr>
          <w:ilvl w:val="0"/>
          <w:numId w:val="1"/>
        </w:numPr>
      </w:pPr>
      <w:r w:rsidRPr="0070734B">
        <w:t>The monthly expenses allowed under the Internal Revenue Services’ (the “IRS”) national and local standards for putting a tax debtor in uncollectable status (11 U.S.C. § 707(b)(2)(A)(ii)(I));</w:t>
      </w:r>
    </w:p>
    <w:p w14:paraId="412EF2AA" w14:textId="77777777" w:rsidR="00B613D9" w:rsidRPr="0070734B" w:rsidRDefault="00B613D9" w:rsidP="00DB2210">
      <w:pPr>
        <w:pStyle w:val="ListParagraph"/>
        <w:numPr>
          <w:ilvl w:val="0"/>
          <w:numId w:val="1"/>
        </w:numPr>
      </w:pPr>
      <w:r w:rsidRPr="0070734B">
        <w:t>Actual monthly expense incurred by the debtor which would be allowed by the IRS as “other necessary expenses” for putting a tax debtor in uncollectable status (11 U.S.C. § 707(b)(2)(A)(ii)(I));</w:t>
      </w:r>
    </w:p>
    <w:p w14:paraId="412EF2AB" w14:textId="77777777" w:rsidR="00B613D9" w:rsidRPr="0070734B" w:rsidRDefault="00B613D9" w:rsidP="00DB2210">
      <w:pPr>
        <w:pStyle w:val="ListParagraph"/>
        <w:numPr>
          <w:ilvl w:val="0"/>
          <w:numId w:val="1"/>
        </w:numPr>
      </w:pPr>
      <w:r w:rsidRPr="0070734B">
        <w:t>Actual expense for providing care and support for an elderly, chronically ill, or disabled family member (11 U.S.C. § 707(b)(2)(A)(ii)(II));</w:t>
      </w:r>
    </w:p>
    <w:p w14:paraId="412EF2AC" w14:textId="77777777" w:rsidR="00B613D9" w:rsidRPr="0070734B" w:rsidRDefault="00B613D9" w:rsidP="00DB2210">
      <w:pPr>
        <w:pStyle w:val="ListParagraph"/>
        <w:numPr>
          <w:ilvl w:val="0"/>
          <w:numId w:val="1"/>
        </w:numPr>
      </w:pPr>
      <w:r w:rsidRPr="0070734B">
        <w:t>Private school tuition for a child under 18 years of age, up to an annual limit currently $1,775 per child (11 U.S.C. § 707(b)(2)(A)(ii)(IV));</w:t>
      </w:r>
    </w:p>
    <w:p w14:paraId="412EF2AD" w14:textId="77777777" w:rsidR="00B613D9" w:rsidRPr="0070734B" w:rsidRDefault="00B613D9" w:rsidP="00DB2210">
      <w:pPr>
        <w:pStyle w:val="ListParagraph"/>
        <w:numPr>
          <w:ilvl w:val="0"/>
          <w:numId w:val="1"/>
        </w:numPr>
      </w:pPr>
      <w:r w:rsidRPr="0070734B">
        <w:t xml:space="preserve">Reasonable and necessary utilities expenses over the amount allowed by the IRS in the national and local standards (11 U.S.C. § 707(b)(2)(A)(ii)(V)); and most importantly </w:t>
      </w:r>
    </w:p>
    <w:p w14:paraId="412EF2AE" w14:textId="77777777" w:rsidR="00B613D9" w:rsidRPr="0070734B" w:rsidRDefault="00B613D9" w:rsidP="00DB2210">
      <w:pPr>
        <w:pStyle w:val="ListParagraph"/>
        <w:numPr>
          <w:ilvl w:val="0"/>
          <w:numId w:val="1"/>
        </w:numPr>
      </w:pPr>
      <w:r w:rsidRPr="0070734B">
        <w:t>Average contractual secured debt payments over the 60 months following the filing of bankruptcy (11 U.S.C. § 707(b)(2)(A)(iii)(I)).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107E0E15" w:rsidR="00B613D9"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r w:rsidRPr="007A5BBC">
        <w:rPr>
          <w:rFonts w:ascii="Times New Roman" w:hAnsi="Times New Roman"/>
          <w:szCs w:val="24"/>
        </w:rPr>
        <w:t>11 U.S.C. § 707(b)(2).</w:t>
      </w:r>
    </w:p>
    <w:p w14:paraId="4EEEFED7" w14:textId="77777777" w:rsidR="00F46770" w:rsidRDefault="00F46770" w:rsidP="00561042">
      <w:pPr>
        <w:ind w:firstLine="720"/>
        <w:jc w:val="both"/>
        <w:rPr>
          <w:rFonts w:ascii="Times New Roman" w:hAnsi="Times New Roman"/>
          <w:szCs w:val="24"/>
        </w:rPr>
      </w:pPr>
    </w:p>
    <w:p w14:paraId="412EF2B4" w14:textId="70D55E80" w:rsidR="00B613D9" w:rsidRPr="007A5BBC" w:rsidRDefault="00B613D9" w:rsidP="00F46770">
      <w:pPr>
        <w:pStyle w:val="Heading2"/>
        <w:spacing w:line="240" w:lineRule="auto"/>
      </w:pPr>
      <w:bookmarkStart w:id="1492" w:name="_Toc417380783"/>
      <w:bookmarkStart w:id="1493" w:name="_Toc79699122"/>
      <w:bookmarkStart w:id="1494" w:name="_Toc79699448"/>
      <w:bookmarkStart w:id="1495" w:name="_Toc79699786"/>
      <w:bookmarkStart w:id="1496" w:name="_Toc79700106"/>
      <w:bookmarkStart w:id="1497" w:name="_Toc79700428"/>
      <w:bookmarkStart w:id="1498" w:name="_Toc87039206"/>
      <w:bookmarkStart w:id="1499" w:name="_Toc90983602"/>
      <w:r w:rsidRPr="007A5BBC">
        <w:t>Rebutting the Presumption of Abuse</w:t>
      </w:r>
      <w:r w:rsidR="0082190C" w:rsidRPr="007A5BBC">
        <w:t xml:space="preserve"> under the Means Test</w:t>
      </w:r>
      <w:bookmarkStart w:id="1500" w:name="_Toc79692980"/>
      <w:bookmarkStart w:id="1501" w:name="_Toc79693300"/>
      <w:bookmarkStart w:id="1502" w:name="_Toc79693620"/>
      <w:bookmarkStart w:id="1503" w:name="_Toc79693937"/>
      <w:bookmarkStart w:id="1504" w:name="_Toc79694577"/>
      <w:bookmarkStart w:id="1505" w:name="_Toc79695205"/>
      <w:bookmarkStart w:id="1506" w:name="_Toc7969745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r w:rsidR="00F46770">
        <w:br/>
      </w:r>
    </w:p>
    <w:p w14:paraId="412EF2B5" w14:textId="320191B6"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w:t>
      </w:r>
      <w:r w:rsidR="00836E35">
        <w:rPr>
          <w:rFonts w:ascii="Times New Roman" w:hAnsi="Times New Roman"/>
          <w:szCs w:val="24"/>
        </w:rPr>
        <w:t>ere</w:t>
      </w:r>
      <w:r w:rsidRPr="007A5BBC">
        <w:rPr>
          <w:rFonts w:ascii="Times New Roman" w:hAnsi="Times New Roman"/>
          <w:szCs w:val="24"/>
        </w:rPr>
        <w:t xml:space="preserve"> no reasonable alternatives (the examples being military service and serious medical conditions)</w:t>
      </w:r>
      <w:r w:rsidR="005F6A8B">
        <w:rPr>
          <w:rFonts w:ascii="Times New Roman" w:hAnsi="Times New Roman"/>
          <w:szCs w:val="24"/>
        </w:rPr>
        <w:t xml:space="preserve">. </w:t>
      </w:r>
      <w:r w:rsidRPr="007A5BBC">
        <w:rPr>
          <w:rFonts w:ascii="Times New Roman" w:hAnsi="Times New Roman"/>
          <w:szCs w:val="24"/>
        </w:rPr>
        <w:t>11 U.S.C. § 707(b)(2)(B).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12134E">
        <w:rPr>
          <w:rFonts w:ascii="Times New Roman" w:hAnsi="Times New Roman"/>
          <w:i/>
          <w:iCs/>
          <w:szCs w:val="24"/>
        </w:rPr>
        <w:t>Id.</w:t>
      </w:r>
    </w:p>
    <w:p w14:paraId="02AEF97A" w14:textId="518E0480" w:rsidR="00F46770" w:rsidRPr="00F46770" w:rsidRDefault="00A00881" w:rsidP="00F46770">
      <w:pPr>
        <w:pStyle w:val="Heading2"/>
        <w:spacing w:line="240" w:lineRule="auto"/>
        <w:contextualSpacing/>
      </w:pPr>
      <w:bookmarkStart w:id="1507" w:name="_Toc417380784"/>
      <w:bookmarkStart w:id="1508" w:name="_Toc79699123"/>
      <w:bookmarkStart w:id="1509" w:name="_Toc79699449"/>
      <w:bookmarkStart w:id="1510" w:name="_Toc79699787"/>
      <w:bookmarkStart w:id="1511" w:name="_Toc79700107"/>
      <w:bookmarkStart w:id="1512" w:name="_Toc79700429"/>
      <w:bookmarkStart w:id="1513" w:name="_Toc87039207"/>
      <w:bookmarkStart w:id="1514" w:name="_Toc90983603"/>
      <w:r w:rsidRPr="007A5BBC">
        <w:t>Attorney S</w:t>
      </w:r>
      <w:r w:rsidR="00B613D9" w:rsidRPr="007A5BBC">
        <w:t>anctions</w:t>
      </w:r>
      <w:r w:rsidRPr="007A5BBC">
        <w:t xml:space="preserve"> for Means Test Violations</w:t>
      </w:r>
      <w:bookmarkStart w:id="1515" w:name="_Toc79692981"/>
      <w:bookmarkStart w:id="1516" w:name="_Toc79693301"/>
      <w:bookmarkStart w:id="1517" w:name="_Toc79693621"/>
      <w:bookmarkStart w:id="1518" w:name="_Toc79693938"/>
      <w:bookmarkStart w:id="1519" w:name="_Toc79694578"/>
      <w:bookmarkStart w:id="1520" w:name="_Toc79695206"/>
      <w:bookmarkStart w:id="1521" w:name="_Toc79697452"/>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r w:rsidR="00F46770">
        <w:br/>
      </w:r>
    </w:p>
    <w:p w14:paraId="1ABBA873" w14:textId="017DE89C" w:rsidR="00F46770" w:rsidRPr="00F46770" w:rsidRDefault="00B613D9" w:rsidP="00F46770">
      <w:pPr>
        <w:widowControl w:val="0"/>
        <w:spacing w:after="0"/>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065C6">
        <w:rPr>
          <w:rFonts w:ascii="Times New Roman" w:hAnsi="Times New Roman"/>
          <w:i/>
          <w:iCs/>
          <w:szCs w:val="24"/>
        </w:rPr>
        <w:t xml:space="preserve">See </w:t>
      </w:r>
      <w:r w:rsidR="00E813DF" w:rsidRPr="007A5BBC">
        <w:rPr>
          <w:rFonts w:ascii="Times New Roman" w:hAnsi="Times New Roman"/>
          <w:szCs w:val="24"/>
        </w:rPr>
        <w:t>Fed. R. Bankr. Proc. Rule. 9011</w:t>
      </w:r>
      <w:r w:rsidR="005F6A8B">
        <w:rPr>
          <w:rFonts w:ascii="Times New Roman" w:hAnsi="Times New Roman"/>
          <w:szCs w:val="24"/>
        </w:rPr>
        <w:t xml:space="preserve">. </w:t>
      </w:r>
      <w:r w:rsidRPr="007A5BBC">
        <w:rPr>
          <w:rFonts w:ascii="Times New Roman" w:hAnsi="Times New Roman"/>
          <w:szCs w:val="24"/>
        </w:rPr>
        <w:t xml:space="preserve">Section 707(b)(4)(C)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r w:rsidRPr="007A5BBC">
        <w:rPr>
          <w:rFonts w:ascii="Times New Roman" w:hAnsi="Times New Roman"/>
          <w:szCs w:val="24"/>
        </w:rPr>
        <w:t>11 U.S.C. § 707(b)(4)(A)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w:t>
      </w:r>
      <w:r w:rsidR="00836E35">
        <w:rPr>
          <w:rFonts w:ascii="Times New Roman" w:hAnsi="Times New Roman"/>
          <w:szCs w:val="24"/>
        </w:rPr>
        <w:t>s</w:t>
      </w:r>
      <w:r w:rsidR="00E813DF" w:rsidRPr="007A5BBC">
        <w:rPr>
          <w:rFonts w:ascii="Times New Roman" w:hAnsi="Times New Roman"/>
          <w:szCs w:val="24"/>
        </w:rPr>
        <w:t xml:space="preserve">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 it’s disclosed in your petition if I am going to represent you.”</w:t>
      </w:r>
    </w:p>
    <w:p w14:paraId="4767A36E" w14:textId="77777777" w:rsidR="00F46770" w:rsidRPr="00F46770" w:rsidRDefault="00F46770" w:rsidP="00F46770"/>
    <w:p w14:paraId="24776768" w14:textId="5C0F5FE3" w:rsidR="00A6707D" w:rsidRPr="007A5BBC" w:rsidRDefault="00583296" w:rsidP="00F46770">
      <w:pPr>
        <w:pStyle w:val="Heading3"/>
        <w:widowControl w:val="0"/>
      </w:pPr>
      <w:bookmarkStart w:id="1522" w:name="_Toc79699124"/>
      <w:bookmarkStart w:id="1523" w:name="_Toc79699450"/>
      <w:bookmarkStart w:id="1524" w:name="_Toc79699788"/>
      <w:bookmarkStart w:id="1525" w:name="_Toc79700108"/>
      <w:bookmarkStart w:id="1526" w:name="_Toc79700430"/>
      <w:bookmarkStart w:id="1527" w:name="_Toc87039208"/>
      <w:bookmarkStart w:id="1528" w:name="_Toc90983604"/>
      <w:r w:rsidRPr="007A5BBC">
        <w:t xml:space="preserve">Eligibility after </w:t>
      </w:r>
      <w:r w:rsidR="008B4047">
        <w:t>Prior Bankruptcy Cases</w:t>
      </w:r>
      <w:bookmarkStart w:id="1529" w:name="_Toc79692982"/>
      <w:bookmarkStart w:id="1530" w:name="_Toc79693302"/>
      <w:bookmarkStart w:id="1531" w:name="_Toc79693622"/>
      <w:bookmarkStart w:id="1532" w:name="_Toc79693939"/>
      <w:bookmarkStart w:id="1533" w:name="_Toc79694579"/>
      <w:bookmarkStart w:id="1534" w:name="_Toc79695207"/>
      <w:bookmarkStart w:id="1535" w:name="_Toc79697453"/>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r w:rsidR="00F46770">
        <w:br/>
      </w:r>
    </w:p>
    <w:p w14:paraId="0232A085" w14:textId="0CC96B2C" w:rsidR="00583296" w:rsidRPr="007A5BBC" w:rsidRDefault="00583296" w:rsidP="00F46770">
      <w:pPr>
        <w:widowControl w:val="0"/>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6201CD70" w:rsidR="0080310A" w:rsidRPr="007A5BBC" w:rsidRDefault="00583296" w:rsidP="0079576D">
      <w:pPr>
        <w:ind w:firstLine="720"/>
        <w:jc w:val="both"/>
        <w:rPr>
          <w:rFonts w:ascii="Times New Roman" w:hAnsi="Times New Roman"/>
          <w:szCs w:val="24"/>
        </w:rPr>
      </w:pPr>
      <w:r w:rsidRPr="007A5BBC">
        <w:rPr>
          <w:rFonts w:ascii="Times New Roman" w:hAnsi="Times New Roman"/>
          <w:szCs w:val="24"/>
        </w:rPr>
        <w:t xml:space="preserve">Section 109(g) of the Bankruptcy </w:t>
      </w:r>
      <w:r w:rsidR="00836E35">
        <w:rPr>
          <w:rFonts w:ascii="Times New Roman" w:hAnsi="Times New Roman"/>
          <w:szCs w:val="24"/>
        </w:rPr>
        <w:t>C</w:t>
      </w:r>
      <w:r w:rsidRPr="007A5BBC">
        <w:rPr>
          <w:rFonts w:ascii="Times New Roman" w:hAnsi="Times New Roman"/>
          <w:szCs w:val="24"/>
        </w:rPr>
        <w:t>ode</w:t>
      </w:r>
      <w:r w:rsidR="0080310A" w:rsidRPr="007A5BBC">
        <w:rPr>
          <w:rFonts w:ascii="Times New Roman" w:hAnsi="Times New Roman"/>
          <w:szCs w:val="24"/>
        </w:rPr>
        <w:t>, on the other hand,</w:t>
      </w:r>
      <w:r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r w:rsidR="00E146A3" w:rsidRPr="007A5BBC">
        <w:rPr>
          <w:rFonts w:ascii="Times New Roman" w:hAnsi="Times New Roman"/>
          <w:szCs w:val="24"/>
        </w:rPr>
        <w:t>11 U.S.C. § 109(g)</w:t>
      </w:r>
      <w:r w:rsidR="005F6A8B">
        <w:rPr>
          <w:rFonts w:ascii="Times New Roman" w:hAnsi="Times New Roman"/>
          <w:szCs w:val="24"/>
        </w:rPr>
        <w:t xml:space="preserve">. </w:t>
      </w:r>
    </w:p>
    <w:p w14:paraId="1097750A" w14:textId="73EED087"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would apply even when the dismissal had nothing to do with the motion for relief from stay – indeed even if the motion for relief from stay was denied</w:t>
      </w:r>
      <w:r w:rsidR="00083725" w:rsidRPr="007A5BBC">
        <w:rPr>
          <w:rFonts w:ascii="Times New Roman" w:hAnsi="Times New Roman"/>
          <w:szCs w:val="24"/>
        </w:rPr>
        <w:t xml:space="preserve">! </w:t>
      </w:r>
    </w:p>
    <w:p w14:paraId="44A4AF21" w14:textId="6BCAF852"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083725">
        <w:rPr>
          <w:rFonts w:ascii="Times New Roman" w:hAnsi="Times New Roman"/>
          <w:szCs w:val="24"/>
        </w:rPr>
        <w:t xml:space="preserve">. </w:t>
      </w:r>
      <w:r w:rsidRPr="007A5BBC">
        <w:rPr>
          <w:rFonts w:ascii="Times New Roman" w:hAnsi="Times New Roman"/>
          <w:i/>
          <w:szCs w:val="24"/>
        </w:rPr>
        <w:t xml:space="preserve">See </w:t>
      </w:r>
      <w:hyperlink r:id="rId86"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87"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88"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89"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90"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3D32C794" w14:textId="1502A16A" w:rsidR="001C0CB0" w:rsidRDefault="00AF597A" w:rsidP="00F46770">
      <w:pPr>
        <w:pStyle w:val="Heading1"/>
        <w:spacing w:line="240" w:lineRule="auto"/>
      </w:pPr>
      <w:bookmarkStart w:id="1536" w:name="_Toc417380785"/>
      <w:bookmarkStart w:id="1537" w:name="_Toc79699125"/>
      <w:bookmarkStart w:id="1538" w:name="_Toc79699451"/>
      <w:bookmarkStart w:id="1539" w:name="_Toc79699789"/>
      <w:bookmarkStart w:id="1540" w:name="_Toc79700109"/>
      <w:bookmarkStart w:id="1541" w:name="_Toc79700431"/>
      <w:bookmarkStart w:id="1542" w:name="_Toc87039209"/>
      <w:bookmarkStart w:id="1543" w:name="_Toc90983605"/>
      <w:r w:rsidRPr="007A5BBC">
        <w:t>The Bankruptcy Estate</w:t>
      </w:r>
      <w:bookmarkStart w:id="1544" w:name="_Toc79687341"/>
      <w:bookmarkStart w:id="1545" w:name="_Toc79687665"/>
      <w:bookmarkStart w:id="1546" w:name="_Toc79688032"/>
      <w:bookmarkStart w:id="1547" w:name="_Toc79688361"/>
      <w:bookmarkStart w:id="1548" w:name="_Toc79689297"/>
      <w:bookmarkStart w:id="1549" w:name="_Toc79692983"/>
      <w:bookmarkStart w:id="1550" w:name="_Toc79693303"/>
      <w:bookmarkStart w:id="1551" w:name="_Toc79693623"/>
      <w:bookmarkStart w:id="1552" w:name="_Toc79693940"/>
      <w:bookmarkStart w:id="1553" w:name="_Toc79694258"/>
      <w:bookmarkStart w:id="1554" w:name="_Toc79694580"/>
      <w:bookmarkStart w:id="1555" w:name="_Toc79694892"/>
      <w:bookmarkStart w:id="1556" w:name="_Toc79695208"/>
      <w:bookmarkStart w:id="1557" w:name="_Toc79695524"/>
      <w:bookmarkStart w:id="1558" w:name="_Toc79695840"/>
      <w:bookmarkStart w:id="1559" w:name="_Toc79696156"/>
      <w:bookmarkStart w:id="1560" w:name="_Toc79696472"/>
      <w:bookmarkStart w:id="1561" w:name="_Toc79696793"/>
      <w:bookmarkStart w:id="1562" w:name="_Toc79697125"/>
      <w:bookmarkStart w:id="1563" w:name="_Toc79697454"/>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rsidR="00F46770">
        <w:br/>
      </w:r>
    </w:p>
    <w:p w14:paraId="2AE8FBE5" w14:textId="1C8DC37B" w:rsidR="008B4047" w:rsidRDefault="00510AE3" w:rsidP="001C0CB0">
      <w:pPr>
        <w:pStyle w:val="0-NORMAL"/>
      </w:pPr>
      <w:r w:rsidRPr="001C0CB0">
        <w:t>There are two fundamental purposes of Chapter 7</w:t>
      </w:r>
      <w:r w:rsidR="00B539BF" w:rsidRPr="001C0CB0">
        <w:t xml:space="preserve"> of the Bankruptcy Code</w:t>
      </w:r>
      <w:r w:rsidRPr="001C0CB0">
        <w:t xml:space="preserve">: (1) to establish an orderly system for liquidating (selling) the debtor’s assets to pay creditors’ claims, and (2) </w:t>
      </w:r>
      <w:r w:rsidR="00FE2EAC" w:rsidRPr="001C0CB0">
        <w:t xml:space="preserve">to provide </w:t>
      </w:r>
      <w:r w:rsidRPr="001C0CB0">
        <w:t xml:space="preserve">the debtor with a fresh start </w:t>
      </w:r>
      <w:r w:rsidR="00B539BF" w:rsidRPr="001C0CB0">
        <w:t>by discharging the debtor’s pre-bankruptcy debts</w:t>
      </w:r>
      <w:r w:rsidR="005F6A8B" w:rsidRPr="001C0CB0">
        <w:t xml:space="preserve">. </w:t>
      </w:r>
      <w:r w:rsidRPr="001C0CB0">
        <w:t>In this chapter we begin the study of the process of liquidation and distribution to creditors</w:t>
      </w:r>
      <w:r w:rsidR="005F6A8B" w:rsidRPr="001C0CB0">
        <w:t xml:space="preserve">. </w:t>
      </w:r>
      <w:bookmarkStart w:id="1564" w:name="_Toc417378923"/>
      <w:bookmarkStart w:id="1565" w:name="_Toc417380786"/>
      <w:bookmarkStart w:id="1566" w:name="_Toc417380787"/>
      <w:bookmarkStart w:id="1567" w:name="_Toc438473155"/>
      <w:bookmarkStart w:id="1568" w:name="_Toc438473471"/>
      <w:bookmarkStart w:id="1569" w:name="_Toc438473787"/>
      <w:bookmarkStart w:id="1570" w:name="_Toc438474103"/>
      <w:bookmarkStart w:id="1571" w:name="_Toc438476564"/>
      <w:bookmarkStart w:id="1572" w:name="_Toc438661317"/>
      <w:bookmarkStart w:id="1573" w:name="_Toc438661646"/>
      <w:bookmarkStart w:id="1574" w:name="_Toc438662041"/>
      <w:bookmarkStart w:id="1575" w:name="_Toc438662373"/>
      <w:bookmarkStart w:id="1576" w:name="_Toc438662711"/>
      <w:bookmarkStart w:id="1577" w:name="_Toc438663043"/>
      <w:bookmarkStart w:id="1578" w:name="_Toc438663370"/>
      <w:bookmarkStart w:id="1579" w:name="_Toc438663697"/>
      <w:bookmarkStart w:id="1580" w:name="_Toc438664022"/>
      <w:bookmarkStart w:id="1581" w:name="_Toc438664349"/>
      <w:bookmarkStart w:id="1582" w:name="_Toc438665094"/>
      <w:bookmarkStart w:id="1583" w:name="_Toc450735038"/>
      <w:bookmarkStart w:id="1584" w:name="_Toc450735367"/>
      <w:bookmarkStart w:id="1585" w:name="_Toc450739763"/>
      <w:bookmarkStart w:id="1586" w:name="_Toc457995583"/>
      <w:bookmarkStart w:id="1587" w:name="_Toc457997412"/>
      <w:bookmarkStart w:id="1588" w:name="_Toc458006644"/>
      <w:bookmarkStart w:id="1589" w:name="_Toc458074956"/>
      <w:bookmarkStart w:id="1590" w:name="_Toc485065490"/>
      <w:bookmarkStart w:id="1591" w:name="_Toc438473156"/>
      <w:bookmarkStart w:id="1592" w:name="_Toc438473472"/>
      <w:bookmarkStart w:id="1593" w:name="_Toc438473788"/>
      <w:bookmarkStart w:id="1594" w:name="_Toc438474104"/>
      <w:bookmarkStart w:id="1595" w:name="_Toc438476565"/>
      <w:bookmarkStart w:id="1596" w:name="_Toc438661318"/>
      <w:bookmarkStart w:id="1597" w:name="_Toc438661647"/>
      <w:bookmarkStart w:id="1598" w:name="_Toc438662042"/>
      <w:bookmarkStart w:id="1599" w:name="_Toc438662374"/>
      <w:bookmarkStart w:id="1600" w:name="_Toc438662712"/>
      <w:bookmarkStart w:id="1601" w:name="_Toc438663044"/>
      <w:bookmarkStart w:id="1602" w:name="_Toc438663371"/>
      <w:bookmarkStart w:id="1603" w:name="_Toc438663698"/>
      <w:bookmarkStart w:id="1604" w:name="_Toc438664023"/>
      <w:bookmarkStart w:id="1605" w:name="_Toc438664350"/>
      <w:bookmarkStart w:id="1606" w:name="_Toc438665095"/>
      <w:bookmarkStart w:id="1607" w:name="_Toc450735039"/>
      <w:bookmarkStart w:id="1608" w:name="_Toc450735368"/>
      <w:bookmarkStart w:id="1609" w:name="_Toc450739764"/>
      <w:bookmarkStart w:id="1610" w:name="_Toc457995584"/>
      <w:bookmarkStart w:id="1611" w:name="_Toc457997413"/>
      <w:bookmarkStart w:id="1612" w:name="_Toc458006645"/>
      <w:bookmarkStart w:id="1613" w:name="_Toc458074957"/>
      <w:bookmarkStart w:id="1614" w:name="_Toc485065491"/>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p>
    <w:p w14:paraId="017FC0AA" w14:textId="77777777" w:rsidR="00F46770" w:rsidRPr="001C0CB0" w:rsidRDefault="00F46770" w:rsidP="001C0CB0">
      <w:pPr>
        <w:pStyle w:val="0-NORMAL"/>
        <w:rPr>
          <w:sz w:val="28"/>
          <w:szCs w:val="28"/>
        </w:rPr>
      </w:pPr>
    </w:p>
    <w:p w14:paraId="412EF2BC" w14:textId="345E3CC9" w:rsidR="00214B9D" w:rsidRPr="007A5BBC" w:rsidRDefault="00214B9D" w:rsidP="00F46770">
      <w:pPr>
        <w:pStyle w:val="Heading2"/>
        <w:spacing w:line="240" w:lineRule="auto"/>
      </w:pPr>
      <w:r w:rsidRPr="007A5BBC">
        <w:t xml:space="preserve"> </w:t>
      </w:r>
      <w:bookmarkStart w:id="1615" w:name="_Toc417380788"/>
      <w:bookmarkStart w:id="1616" w:name="_Toc79699126"/>
      <w:bookmarkStart w:id="1617" w:name="_Toc79699452"/>
      <w:bookmarkStart w:id="1618" w:name="_Toc79699790"/>
      <w:bookmarkStart w:id="1619" w:name="_Toc79700110"/>
      <w:bookmarkStart w:id="1620" w:name="_Toc79700432"/>
      <w:bookmarkStart w:id="1621" w:name="_Toc87039210"/>
      <w:bookmarkStart w:id="1622" w:name="_Toc90983606"/>
      <w:r w:rsidR="001C0CB0">
        <w:t>What Property is in t</w:t>
      </w:r>
      <w:r w:rsidRPr="007A5BBC">
        <w:t>he Estate</w:t>
      </w:r>
      <w:bookmarkEnd w:id="1615"/>
      <w:r w:rsidR="001C0CB0">
        <w:t>?</w:t>
      </w:r>
      <w:bookmarkStart w:id="1623" w:name="_Toc79692984"/>
      <w:bookmarkStart w:id="1624" w:name="_Toc79693304"/>
      <w:bookmarkStart w:id="1625" w:name="_Toc79693624"/>
      <w:bookmarkStart w:id="1626" w:name="_Toc79693941"/>
      <w:bookmarkStart w:id="1627" w:name="_Toc79694581"/>
      <w:bookmarkStart w:id="1628" w:name="_Toc79695209"/>
      <w:bookmarkStart w:id="1629" w:name="_Toc7969745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00F46770">
        <w:br/>
      </w:r>
    </w:p>
    <w:p w14:paraId="412EF2BD" w14:textId="1CE6BAD8"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 xml:space="preserve">Section 541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Pr="007A5BBC">
        <w:rPr>
          <w:rFonts w:ascii="Times New Roman" w:hAnsi="Times New Roman"/>
          <w:szCs w:val="24"/>
        </w:rPr>
        <w:t>is to be sold to pay creditors</w:t>
      </w:r>
      <w:r w:rsidR="005F6A8B">
        <w:rPr>
          <w:rFonts w:ascii="Times New Roman" w:hAnsi="Times New Roman"/>
          <w:szCs w:val="24"/>
        </w:rPr>
        <w:t xml:space="preserve">. </w:t>
      </w:r>
      <w:r w:rsidRPr="007A5BBC">
        <w:rPr>
          <w:rFonts w:ascii="Times New Roman" w:hAnsi="Times New Roman"/>
          <w:szCs w:val="24"/>
        </w:rPr>
        <w:t xml:space="preserve">Section 541 starts with a broad rule that </w:t>
      </w:r>
      <w:r w:rsidRPr="00B539BF">
        <w:rPr>
          <w:rFonts w:ascii="Times New Roman" w:hAnsi="Times New Roman"/>
          <w:b/>
          <w:szCs w:val="24"/>
        </w:rPr>
        <w:t>everything</w:t>
      </w:r>
      <w:r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Pr="007A5BBC">
        <w:rPr>
          <w:rFonts w:ascii="Times New Roman" w:hAnsi="Times New Roman"/>
          <w:szCs w:val="24"/>
        </w:rPr>
        <w:t>elong</w:t>
      </w:r>
      <w:r w:rsidR="008E5421" w:rsidRPr="007A5BBC">
        <w:rPr>
          <w:rFonts w:ascii="Times New Roman" w:hAnsi="Times New Roman"/>
          <w:szCs w:val="24"/>
        </w:rPr>
        <w:t>s</w:t>
      </w:r>
      <w:r w:rsidRPr="007A5BBC">
        <w:rPr>
          <w:rFonts w:ascii="Times New Roman" w:hAnsi="Times New Roman"/>
          <w:szCs w:val="24"/>
        </w:rPr>
        <w:t xml:space="preserve"> to the bankruptcy estate</w:t>
      </w:r>
      <w:r w:rsidR="005F6A8B">
        <w:rPr>
          <w:rFonts w:ascii="Times New Roman" w:hAnsi="Times New Roman"/>
          <w:szCs w:val="24"/>
        </w:rPr>
        <w:t xml:space="preserve">. </w:t>
      </w:r>
      <w:r w:rsidRPr="007A5BBC">
        <w:rPr>
          <w:rFonts w:ascii="Times New Roman" w:hAnsi="Times New Roman"/>
          <w:szCs w:val="24"/>
        </w:rPr>
        <w:t>11 U.S.C. § 541(a)</w:t>
      </w:r>
      <w:r w:rsidR="005F6A8B">
        <w:rPr>
          <w:rFonts w:ascii="Times New Roman" w:hAnsi="Times New Roman"/>
          <w:szCs w:val="24"/>
        </w:rPr>
        <w:t xml:space="preserve">. </w:t>
      </w:r>
      <w:r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Pr="007A5BBC">
        <w:rPr>
          <w:rFonts w:ascii="Times New Roman" w:hAnsi="Times New Roman"/>
          <w:szCs w:val="24"/>
        </w:rPr>
        <w:t>(which b</w:t>
      </w:r>
      <w:r w:rsidR="008E5421" w:rsidRPr="007A5BBC">
        <w:rPr>
          <w:rFonts w:ascii="Times New Roman" w:hAnsi="Times New Roman"/>
          <w:szCs w:val="24"/>
        </w:rPr>
        <w:t>elongs to the debtor free of the</w:t>
      </w:r>
      <w:r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Pr="007A5BBC">
        <w:rPr>
          <w:rFonts w:ascii="Times New Roman" w:hAnsi="Times New Roman"/>
          <w:szCs w:val="24"/>
        </w:rPr>
        <w:t>creditors)</w:t>
      </w:r>
      <w:r w:rsidR="008E5421" w:rsidRPr="007A5BBC">
        <w:rPr>
          <w:rFonts w:ascii="Times New Roman" w:hAnsi="Times New Roman"/>
          <w:szCs w:val="24"/>
        </w:rPr>
        <w:t>,</w:t>
      </w:r>
      <w:r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3CBB356" w:rsidR="00214B9D"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68ABE0DA" w14:textId="77777777" w:rsidR="00F46770" w:rsidRPr="007A5BBC" w:rsidRDefault="00F46770" w:rsidP="00561042">
      <w:pPr>
        <w:ind w:firstLine="720"/>
        <w:jc w:val="both"/>
        <w:rPr>
          <w:rFonts w:ascii="Times New Roman" w:hAnsi="Times New Roman"/>
          <w:szCs w:val="24"/>
        </w:rPr>
      </w:pPr>
    </w:p>
    <w:p w14:paraId="412EF2C1" w14:textId="1F3A8B03" w:rsidR="001B505C" w:rsidRPr="007A5BBC" w:rsidRDefault="00646EC9" w:rsidP="00F46770">
      <w:pPr>
        <w:pStyle w:val="Heading2"/>
        <w:spacing w:line="240" w:lineRule="auto"/>
      </w:pPr>
      <w:bookmarkStart w:id="1630" w:name="_Toc417380789"/>
      <w:bookmarkStart w:id="1631" w:name="_Toc79699127"/>
      <w:bookmarkStart w:id="1632" w:name="_Toc79699453"/>
      <w:bookmarkStart w:id="1633" w:name="_Toc79699791"/>
      <w:bookmarkStart w:id="1634" w:name="_Toc79700111"/>
      <w:bookmarkStart w:id="1635" w:name="_Toc79700433"/>
      <w:bookmarkStart w:id="1636" w:name="_Toc87039211"/>
      <w:bookmarkStart w:id="1637" w:name="_Toc90983607"/>
      <w:r>
        <w:t xml:space="preserve">Cases on </w:t>
      </w:r>
      <w:r w:rsidR="001B505C" w:rsidRPr="007A5BBC">
        <w:t>Property of the Estate</w:t>
      </w:r>
      <w:bookmarkStart w:id="1638" w:name="_Toc79692985"/>
      <w:bookmarkStart w:id="1639" w:name="_Toc79693305"/>
      <w:bookmarkStart w:id="1640" w:name="_Toc79693625"/>
      <w:bookmarkStart w:id="1641" w:name="_Toc79693942"/>
      <w:bookmarkStart w:id="1642" w:name="_Toc79694582"/>
      <w:bookmarkStart w:id="1643" w:name="_Toc79695210"/>
      <w:bookmarkStart w:id="1644" w:name="_Toc79697456"/>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00F46770">
        <w:br/>
      </w:r>
    </w:p>
    <w:p w14:paraId="412EF2C3" w14:textId="2A2334D1" w:rsidR="00214B9D" w:rsidRPr="00F46770" w:rsidRDefault="007C1024" w:rsidP="00F46770">
      <w:pPr>
        <w:pStyle w:val="Heading3"/>
        <w:rPr>
          <w:u w:val="single"/>
        </w:rPr>
      </w:pPr>
      <w:hyperlink r:id="rId91" w:history="1">
        <w:bookmarkStart w:id="1645" w:name="_Toc87039212"/>
        <w:bookmarkStart w:id="1646" w:name="_Toc90983608"/>
        <w:r w:rsidR="00214B9D" w:rsidRPr="00F46770">
          <w:rPr>
            <w:rStyle w:val="Hyperlink"/>
          </w:rPr>
          <w:t>B</w:t>
        </w:r>
        <w:r w:rsidR="008B4047" w:rsidRPr="00F46770">
          <w:rPr>
            <w:rStyle w:val="Hyperlink"/>
          </w:rPr>
          <w:t xml:space="preserve">OARD OF TRADE OF CHICAGO v. JOHNSON, </w:t>
        </w:r>
        <w:r w:rsidR="00214B9D" w:rsidRPr="00F46770">
          <w:rPr>
            <w:rStyle w:val="Hyperlink"/>
          </w:rPr>
          <w:t>264 U.S. 1 (1924)</w:t>
        </w:r>
        <w:bookmarkEnd w:id="1645"/>
        <w:bookmarkEnd w:id="1646"/>
      </w:hyperlink>
      <w:bookmarkStart w:id="1647" w:name="_Toc79692986"/>
      <w:bookmarkStart w:id="1648" w:name="_Toc79693306"/>
      <w:bookmarkStart w:id="1649" w:name="_Toc79693626"/>
      <w:bookmarkStart w:id="1650" w:name="_Toc79693943"/>
      <w:bookmarkStart w:id="1651" w:name="_Toc79694261"/>
      <w:bookmarkStart w:id="1652" w:name="_Toc79694583"/>
      <w:bookmarkStart w:id="1653" w:name="_Toc79694895"/>
      <w:bookmarkStart w:id="1654" w:name="_Toc79695211"/>
      <w:bookmarkStart w:id="1655" w:name="_Toc79695527"/>
      <w:bookmarkStart w:id="1656" w:name="_Toc79695843"/>
      <w:bookmarkStart w:id="1657" w:name="_Toc79696159"/>
      <w:bookmarkStart w:id="1658" w:name="_Toc79696475"/>
      <w:bookmarkStart w:id="1659" w:name="_Toc79696796"/>
      <w:bookmarkStart w:id="1660" w:name="_Toc79697128"/>
      <w:bookmarkStart w:id="1661" w:name="_Toc79697457"/>
      <w:bookmarkStart w:id="1662" w:name="_Toc79699128"/>
      <w:bookmarkStart w:id="1663" w:name="_Toc79699454"/>
      <w:bookmarkStart w:id="1664" w:name="_Toc79699792"/>
      <w:bookmarkStart w:id="1665" w:name="_Toc79700112"/>
      <w:bookmarkStart w:id="1666" w:name="_Toc79700434"/>
      <w:bookmarkStart w:id="1667" w:name="_Toc7970075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00F46770" w:rsidRPr="00F46770">
        <w:rPr>
          <w:rStyle w:val="Hyperlink"/>
        </w:rPr>
        <w:br/>
      </w:r>
    </w:p>
    <w:p w14:paraId="412EF2C4" w14:textId="77777777" w:rsidR="00214B9D" w:rsidRPr="007A5BBC" w:rsidRDefault="00214B9D" w:rsidP="008B4047">
      <w:pPr>
        <w:ind w:firstLine="720"/>
        <w:rPr>
          <w:rFonts w:ascii="Times New Roman" w:hAnsi="Times New Roman"/>
          <w:szCs w:val="24"/>
        </w:rPr>
      </w:pPr>
      <w:r w:rsidRPr="007A5BBC">
        <w:rPr>
          <w:rFonts w:ascii="Times New Roman" w:hAnsi="Times New Roman"/>
          <w:szCs w:val="24"/>
        </w:rPr>
        <w:t xml:space="preserve">CHIEF JUSTICE TAFT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ordered the transfer and sale of the seat free from all the claims and objections of the petitioners. The view of the court was that . . . the right of the member creditors 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23ADFBC3" w:rsidR="00214B9D"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Reversed.</w:t>
      </w:r>
    </w:p>
    <w:p w14:paraId="64A02667" w14:textId="77777777" w:rsidR="00F46770" w:rsidRPr="007A5BBC" w:rsidRDefault="00F46770" w:rsidP="003E43A7">
      <w:pPr>
        <w:ind w:firstLine="720"/>
        <w:jc w:val="both"/>
        <w:rPr>
          <w:rFonts w:ascii="Times New Roman" w:hAnsi="Times New Roman"/>
          <w:color w:val="222222"/>
          <w:szCs w:val="24"/>
        </w:rPr>
      </w:pPr>
    </w:p>
    <w:p w14:paraId="412EF2D3" w14:textId="6EEE30F4" w:rsidR="00214B9D" w:rsidRPr="00F46770" w:rsidRDefault="007C1024" w:rsidP="00F46770">
      <w:pPr>
        <w:pStyle w:val="Heading3"/>
        <w:rPr>
          <w:u w:val="single"/>
        </w:rPr>
      </w:pPr>
      <w:hyperlink r:id="rId92" w:history="1">
        <w:bookmarkStart w:id="1668" w:name="_Toc87039213"/>
        <w:bookmarkStart w:id="1669" w:name="_Toc90983609"/>
        <w:r w:rsidR="00214B9D" w:rsidRPr="00F46770">
          <w:rPr>
            <w:rStyle w:val="Hyperlink"/>
          </w:rPr>
          <w:t>B</w:t>
        </w:r>
        <w:r w:rsidR="008B4047" w:rsidRPr="00F46770">
          <w:rPr>
            <w:rStyle w:val="Hyperlink"/>
          </w:rPr>
          <w:t xml:space="preserve">UTNER v. UNITED STATES, </w:t>
        </w:r>
        <w:r w:rsidR="00214B9D" w:rsidRPr="00F46770">
          <w:rPr>
            <w:rStyle w:val="Hyperlink"/>
          </w:rPr>
          <w:t>440 U.S. 48 (1979)</w:t>
        </w:r>
        <w:bookmarkEnd w:id="1668"/>
        <w:bookmarkEnd w:id="1669"/>
      </w:hyperlink>
      <w:bookmarkStart w:id="1670" w:name="_Toc79692987"/>
      <w:bookmarkStart w:id="1671" w:name="_Toc79693307"/>
      <w:bookmarkStart w:id="1672" w:name="_Toc79693627"/>
      <w:bookmarkStart w:id="1673" w:name="_Toc79693944"/>
      <w:bookmarkStart w:id="1674" w:name="_Toc79694262"/>
      <w:bookmarkStart w:id="1675" w:name="_Toc79694584"/>
      <w:bookmarkStart w:id="1676" w:name="_Toc79694896"/>
      <w:bookmarkStart w:id="1677" w:name="_Toc79695212"/>
      <w:bookmarkStart w:id="1678" w:name="_Toc79695528"/>
      <w:bookmarkStart w:id="1679" w:name="_Toc79695844"/>
      <w:bookmarkStart w:id="1680" w:name="_Toc79696160"/>
      <w:bookmarkStart w:id="1681" w:name="_Toc79696476"/>
      <w:bookmarkStart w:id="1682" w:name="_Toc79696797"/>
      <w:bookmarkStart w:id="1683" w:name="_Toc79697129"/>
      <w:bookmarkStart w:id="1684" w:name="_Toc79697458"/>
      <w:bookmarkStart w:id="1685" w:name="_Toc79699129"/>
      <w:bookmarkStart w:id="1686" w:name="_Toc79699455"/>
      <w:bookmarkStart w:id="1687" w:name="_Toc79699793"/>
      <w:bookmarkStart w:id="1688" w:name="_Toc79700113"/>
      <w:bookmarkStart w:id="1689" w:name="_Toc79700435"/>
      <w:bookmarkStart w:id="1690" w:name="_Toc79700757"/>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00F46770">
        <w:rPr>
          <w:rStyle w:val="Hyperlink"/>
        </w:rPr>
        <w:br/>
      </w:r>
    </w:p>
    <w:p w14:paraId="412EF2D4" w14:textId="77777777" w:rsidR="00214B9D" w:rsidRPr="007A5BBC" w:rsidRDefault="00214B9D" w:rsidP="00F46770">
      <w:pPr>
        <w:ind w:left="288" w:firstLine="432"/>
        <w:rPr>
          <w:rFonts w:ascii="Times New Roman" w:hAnsi="Times New Roman"/>
          <w:szCs w:val="24"/>
        </w:rPr>
      </w:pPr>
      <w:r w:rsidRPr="007A5BBC">
        <w:rPr>
          <w:rFonts w:ascii="Times New Roman" w:hAnsi="Times New Roman"/>
          <w:szCs w:val="24"/>
        </w:rPr>
        <w:t>JUSTICE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In a few States, sometimes referred to as "title States," the mortgagee is automatically entitled to possession of the property, and to a secured interest in the rents. In most States, the 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minority of courts which have rejected state law have not done so because of any congressional command, or because their approach serves any identifiable federal interest. Rather, they have adopted a uniform federal approach to the question of the mortgagee's interest 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5E2C2CE9" w:rsidR="00214B9D"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5FC3DB62" w14:textId="77777777" w:rsidR="00BE692E" w:rsidRPr="007A5BBC" w:rsidRDefault="00BE692E" w:rsidP="00816126">
      <w:pPr>
        <w:ind w:firstLine="720"/>
        <w:jc w:val="both"/>
        <w:rPr>
          <w:rFonts w:ascii="Times New Roman" w:hAnsi="Times New Roman"/>
          <w:color w:val="222222"/>
          <w:szCs w:val="24"/>
        </w:rPr>
      </w:pPr>
    </w:p>
    <w:p w14:paraId="412EF2E4" w14:textId="5DEFE5FF" w:rsidR="001B505C" w:rsidRPr="007A5BBC" w:rsidRDefault="001B505C" w:rsidP="00BE692E">
      <w:pPr>
        <w:pStyle w:val="Heading2"/>
        <w:spacing w:line="240" w:lineRule="auto"/>
      </w:pPr>
      <w:bookmarkStart w:id="1691" w:name="_Toc417380790"/>
      <w:bookmarkStart w:id="1692" w:name="_Toc79699130"/>
      <w:bookmarkStart w:id="1693" w:name="_Toc79699456"/>
      <w:bookmarkStart w:id="1694" w:name="_Toc79699794"/>
      <w:bookmarkStart w:id="1695" w:name="_Toc79700114"/>
      <w:bookmarkStart w:id="1696" w:name="_Toc79700436"/>
      <w:bookmarkStart w:id="1697" w:name="_Toc87039214"/>
      <w:bookmarkStart w:id="1698" w:name="_Toc90983610"/>
      <w:r w:rsidRPr="007A5BBC">
        <w:t>Aftermath</w:t>
      </w:r>
      <w:r w:rsidR="005F76D5">
        <w:t xml:space="preserve"> – </w:t>
      </w:r>
      <w:r w:rsidR="006B6D04" w:rsidRPr="007A5BBC">
        <w:t>Application to the Bankruptcy Code</w:t>
      </w:r>
      <w:bookmarkStart w:id="1699" w:name="_Toc79692988"/>
      <w:bookmarkStart w:id="1700" w:name="_Toc79693308"/>
      <w:bookmarkStart w:id="1701" w:name="_Toc79693628"/>
      <w:bookmarkStart w:id="1702" w:name="_Toc79693945"/>
      <w:bookmarkStart w:id="1703" w:name="_Toc79694585"/>
      <w:bookmarkStart w:id="1704" w:name="_Toc79695213"/>
      <w:bookmarkStart w:id="1705" w:name="_Toc79697459"/>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r w:rsidR="00BE692E">
        <w:br/>
      </w:r>
    </w:p>
    <w:p w14:paraId="412EF2E5" w14:textId="0BE7E0DC"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065C6">
        <w:rPr>
          <w:rFonts w:ascii="Times New Roman" w:hAnsi="Times New Roman"/>
          <w:i/>
          <w:iCs/>
          <w:szCs w:val="24"/>
        </w:rPr>
        <w:t xml:space="preserve">See </w:t>
      </w:r>
      <w:r w:rsidRPr="007A5BBC">
        <w:rPr>
          <w:rFonts w:ascii="Times New Roman" w:hAnsi="Times New Roman"/>
          <w:szCs w:val="24"/>
        </w:rPr>
        <w:t>11 U.S.C. § 546(b)(2)</w:t>
      </w:r>
      <w:r w:rsidR="005F6A8B">
        <w:rPr>
          <w:rFonts w:ascii="Times New Roman" w:hAnsi="Times New Roman"/>
          <w:szCs w:val="24"/>
        </w:rPr>
        <w:t xml:space="preserve">. </w:t>
      </w:r>
    </w:p>
    <w:p w14:paraId="412EF2E6" w14:textId="1EA00B37" w:rsidR="00214B9D"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7CDB0BCD" w14:textId="77777777" w:rsidR="00BE692E" w:rsidRPr="007A5BBC" w:rsidRDefault="00BE692E" w:rsidP="00816126">
      <w:pPr>
        <w:ind w:firstLine="720"/>
        <w:jc w:val="both"/>
        <w:rPr>
          <w:rFonts w:ascii="Times New Roman" w:hAnsi="Times New Roman"/>
          <w:szCs w:val="24"/>
        </w:rPr>
      </w:pPr>
    </w:p>
    <w:p w14:paraId="412EF2E8" w14:textId="4E2FA217" w:rsidR="00214B9D" w:rsidRPr="007A5BBC" w:rsidRDefault="006B6D04" w:rsidP="00BE692E">
      <w:pPr>
        <w:pStyle w:val="Heading2"/>
        <w:spacing w:line="240" w:lineRule="auto"/>
      </w:pPr>
      <w:bookmarkStart w:id="1706" w:name="_Toc417380791"/>
      <w:bookmarkStart w:id="1707" w:name="_Toc79699131"/>
      <w:bookmarkStart w:id="1708" w:name="_Toc79699457"/>
      <w:bookmarkStart w:id="1709" w:name="_Toc79699795"/>
      <w:bookmarkStart w:id="1710" w:name="_Toc79700115"/>
      <w:bookmarkStart w:id="1711" w:name="_Toc79700437"/>
      <w:bookmarkStart w:id="1712" w:name="_Toc87039215"/>
      <w:bookmarkStart w:id="1713" w:name="_Toc90983611"/>
      <w:r w:rsidRPr="007A5BBC">
        <w:t>P</w:t>
      </w:r>
      <w:r w:rsidR="008B4047">
        <w:t>ractice Problems</w:t>
      </w:r>
      <w:r w:rsidR="003A2EEC">
        <w:t>:</w:t>
      </w:r>
      <w:r w:rsidR="005F6A8B">
        <w:t xml:space="preserve"> </w:t>
      </w:r>
      <w:r w:rsidR="003E43A7" w:rsidRPr="007A5BBC">
        <w:t>P</w:t>
      </w:r>
      <w:r w:rsidR="00214B9D" w:rsidRPr="007A5BBC">
        <w:t xml:space="preserve">roperty of the </w:t>
      </w:r>
      <w:r w:rsidR="003E43A7" w:rsidRPr="007A5BBC">
        <w:t>E</w:t>
      </w:r>
      <w:r w:rsidR="00214B9D" w:rsidRPr="007A5BBC">
        <w:t>state</w:t>
      </w:r>
      <w:bookmarkStart w:id="1714" w:name="_Toc79692989"/>
      <w:bookmarkStart w:id="1715" w:name="_Toc79693309"/>
      <w:bookmarkStart w:id="1716" w:name="_Toc79693629"/>
      <w:bookmarkStart w:id="1717" w:name="_Toc79693946"/>
      <w:bookmarkStart w:id="1718" w:name="_Toc79694586"/>
      <w:bookmarkStart w:id="1719" w:name="_Toc79695214"/>
      <w:bookmarkStart w:id="1720" w:name="_Toc79697460"/>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rsidR="00BE692E">
        <w:br/>
      </w:r>
    </w:p>
    <w:p w14:paraId="5AD860D2" w14:textId="3A4A43EC" w:rsidR="00A00881" w:rsidRPr="007A5BBC" w:rsidRDefault="00A00881" w:rsidP="008B4047">
      <w:pPr>
        <w:ind w:left="720"/>
        <w:rPr>
          <w:rFonts w:ascii="Times New Roman" w:hAnsi="Times New Roman"/>
          <w:szCs w:val="24"/>
        </w:rPr>
      </w:pPr>
      <w:r w:rsidRPr="007A5BBC">
        <w:rPr>
          <w:rFonts w:ascii="Times New Roman" w:hAnsi="Times New Roman"/>
          <w:szCs w:val="24"/>
        </w:rPr>
        <w:t>Are the following “property of the estate” under 11 U.S.C. § 541?</w:t>
      </w:r>
    </w:p>
    <w:p w14:paraId="412EF2E9" w14:textId="78DB34A4" w:rsidR="00214B9D" w:rsidRPr="007A5BBC" w:rsidRDefault="003A7198" w:rsidP="003A7198">
      <w:pPr>
        <w:pStyle w:val="0-NORMAL"/>
      </w:pPr>
      <w:r w:rsidRPr="003A7198">
        <w:rPr>
          <w:b/>
        </w:rPr>
        <w:t>Problem 1</w:t>
      </w:r>
      <w:r w:rsidR="00BE692E">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5784A7DA" w:rsidR="003A7198" w:rsidRDefault="003A7198" w:rsidP="003A7198">
      <w:pPr>
        <w:pStyle w:val="0-NORMAL"/>
      </w:pPr>
      <w:r w:rsidRPr="003A7198">
        <w:rPr>
          <w:b/>
        </w:rPr>
        <w:t xml:space="preserve">Problem </w:t>
      </w:r>
      <w:r>
        <w:rPr>
          <w:b/>
        </w:rPr>
        <w:t>2</w:t>
      </w:r>
      <w:r w:rsidR="00BE692E">
        <w:t xml:space="preserve">. </w:t>
      </w:r>
      <w:r w:rsidR="00214B9D" w:rsidRPr="007A5BBC">
        <w:t>Life insurance payments received by the debtor 200 days after the death of the debtor’s father</w:t>
      </w:r>
      <w:r w:rsidR="005F6A8B">
        <w:t xml:space="preserve">. </w:t>
      </w:r>
      <w:r w:rsidR="00214B9D" w:rsidRPr="007A5BBC">
        <w:t>11 U.S.C. § 541(a)(5)(C).</w:t>
      </w:r>
    </w:p>
    <w:p w14:paraId="3BA9F471" w14:textId="6348E1C1" w:rsidR="003A7198" w:rsidRDefault="003A7198" w:rsidP="003A7198">
      <w:pPr>
        <w:pStyle w:val="0-NORMAL"/>
      </w:pPr>
      <w:r w:rsidRPr="003A7198">
        <w:rPr>
          <w:b/>
        </w:rPr>
        <w:t>Problem 3</w:t>
      </w:r>
      <w:r w:rsidR="00BE692E">
        <w:t xml:space="preserve">. </w:t>
      </w:r>
      <w:r w:rsidR="007B3A34" w:rsidRPr="003A7198">
        <w:t>The d</w:t>
      </w:r>
      <w:r w:rsidR="00214B9D" w:rsidRPr="003A7198">
        <w:t>ebtor’s dog “fluffie,” raised by the debtor since he was a puppy.</w:t>
      </w:r>
    </w:p>
    <w:p w14:paraId="03AD2B64" w14:textId="361F4028" w:rsidR="003A7198" w:rsidRDefault="003A7198" w:rsidP="003A7198">
      <w:pPr>
        <w:pStyle w:val="0-NORMAL"/>
      </w:pPr>
      <w:r w:rsidRPr="003A7198">
        <w:rPr>
          <w:b/>
        </w:rPr>
        <w:t>Problem 4</w:t>
      </w:r>
      <w:r w:rsidR="00BE692E">
        <w:t xml:space="preserve">. </w:t>
      </w:r>
      <w:r w:rsidR="00214B9D" w:rsidRPr="003A7198">
        <w:t>The winning lottery ticket purchased by the debtor several days before bankruptcy for a drawing held several days after bankruptcy</w:t>
      </w:r>
      <w:r w:rsidR="005F6A8B">
        <w:t xml:space="preserve">. </w:t>
      </w:r>
      <w:r w:rsidR="00214B9D" w:rsidRPr="003A7198">
        <w:t>11 U.S.C. § 541(a)(6).</w:t>
      </w:r>
    </w:p>
    <w:p w14:paraId="0C004698" w14:textId="73ADC97F" w:rsidR="003A7198" w:rsidRDefault="003A7198" w:rsidP="003A7198">
      <w:pPr>
        <w:pStyle w:val="0-NORMAL"/>
      </w:pPr>
      <w:r w:rsidRPr="003A7198">
        <w:rPr>
          <w:b/>
        </w:rPr>
        <w:t>Problem 5</w:t>
      </w:r>
      <w:r w:rsidR="00BE692E">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r w:rsidR="00214B9D" w:rsidRPr="003A7198">
        <w:t>11 U.S.C. § 541(a)(6).</w:t>
      </w:r>
    </w:p>
    <w:p w14:paraId="76196F78" w14:textId="0F3DF54E" w:rsidR="003A7198" w:rsidRDefault="003A7198" w:rsidP="003A7198">
      <w:pPr>
        <w:pStyle w:val="0-NORMAL"/>
      </w:pPr>
      <w:r w:rsidRPr="003A7198">
        <w:rPr>
          <w:b/>
        </w:rPr>
        <w:t>Problem 6</w:t>
      </w:r>
      <w:r w:rsidR="00BE692E">
        <w:t xml:space="preserve">. </w:t>
      </w:r>
      <w:r w:rsidR="00214B9D" w:rsidRPr="003A7198">
        <w:t>Money held in an attorney’s trust account, representing the proceeds from the settlement of client cases</w:t>
      </w:r>
      <w:r w:rsidR="005F6A8B">
        <w:t xml:space="preserve">. </w:t>
      </w:r>
      <w:r w:rsidR="00214B9D" w:rsidRPr="003A7198">
        <w:t>11 U.S.C. § 541(d).</w:t>
      </w:r>
    </w:p>
    <w:p w14:paraId="38CD325D" w14:textId="186314EA" w:rsidR="003A7198" w:rsidRDefault="003A7198" w:rsidP="003A7198">
      <w:pPr>
        <w:pStyle w:val="0-NORMAL"/>
      </w:pPr>
      <w:r w:rsidRPr="003A7198">
        <w:rPr>
          <w:b/>
        </w:rPr>
        <w:t>Problem 7</w:t>
      </w:r>
      <w:r w:rsidR="00BE692E">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distributed 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Compare 11 U.S.C. § 541(c)(1) and (c)(2).</w:t>
      </w:r>
    </w:p>
    <w:p w14:paraId="0C157219" w14:textId="711F69B9" w:rsidR="003A7198" w:rsidRDefault="003A7198" w:rsidP="003A7198">
      <w:pPr>
        <w:pStyle w:val="0-NORMAL"/>
      </w:pPr>
      <w:r w:rsidRPr="003A7198">
        <w:rPr>
          <w:b/>
        </w:rPr>
        <w:t>Problem 8</w:t>
      </w:r>
      <w:r w:rsidR="00BE692E">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w:t>
      </w:r>
      <w:r w:rsidR="00214B9D" w:rsidRPr="007065C6">
        <w:rPr>
          <w:i/>
          <w:iCs/>
        </w:rPr>
        <w:t xml:space="preserve">See </w:t>
      </w:r>
      <w:r w:rsidR="00214B9D" w:rsidRPr="003A7198">
        <w:t>11 U.S.C. § 541(a)(6)</w:t>
      </w:r>
      <w:r w:rsidR="005F6A8B">
        <w:t xml:space="preserve">. </w:t>
      </w:r>
    </w:p>
    <w:p w14:paraId="0424ECC9" w14:textId="24E7FACF" w:rsidR="003A7198" w:rsidRDefault="003A7198" w:rsidP="003A7198">
      <w:pPr>
        <w:pStyle w:val="0-NORMAL"/>
      </w:pPr>
      <w:r w:rsidRPr="003A7198">
        <w:rPr>
          <w:b/>
        </w:rPr>
        <w:t>Problem 9</w:t>
      </w:r>
      <w:r w:rsidR="00BE692E">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7065C6">
        <w:rPr>
          <w:i/>
          <w:iCs/>
        </w:rPr>
        <w:t xml:space="preserve">See </w:t>
      </w:r>
      <w:r w:rsidR="00214B9D" w:rsidRPr="003A7198">
        <w:t>11 U.S.C. § 541(b)(2).</w:t>
      </w:r>
    </w:p>
    <w:p w14:paraId="7E0171D2" w14:textId="59D6C921" w:rsidR="003A7198" w:rsidRDefault="003A7198" w:rsidP="003A7198">
      <w:pPr>
        <w:pStyle w:val="0-NORMAL"/>
      </w:pPr>
      <w:r w:rsidRPr="003A7198">
        <w:rPr>
          <w:b/>
        </w:rPr>
        <w:t>Problem 10</w:t>
      </w:r>
      <w:r w:rsidR="00BE692E">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147D81FF" w:rsidR="00214B9D" w:rsidRDefault="003A7198" w:rsidP="003A7198">
      <w:pPr>
        <w:pStyle w:val="0-NORMAL"/>
      </w:pPr>
      <w:r w:rsidRPr="003A7198">
        <w:rPr>
          <w:b/>
        </w:rPr>
        <w:t>Problem 11</w:t>
      </w:r>
      <w:r w:rsidR="00BE692E">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2DF0C491" w14:textId="77777777" w:rsidR="00BE692E" w:rsidRPr="003A7198" w:rsidRDefault="00BE692E" w:rsidP="003A7198">
      <w:pPr>
        <w:pStyle w:val="0-NORMAL"/>
      </w:pPr>
    </w:p>
    <w:p w14:paraId="412EF2F6" w14:textId="53806A6E" w:rsidR="001B505C" w:rsidRPr="007A5BBC" w:rsidRDefault="00646EC9" w:rsidP="00BE692E">
      <w:pPr>
        <w:pStyle w:val="Heading2"/>
        <w:spacing w:line="240" w:lineRule="auto"/>
      </w:pPr>
      <w:bookmarkStart w:id="1721" w:name="_Toc417380792"/>
      <w:bookmarkStart w:id="1722" w:name="_Toc79699132"/>
      <w:bookmarkStart w:id="1723" w:name="_Toc79699458"/>
      <w:bookmarkStart w:id="1724" w:name="_Toc79699796"/>
      <w:bookmarkStart w:id="1725" w:name="_Toc79700116"/>
      <w:bookmarkStart w:id="1726" w:name="_Toc79700438"/>
      <w:bookmarkStart w:id="1727" w:name="_Toc87039216"/>
      <w:bookmarkStart w:id="1728" w:name="_Toc90983612"/>
      <w:r>
        <w:t xml:space="preserve">Cases on </w:t>
      </w:r>
      <w:r w:rsidR="003E43A7" w:rsidRPr="007A5BBC">
        <w:t xml:space="preserve">Mixed </w:t>
      </w:r>
      <w:r w:rsidR="006B6D04" w:rsidRPr="007A5BBC">
        <w:t>Prepetition and Post-Petition Earnings</w:t>
      </w:r>
      <w:bookmarkEnd w:id="1721"/>
      <w:r>
        <w:t xml:space="preserve"> as Property of the Estate</w:t>
      </w:r>
      <w:bookmarkStart w:id="1729" w:name="_Toc79692990"/>
      <w:bookmarkStart w:id="1730" w:name="_Toc79693310"/>
      <w:bookmarkStart w:id="1731" w:name="_Toc79693630"/>
      <w:bookmarkStart w:id="1732" w:name="_Toc79693947"/>
      <w:bookmarkStart w:id="1733" w:name="_Toc79694587"/>
      <w:bookmarkStart w:id="1734" w:name="_Toc79695215"/>
      <w:bookmarkStart w:id="1735" w:name="_Toc7969746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sidR="00BE692E">
        <w:br/>
      </w:r>
    </w:p>
    <w:p w14:paraId="412EF2F8" w14:textId="4AC6EDD4" w:rsidR="00214B9D" w:rsidRPr="00BE692E" w:rsidRDefault="007C1024" w:rsidP="00BE692E">
      <w:pPr>
        <w:pStyle w:val="Heading3"/>
        <w:rPr>
          <w:u w:val="single"/>
        </w:rPr>
      </w:pPr>
      <w:hyperlink r:id="rId93" w:history="1">
        <w:bookmarkStart w:id="1736" w:name="_Toc87039217"/>
        <w:bookmarkStart w:id="1737" w:name="_Toc90983613"/>
        <w:r w:rsidR="00214B9D" w:rsidRPr="00BE692E">
          <w:rPr>
            <w:rStyle w:val="Hyperlink"/>
          </w:rPr>
          <w:t>I</w:t>
        </w:r>
        <w:r w:rsidR="008B4047" w:rsidRPr="00BE692E">
          <w:rPr>
            <w:rStyle w:val="Hyperlink"/>
          </w:rPr>
          <w:t xml:space="preserve">N RE BAGEN, </w:t>
        </w:r>
        <w:r w:rsidR="00214B9D" w:rsidRPr="00BE692E">
          <w:rPr>
            <w:rStyle w:val="Hyperlink"/>
          </w:rPr>
          <w:t>186 B.R. 824 (Bankr</w:t>
        </w:r>
        <w:r w:rsidR="00AB3EFD" w:rsidRPr="00BE692E">
          <w:rPr>
            <w:rStyle w:val="Hyperlink"/>
          </w:rPr>
          <w:t>.</w:t>
        </w:r>
        <w:r w:rsidR="00214B9D" w:rsidRPr="00BE692E">
          <w:rPr>
            <w:rStyle w:val="Hyperlink"/>
          </w:rPr>
          <w:t xml:space="preserve"> S.D.N.Y. 1995)</w:t>
        </w:r>
        <w:bookmarkEnd w:id="1736"/>
        <w:bookmarkEnd w:id="1737"/>
      </w:hyperlink>
      <w:bookmarkStart w:id="1738" w:name="_Toc79692991"/>
      <w:bookmarkStart w:id="1739" w:name="_Toc79693311"/>
      <w:bookmarkStart w:id="1740" w:name="_Toc79693631"/>
      <w:bookmarkStart w:id="1741" w:name="_Toc79693948"/>
      <w:bookmarkStart w:id="1742" w:name="_Toc79694266"/>
      <w:bookmarkStart w:id="1743" w:name="_Toc79694588"/>
      <w:bookmarkStart w:id="1744" w:name="_Toc79694900"/>
      <w:bookmarkStart w:id="1745" w:name="_Toc79695216"/>
      <w:bookmarkStart w:id="1746" w:name="_Toc79695532"/>
      <w:bookmarkStart w:id="1747" w:name="_Toc79695848"/>
      <w:bookmarkStart w:id="1748" w:name="_Toc79696164"/>
      <w:bookmarkStart w:id="1749" w:name="_Toc79696480"/>
      <w:bookmarkStart w:id="1750" w:name="_Toc79696801"/>
      <w:bookmarkStart w:id="1751" w:name="_Toc79697133"/>
      <w:bookmarkStart w:id="1752" w:name="_Toc79697462"/>
      <w:bookmarkStart w:id="1753" w:name="_Toc79699133"/>
      <w:bookmarkStart w:id="1754" w:name="_Toc79699459"/>
      <w:bookmarkStart w:id="1755" w:name="_Toc79699797"/>
      <w:bookmarkStart w:id="1756" w:name="_Toc79700117"/>
      <w:bookmarkStart w:id="1757" w:name="_Toc79700439"/>
      <w:bookmarkStart w:id="1758" w:name="_Toc79700761"/>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00BE692E" w:rsidRPr="00BE692E">
        <w:rPr>
          <w:rStyle w:val="Hyperlink"/>
        </w:rPr>
        <w:br/>
      </w:r>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1E6FB42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4"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3E601B8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5"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(Bankr.E.D.N.Y.1983)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0591162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Bagen's prepetition contingent contractual right to postpetition property is property of the estate pursuant to Code section 541(a)(1). Any postpetition payment made under the prepetition contingent-fee contracts is property of this estate to the extent earned prepetition. The estate's interest in the future payment includes the entire sum paid less the amount attributable to services rendered postpetition.</w:t>
      </w:r>
    </w:p>
    <w:p w14:paraId="412EF304" w14:textId="4C9EB408" w:rsidR="00214B9D"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7F6D84D3" w14:textId="77777777" w:rsidR="00BE692E" w:rsidRPr="007A5BBC" w:rsidRDefault="00BE692E" w:rsidP="00816126">
      <w:pPr>
        <w:ind w:firstLine="720"/>
        <w:jc w:val="both"/>
        <w:rPr>
          <w:rFonts w:ascii="Times New Roman" w:hAnsi="Times New Roman"/>
          <w:color w:val="222222"/>
          <w:szCs w:val="24"/>
        </w:rPr>
      </w:pPr>
    </w:p>
    <w:p w14:paraId="412EF306" w14:textId="278D7E67" w:rsidR="00214B9D" w:rsidRPr="00BE692E" w:rsidRDefault="007C1024" w:rsidP="00BE692E">
      <w:pPr>
        <w:pStyle w:val="Heading3"/>
        <w:rPr>
          <w:u w:val="single"/>
        </w:rPr>
      </w:pPr>
      <w:hyperlink r:id="rId96" w:history="1">
        <w:bookmarkStart w:id="1759" w:name="_Toc87039218"/>
        <w:bookmarkStart w:id="1760" w:name="_Toc90983614"/>
        <w:r w:rsidR="00214B9D" w:rsidRPr="00BE692E">
          <w:rPr>
            <w:rStyle w:val="Hyperlink"/>
          </w:rPr>
          <w:t>T</w:t>
        </w:r>
        <w:r w:rsidR="008B4047" w:rsidRPr="00BE692E">
          <w:rPr>
            <w:rStyle w:val="Hyperlink"/>
          </w:rPr>
          <w:t xml:space="preserve">OWERS v. WU, </w:t>
        </w:r>
        <w:r w:rsidR="00D3778D" w:rsidRPr="00BE692E">
          <w:rPr>
            <w:rStyle w:val="Hyperlink"/>
          </w:rPr>
          <w:t>1</w:t>
        </w:r>
        <w:r w:rsidR="00214B9D" w:rsidRPr="00BE692E">
          <w:rPr>
            <w:rStyle w:val="Hyperlink"/>
          </w:rPr>
          <w:t>73 B.R. 411 (9</w:t>
        </w:r>
        <w:r w:rsidR="00214B9D" w:rsidRPr="00E35EC8">
          <w:rPr>
            <w:rStyle w:val="Hyperlink"/>
          </w:rPr>
          <w:t xml:space="preserve">th </w:t>
        </w:r>
        <w:r w:rsidR="00214B9D" w:rsidRPr="00BE692E">
          <w:rPr>
            <w:rStyle w:val="Hyperlink"/>
          </w:rPr>
          <w:t>Cir. BAP 1994)</w:t>
        </w:r>
        <w:bookmarkEnd w:id="1759"/>
        <w:bookmarkEnd w:id="1760"/>
      </w:hyperlink>
      <w:bookmarkStart w:id="1761" w:name="_Toc79692992"/>
      <w:bookmarkStart w:id="1762" w:name="_Toc79693312"/>
      <w:bookmarkStart w:id="1763" w:name="_Toc79693632"/>
      <w:bookmarkStart w:id="1764" w:name="_Toc79693949"/>
      <w:bookmarkStart w:id="1765" w:name="_Toc79694267"/>
      <w:bookmarkStart w:id="1766" w:name="_Toc79694589"/>
      <w:bookmarkStart w:id="1767" w:name="_Toc79694901"/>
      <w:bookmarkStart w:id="1768" w:name="_Toc79695217"/>
      <w:bookmarkStart w:id="1769" w:name="_Toc79695533"/>
      <w:bookmarkStart w:id="1770" w:name="_Toc79695849"/>
      <w:bookmarkStart w:id="1771" w:name="_Toc79696165"/>
      <w:bookmarkStart w:id="1772" w:name="_Toc79696481"/>
      <w:bookmarkStart w:id="1773" w:name="_Toc79696802"/>
      <w:bookmarkStart w:id="1774" w:name="_Toc79697134"/>
      <w:bookmarkStart w:id="1775" w:name="_Toc79697463"/>
      <w:bookmarkStart w:id="1776" w:name="_Toc79699134"/>
      <w:bookmarkStart w:id="1777" w:name="_Toc79699460"/>
      <w:bookmarkStart w:id="1778" w:name="_Toc79699798"/>
      <w:bookmarkStart w:id="1779" w:name="_Toc79700118"/>
      <w:bookmarkStart w:id="1780" w:name="_Toc79700440"/>
      <w:bookmarkStart w:id="1781" w:name="_Toc79700762"/>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BE692E" w:rsidRPr="00BE692E">
        <w:rPr>
          <w:rStyle w:val="Hyperlink"/>
        </w:rPr>
        <w:br/>
      </w:r>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filed a Chapter 7 petition on March 29, 1991. From the commencement of the bankruptcy case through August 31, 1992, State Mutual paid the debtor $50,472.56 in renewal commissions for policies sold prepetition.</w:t>
      </w:r>
    </w:p>
    <w:p w14:paraId="412EF30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Edward F. Towers, filed an adversary proceeding seeking to avoid the payment of the postpetition renewal commissions under section 549(a) and to recover the value of these payments under section 550(a).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541(a)(6)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5329E4D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arise, at least in part, out of prepetition services or prepetition property. In </w:t>
      </w:r>
      <w:hyperlink r:id="rId97"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(9th Cir.1984)</w:t>
        </w:r>
      </w:hyperlink>
      <w:r w:rsidRPr="007A5BBC">
        <w:rPr>
          <w:rFonts w:ascii="Times New Roman" w:hAnsi="Times New Roman"/>
          <w:color w:val="222222"/>
          <w:szCs w:val="24"/>
        </w:rPr>
        <w:t>, the court determined that while the earnings exception of section 541(a)(6)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opinions addressing the renewal commissions are helpful in analyzing whether postpetition services are necessary for renewal commissions under a given contract. These cases, however, make the entire analysis turn upon the presence of a requirement of postpetition 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7A36F0AF" w:rsidR="00816126"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28BC5D6A" w14:textId="77777777" w:rsidR="00BE692E" w:rsidRPr="007A5BBC" w:rsidRDefault="00BE692E" w:rsidP="00967641">
      <w:pPr>
        <w:ind w:firstLine="720"/>
        <w:jc w:val="both"/>
        <w:rPr>
          <w:rFonts w:ascii="Times New Roman" w:hAnsi="Times New Roman"/>
          <w:color w:val="222222"/>
          <w:szCs w:val="24"/>
        </w:rPr>
      </w:pPr>
    </w:p>
    <w:p w14:paraId="412EF312" w14:textId="5D587E74" w:rsidR="00214B9D" w:rsidRPr="00BE692E" w:rsidRDefault="007C1024" w:rsidP="00BE692E">
      <w:pPr>
        <w:pStyle w:val="Heading3"/>
        <w:rPr>
          <w:u w:val="single"/>
        </w:rPr>
      </w:pPr>
      <w:hyperlink r:id="rId98" w:history="1">
        <w:bookmarkStart w:id="1782" w:name="_Toc87039219"/>
        <w:bookmarkStart w:id="1783" w:name="_Toc90983615"/>
        <w:r w:rsidR="00A00881" w:rsidRPr="00BE692E">
          <w:rPr>
            <w:rStyle w:val="Hyperlink"/>
          </w:rPr>
          <w:t>S</w:t>
        </w:r>
        <w:r w:rsidR="008B4047" w:rsidRPr="00BE692E">
          <w:rPr>
            <w:rStyle w:val="Hyperlink"/>
          </w:rPr>
          <w:t xml:space="preserve">HARP v. DERY, </w:t>
        </w:r>
        <w:r w:rsidR="00214B9D" w:rsidRPr="00BE692E">
          <w:rPr>
            <w:rStyle w:val="Hyperlink"/>
          </w:rPr>
          <w:t>253 B.R. 204 (E.D. Mich</w:t>
        </w:r>
        <w:r w:rsidR="00100C91" w:rsidRPr="00BE692E">
          <w:rPr>
            <w:rStyle w:val="Hyperlink"/>
          </w:rPr>
          <w:t>.</w:t>
        </w:r>
        <w:r w:rsidR="00214B9D" w:rsidRPr="00BE692E">
          <w:rPr>
            <w:rStyle w:val="Hyperlink"/>
          </w:rPr>
          <w:t xml:space="preserve"> 2000)</w:t>
        </w:r>
        <w:bookmarkEnd w:id="1782"/>
        <w:bookmarkEnd w:id="1783"/>
      </w:hyperlink>
      <w:bookmarkStart w:id="1784" w:name="_Toc79692993"/>
      <w:bookmarkStart w:id="1785" w:name="_Toc79693313"/>
      <w:bookmarkStart w:id="1786" w:name="_Toc79693633"/>
      <w:bookmarkStart w:id="1787" w:name="_Toc79693950"/>
      <w:bookmarkStart w:id="1788" w:name="_Toc79694268"/>
      <w:bookmarkStart w:id="1789" w:name="_Toc79694590"/>
      <w:bookmarkStart w:id="1790" w:name="_Toc79694902"/>
      <w:bookmarkStart w:id="1791" w:name="_Toc79695218"/>
      <w:bookmarkStart w:id="1792" w:name="_Toc79695534"/>
      <w:bookmarkStart w:id="1793" w:name="_Toc79695850"/>
      <w:bookmarkStart w:id="1794" w:name="_Toc79696166"/>
      <w:bookmarkStart w:id="1795" w:name="_Toc79696482"/>
      <w:bookmarkStart w:id="1796" w:name="_Toc79696803"/>
      <w:bookmarkStart w:id="1797" w:name="_Toc79697135"/>
      <w:bookmarkStart w:id="1798" w:name="_Toc79697464"/>
      <w:bookmarkStart w:id="1799" w:name="_Toc79699135"/>
      <w:bookmarkStart w:id="1800" w:name="_Toc79699461"/>
      <w:bookmarkStart w:id="1801" w:name="_Toc79699799"/>
      <w:bookmarkStart w:id="1802" w:name="_Toc79700119"/>
      <w:bookmarkStart w:id="1803" w:name="_Toc79700441"/>
      <w:bookmarkStart w:id="1804" w:name="_Toc7970076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00BE692E" w:rsidRPr="00BE692E">
        <w:rPr>
          <w:rStyle w:val="Hyperlink"/>
        </w:rPr>
        <w:br/>
      </w:r>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filed a Chapter 7 petition on December 21, 1998. At that time through February, 1999, Valasis Communications, Inc. employed Debtor. On February 22, 1999, Debtor received an 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qualify for a discharge under § 727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1BC82A2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99"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(7th Cir.1982)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6904EC5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100"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(9th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741E7A0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First, apportionment would be contrary to the plain language of § 541. That statute, in pertinent part, dictates that only "legal or equitable interests of the debtor in property as of the commencement of the case" are included in the bankruptcy estate. 11 U.S.C. § 541(a)(1)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Even if the text were unclear, legislative history would provide a second reason for this Court's conclusion. As both the House of Representatives and Senate Reports make plain, § 541 "is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debtor had cognizable rights as of the petition date. Here, Debtor had no discernible right to his bonus check as of the petition date. </w:t>
      </w:r>
    </w:p>
    <w:p w14:paraId="412EF32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 541(a)(1)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412EF326" w14:textId="500E33A0" w:rsidR="00214B9D" w:rsidRPr="007A5BBC" w:rsidRDefault="00AF597A" w:rsidP="00BE692E">
      <w:pPr>
        <w:pStyle w:val="Heading1"/>
        <w:spacing w:line="240" w:lineRule="auto"/>
      </w:pPr>
      <w:bookmarkStart w:id="1805" w:name="_Toc417380793"/>
      <w:bookmarkStart w:id="1806" w:name="_Toc79699136"/>
      <w:bookmarkStart w:id="1807" w:name="_Toc79699462"/>
      <w:bookmarkStart w:id="1808" w:name="_Toc79699800"/>
      <w:bookmarkStart w:id="1809" w:name="_Toc79700120"/>
      <w:bookmarkStart w:id="1810" w:name="_Toc79700442"/>
      <w:bookmarkStart w:id="1811" w:name="_Toc87039220"/>
      <w:bookmarkStart w:id="1812" w:name="_Toc90983616"/>
      <w:r w:rsidRPr="007A5BBC">
        <w:t>Exemptions</w:t>
      </w:r>
      <w:bookmarkStart w:id="1813" w:name="_Toc417378930"/>
      <w:bookmarkStart w:id="1814" w:name="_Toc417380794"/>
      <w:bookmarkStart w:id="1815" w:name="_Toc417380795"/>
      <w:bookmarkStart w:id="1816" w:name="_Toc438473168"/>
      <w:bookmarkStart w:id="1817" w:name="_Toc438473484"/>
      <w:bookmarkStart w:id="1818" w:name="_Toc438473800"/>
      <w:bookmarkStart w:id="1819" w:name="_Toc438474116"/>
      <w:bookmarkStart w:id="1820" w:name="_Toc438476577"/>
      <w:bookmarkStart w:id="1821" w:name="_Toc438661330"/>
      <w:bookmarkStart w:id="1822" w:name="_Toc438661659"/>
      <w:bookmarkStart w:id="1823" w:name="_Toc438662054"/>
      <w:bookmarkStart w:id="1824" w:name="_Toc438662386"/>
      <w:bookmarkStart w:id="1825" w:name="_Toc438662724"/>
      <w:bookmarkStart w:id="1826" w:name="_Toc438663056"/>
      <w:bookmarkStart w:id="1827" w:name="_Toc438663383"/>
      <w:bookmarkStart w:id="1828" w:name="_Toc438663710"/>
      <w:bookmarkStart w:id="1829" w:name="_Toc438664035"/>
      <w:bookmarkStart w:id="1830" w:name="_Toc438664362"/>
      <w:bookmarkStart w:id="1831" w:name="_Toc438665107"/>
      <w:bookmarkStart w:id="1832" w:name="_Toc450735051"/>
      <w:bookmarkStart w:id="1833" w:name="_Toc450735380"/>
      <w:bookmarkStart w:id="1834" w:name="_Toc450739776"/>
      <w:bookmarkStart w:id="1835" w:name="_Toc457995596"/>
      <w:bookmarkStart w:id="1836" w:name="_Toc457997425"/>
      <w:bookmarkStart w:id="1837" w:name="_Toc458006657"/>
      <w:bookmarkStart w:id="1838" w:name="_Toc458074969"/>
      <w:bookmarkStart w:id="1839" w:name="_Toc485065503"/>
      <w:bookmarkStart w:id="1840" w:name="_Toc79687352"/>
      <w:bookmarkStart w:id="1841" w:name="_Toc79687676"/>
      <w:bookmarkStart w:id="1842" w:name="_Toc79688043"/>
      <w:bookmarkStart w:id="1843" w:name="_Toc79688372"/>
      <w:bookmarkStart w:id="1844" w:name="_Toc79689308"/>
      <w:bookmarkStart w:id="1845" w:name="_Toc79692994"/>
      <w:bookmarkStart w:id="1846" w:name="_Toc79693314"/>
      <w:bookmarkStart w:id="1847" w:name="_Toc79693634"/>
      <w:bookmarkStart w:id="1848" w:name="_Toc79693951"/>
      <w:bookmarkStart w:id="1849" w:name="_Toc79694269"/>
      <w:bookmarkStart w:id="1850" w:name="_Toc79694591"/>
      <w:bookmarkStart w:id="1851" w:name="_Toc79694903"/>
      <w:bookmarkStart w:id="1852" w:name="_Toc79695219"/>
      <w:bookmarkStart w:id="1853" w:name="_Toc79695535"/>
      <w:bookmarkStart w:id="1854" w:name="_Toc79695851"/>
      <w:bookmarkStart w:id="1855" w:name="_Toc79696167"/>
      <w:bookmarkStart w:id="1856" w:name="_Toc79696483"/>
      <w:bookmarkStart w:id="1857" w:name="_Toc79696804"/>
      <w:bookmarkStart w:id="1858" w:name="_Toc79697136"/>
      <w:bookmarkStart w:id="1859" w:name="_Toc79697465"/>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r w:rsidR="00BE692E">
        <w:br/>
      </w:r>
    </w:p>
    <w:p w14:paraId="117078D5" w14:textId="37929103"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r w:rsidR="007602DD" w:rsidRPr="007A5BBC">
        <w:rPr>
          <w:rFonts w:ascii="Times New Roman" w:hAnsi="Times New Roman"/>
          <w:szCs w:val="24"/>
        </w:rPr>
        <w:t>11 U.S.C. § 522(b)(1)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49A574C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r w:rsidR="007602DD" w:rsidRPr="007A5BBC">
        <w:rPr>
          <w:rFonts w:ascii="Times New Roman" w:hAnsi="Times New Roman"/>
          <w:szCs w:val="24"/>
        </w:rPr>
        <w:t xml:space="preserve">11 U.S.C. § 522(b)(1),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065C6">
        <w:rPr>
          <w:rFonts w:ascii="Times New Roman" w:hAnsi="Times New Roman"/>
          <w:i/>
          <w:iCs/>
          <w:szCs w:val="24"/>
        </w:rPr>
        <w:t xml:space="preserve">See </w:t>
      </w:r>
      <w:r w:rsidR="001365B3" w:rsidRPr="007A5BBC">
        <w:rPr>
          <w:rFonts w:ascii="Times New Roman" w:hAnsi="Times New Roman"/>
          <w:szCs w:val="24"/>
        </w:rPr>
        <w:t xml:space="preserve">11 U.S.C. </w:t>
      </w:r>
      <w:r w:rsidR="00861133" w:rsidRPr="007A5BBC">
        <w:rPr>
          <w:rFonts w:ascii="Times New Roman" w:hAnsi="Times New Roman"/>
          <w:szCs w:val="24"/>
        </w:rPr>
        <w:t>§ 541(a)(6)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2A0BD985"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There are two separate exemption schemes recognized in bankruptcy: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section 522(d)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7751585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11 U.S.C. </w:t>
      </w:r>
      <w:r w:rsidR="00737D5A" w:rsidRPr="007A5BBC">
        <w:rPr>
          <w:rFonts w:ascii="Times New Roman" w:hAnsi="Times New Roman"/>
          <w:szCs w:val="24"/>
        </w:rPr>
        <w:t xml:space="preserve">§ </w:t>
      </w:r>
      <w:r w:rsidRPr="007A5BBC">
        <w:rPr>
          <w:rFonts w:ascii="Times New Roman" w:hAnsi="Times New Roman"/>
          <w:szCs w:val="24"/>
        </w:rPr>
        <w:t>522(b)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In order to discourage debtors from moving between states in an attempt 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1B3D5C2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r w:rsidRPr="007A5BBC">
        <w:rPr>
          <w:rFonts w:ascii="Times New Roman" w:hAnsi="Times New Roman"/>
          <w:szCs w:val="24"/>
        </w:rPr>
        <w:t>11 U.S.C. § 522(b)(3)(A)</w:t>
      </w:r>
      <w:r w:rsidR="006B434F" w:rsidRPr="007A5BBC">
        <w:rPr>
          <w:rFonts w:ascii="Times New Roman" w:hAnsi="Times New Roman"/>
          <w:szCs w:val="24"/>
        </w:rPr>
        <w:t>.</w:t>
      </w:r>
    </w:p>
    <w:p w14:paraId="412EF32C" w14:textId="41129569" w:rsidR="00214B9D"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00FAB903" w14:textId="77777777" w:rsidR="00BE692E" w:rsidRPr="007A5BBC" w:rsidRDefault="00BE692E" w:rsidP="00816126">
      <w:pPr>
        <w:ind w:firstLine="720"/>
        <w:jc w:val="both"/>
        <w:rPr>
          <w:rFonts w:ascii="Times New Roman" w:hAnsi="Times New Roman"/>
          <w:szCs w:val="24"/>
        </w:rPr>
      </w:pPr>
    </w:p>
    <w:p w14:paraId="5648619E" w14:textId="57B0DBD3" w:rsidR="003E43A7" w:rsidRPr="007A5BBC" w:rsidRDefault="000F5128" w:rsidP="00BE692E">
      <w:pPr>
        <w:pStyle w:val="Heading2"/>
        <w:spacing w:line="240" w:lineRule="auto"/>
      </w:pPr>
      <w:bookmarkStart w:id="1860" w:name="_Toc417380797"/>
      <w:bookmarkStart w:id="1861" w:name="_Toc79699137"/>
      <w:bookmarkStart w:id="1862" w:name="_Toc79699463"/>
      <w:bookmarkStart w:id="1863" w:name="_Toc79699801"/>
      <w:bookmarkStart w:id="1864" w:name="_Toc79700121"/>
      <w:bookmarkStart w:id="1865" w:name="_Toc79700443"/>
      <w:bookmarkStart w:id="1866" w:name="_Toc87039221"/>
      <w:bookmarkStart w:id="1867" w:name="_Toc90983617"/>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Start w:id="1868" w:name="_Toc79692995"/>
      <w:bookmarkStart w:id="1869" w:name="_Toc79693315"/>
      <w:bookmarkStart w:id="1870" w:name="_Toc79693635"/>
      <w:bookmarkStart w:id="1871" w:name="_Toc79693952"/>
      <w:bookmarkStart w:id="1872" w:name="_Toc79694592"/>
      <w:bookmarkStart w:id="1873" w:name="_Toc79695220"/>
      <w:bookmarkStart w:id="1874" w:name="_Toc79697466"/>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r w:rsidR="00034B53">
        <w:t xml:space="preserve"> </w:t>
      </w:r>
      <w:r w:rsidR="00BE692E">
        <w:br/>
      </w:r>
    </w:p>
    <w:p w14:paraId="412EF32E" w14:textId="01A3F6F5"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Read 11 U.S.C. § 522(b)(3)(A), and an</w:t>
      </w:r>
      <w:r w:rsidR="001B505C" w:rsidRPr="007A5BBC">
        <w:rPr>
          <w:rFonts w:ascii="Times New Roman" w:hAnsi="Times New Roman"/>
          <w:szCs w:val="24"/>
        </w:rPr>
        <w:t>swer the following questions:</w:t>
      </w:r>
    </w:p>
    <w:p w14:paraId="315260B2" w14:textId="246CB4A1" w:rsidR="008B4047" w:rsidRPr="00FA278F" w:rsidRDefault="00FA278F" w:rsidP="00FA278F">
      <w:pPr>
        <w:ind w:firstLine="720"/>
        <w:jc w:val="both"/>
        <w:rPr>
          <w:rFonts w:ascii="Times New Roman" w:hAnsi="Times New Roman"/>
          <w:szCs w:val="24"/>
        </w:rPr>
      </w:pPr>
      <w:r w:rsidRPr="00FA278F">
        <w:rPr>
          <w:rFonts w:ascii="Times New Roman" w:hAnsi="Times New Roman"/>
          <w:b/>
          <w:szCs w:val="24"/>
        </w:rPr>
        <w:t>Problem 1</w:t>
      </w:r>
      <w:r w:rsidR="00BE692E">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2384F327" w:rsidR="00214B9D" w:rsidRDefault="00FA278F" w:rsidP="00FA278F">
      <w:pPr>
        <w:ind w:firstLine="540"/>
        <w:jc w:val="both"/>
        <w:rPr>
          <w:rFonts w:ascii="Times New Roman" w:hAnsi="Times New Roman"/>
          <w:szCs w:val="24"/>
        </w:rPr>
      </w:pPr>
      <w:r w:rsidRPr="00FA278F">
        <w:rPr>
          <w:rFonts w:ascii="Times New Roman" w:hAnsi="Times New Roman"/>
          <w:b/>
          <w:szCs w:val="24"/>
        </w:rPr>
        <w:t>Problem 2</w:t>
      </w:r>
      <w:r w:rsidR="00BE692E">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 xml:space="preserve">ebtor in Problem </w:t>
      </w:r>
      <w:r w:rsidR="001A5F10">
        <w:rPr>
          <w:rFonts w:ascii="Times New Roman" w:hAnsi="Times New Roman"/>
          <w:szCs w:val="24"/>
        </w:rPr>
        <w:t>(</w:t>
      </w:r>
      <w:r w:rsidR="00214B9D" w:rsidRPr="00FA278F">
        <w:rPr>
          <w:rFonts w:ascii="Times New Roman" w:hAnsi="Times New Roman"/>
          <w:szCs w:val="24"/>
        </w:rPr>
        <w:t>1</w:t>
      </w:r>
      <w:r w:rsidR="001A5F10">
        <w:rPr>
          <w:rFonts w:ascii="Times New Roman" w:hAnsi="Times New Roman"/>
          <w:szCs w:val="24"/>
        </w:rPr>
        <w:t>)</w:t>
      </w:r>
      <w:r w:rsidR="00214B9D" w:rsidRPr="00FA278F">
        <w:rPr>
          <w:rFonts w:ascii="Times New Roman" w:hAnsi="Times New Roman"/>
          <w:szCs w:val="24"/>
        </w:rPr>
        <w:t>,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ebtor wants to use Florida’s exemptions (rather than Georgia’s or North Dakota’s), what is the shortest amount of time he should wait after moving to North Dakota before filing his bankruptcy petition</w:t>
      </w:r>
      <w:r w:rsidR="00083725" w:rsidRPr="00FA278F">
        <w:rPr>
          <w:rFonts w:ascii="Times New Roman" w:hAnsi="Times New Roman"/>
          <w:szCs w:val="24"/>
        </w:rPr>
        <w:t xml:space="preserve">? </w:t>
      </w:r>
    </w:p>
    <w:p w14:paraId="0E2A182F" w14:textId="77777777" w:rsidR="00BE692E" w:rsidRPr="00FA278F" w:rsidRDefault="00BE692E" w:rsidP="00FA278F">
      <w:pPr>
        <w:ind w:firstLine="540"/>
        <w:jc w:val="both"/>
        <w:rPr>
          <w:rFonts w:ascii="Times New Roman" w:hAnsi="Times New Roman"/>
          <w:szCs w:val="24"/>
        </w:rPr>
      </w:pPr>
    </w:p>
    <w:p w14:paraId="412EF332" w14:textId="3AEE663F" w:rsidR="00214B9D" w:rsidRPr="007A5BBC" w:rsidRDefault="00214B9D" w:rsidP="00BE692E">
      <w:pPr>
        <w:pStyle w:val="Heading2"/>
        <w:spacing w:line="240" w:lineRule="auto"/>
      </w:pPr>
      <w:bookmarkStart w:id="1875" w:name="_Toc417380798"/>
      <w:bookmarkStart w:id="1876" w:name="_Toc79699138"/>
      <w:bookmarkStart w:id="1877" w:name="_Toc79699464"/>
      <w:bookmarkStart w:id="1878" w:name="_Toc79699802"/>
      <w:bookmarkStart w:id="1879" w:name="_Toc79700122"/>
      <w:bookmarkStart w:id="1880" w:name="_Toc79700444"/>
      <w:bookmarkStart w:id="1881" w:name="_Toc87039222"/>
      <w:bookmarkStart w:id="1882" w:name="_Toc90983618"/>
      <w:r w:rsidRPr="007A5BBC">
        <w:t>Electing the State or Federal Exemption Scheme</w:t>
      </w:r>
      <w:bookmarkStart w:id="1883" w:name="_Toc79692996"/>
      <w:bookmarkStart w:id="1884" w:name="_Toc79693316"/>
      <w:bookmarkStart w:id="1885" w:name="_Toc79693636"/>
      <w:bookmarkStart w:id="1886" w:name="_Toc79693953"/>
      <w:bookmarkStart w:id="1887" w:name="_Toc79694593"/>
      <w:bookmarkStart w:id="1888" w:name="_Toc79695221"/>
      <w:bookmarkStart w:id="1889" w:name="_Toc79697467"/>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r w:rsidR="00BE692E">
        <w:br/>
      </w:r>
    </w:p>
    <w:p w14:paraId="412EF333" w14:textId="4FDED335"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r w:rsidR="00214B9D" w:rsidRPr="007A5BBC">
        <w:rPr>
          <w:rFonts w:ascii="Times New Roman" w:hAnsi="Times New Roman"/>
          <w:szCs w:val="24"/>
        </w:rPr>
        <w:t>11 U.S.C. § 522(b)(1)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3A486C1"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exemptions do not protect against 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520C95AC"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The federal bankruptcy exemptions are set forth in 11 U.S.C. § 522(d)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exemptions rather than the state exemptions because of the so-called “wild card,” 11 U.S.C. 522(d)(5),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54F1376C"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r w:rsidRPr="007A5BBC">
        <w:rPr>
          <w:rFonts w:ascii="Times New Roman" w:hAnsi="Times New Roman"/>
          <w:szCs w:val="24"/>
        </w:rPr>
        <w:t>11 U.S.C. § 522(c)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3B2FDE">
        <w:rPr>
          <w:rFonts w:ascii="Times New Roman" w:hAnsi="Times New Roman"/>
          <w:szCs w:val="24"/>
        </w:rPr>
        <w:t>5.7</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r w:rsidR="00876320">
        <w:rPr>
          <w:rFonts w:ascii="Times New Roman" w:hAnsi="Times New Roman"/>
          <w:szCs w:val="24"/>
        </w:rPr>
        <w:t>11 U.S.C. § 522(f)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5C91C0C7"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r w:rsidR="001163DD" w:rsidRPr="007A5BBC">
        <w:rPr>
          <w:rFonts w:ascii="Times New Roman" w:hAnsi="Times New Roman"/>
          <w:szCs w:val="24"/>
        </w:rPr>
        <w:t>11 U.S.C. § 522(a)(2)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57B296A6"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1"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102"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4F5A5464"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50 under 11 U.S.C. § 522(d)(4)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1CBAC541" w:rsidR="00214B9D" w:rsidRDefault="001163DD" w:rsidP="00816126">
      <w:pPr>
        <w:ind w:firstLine="720"/>
        <w:jc w:val="both"/>
        <w:rPr>
          <w:rFonts w:ascii="Times New Roman" w:hAnsi="Times New Roman"/>
          <w:szCs w:val="24"/>
        </w:rPr>
      </w:pPr>
      <w:r w:rsidRPr="007A5BBC">
        <w:rPr>
          <w:rFonts w:ascii="Times New Roman" w:hAnsi="Times New Roman"/>
          <w:szCs w:val="24"/>
        </w:rPr>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42E0F20" w14:textId="77777777" w:rsidR="00BE692E" w:rsidRPr="007A5BBC" w:rsidRDefault="00BE692E" w:rsidP="00816126">
      <w:pPr>
        <w:ind w:firstLine="720"/>
        <w:jc w:val="both"/>
        <w:rPr>
          <w:rFonts w:ascii="Times New Roman" w:hAnsi="Times New Roman"/>
          <w:szCs w:val="24"/>
        </w:rPr>
      </w:pPr>
    </w:p>
    <w:p w14:paraId="412EF33A" w14:textId="324AED59" w:rsidR="00CC60D0" w:rsidRPr="007A5BBC" w:rsidRDefault="00767070" w:rsidP="00BE692E">
      <w:pPr>
        <w:pStyle w:val="Heading2"/>
        <w:spacing w:line="240" w:lineRule="auto"/>
      </w:pPr>
      <w:bookmarkStart w:id="1890" w:name="_Toc417380799"/>
      <w:bookmarkStart w:id="1891" w:name="_Toc79699139"/>
      <w:bookmarkStart w:id="1892" w:name="_Toc79699465"/>
      <w:bookmarkStart w:id="1893" w:name="_Toc79699803"/>
      <w:bookmarkStart w:id="1894" w:name="_Toc79700123"/>
      <w:bookmarkStart w:id="1895" w:name="_Toc79700445"/>
      <w:bookmarkStart w:id="1896" w:name="_Toc87039223"/>
      <w:bookmarkStart w:id="1897" w:name="_Toc90983619"/>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1890"/>
      <w:bookmarkEnd w:id="1891"/>
      <w:bookmarkEnd w:id="1892"/>
      <w:bookmarkEnd w:id="1893"/>
      <w:bookmarkEnd w:id="1894"/>
      <w:bookmarkEnd w:id="1895"/>
      <w:bookmarkEnd w:id="1896"/>
      <w:bookmarkEnd w:id="1897"/>
      <w:r w:rsidR="005F6A8B">
        <w:t xml:space="preserve"> </w:t>
      </w:r>
      <w:bookmarkStart w:id="1898" w:name="_Toc79692997"/>
      <w:bookmarkStart w:id="1899" w:name="_Toc79693317"/>
      <w:bookmarkStart w:id="1900" w:name="_Toc79693637"/>
      <w:bookmarkStart w:id="1901" w:name="_Toc79693954"/>
      <w:bookmarkStart w:id="1902" w:name="_Toc79694594"/>
      <w:bookmarkStart w:id="1903" w:name="_Toc79695222"/>
      <w:bookmarkStart w:id="1904" w:name="_Toc79697468"/>
      <w:bookmarkEnd w:id="1898"/>
      <w:bookmarkEnd w:id="1899"/>
      <w:bookmarkEnd w:id="1900"/>
      <w:bookmarkEnd w:id="1901"/>
      <w:bookmarkEnd w:id="1902"/>
      <w:bookmarkEnd w:id="1903"/>
      <w:bookmarkEnd w:id="1904"/>
      <w:r w:rsidR="00BE692E">
        <w:br/>
      </w:r>
    </w:p>
    <w:p w14:paraId="7A78F4AE" w14:textId="530C7A57" w:rsidR="004F3B92" w:rsidRPr="007A5BBC" w:rsidRDefault="00767070" w:rsidP="003A7198">
      <w:pPr>
        <w:pStyle w:val="0-NORMAL"/>
      </w:pPr>
      <w:bookmarkStart w:id="1905" w:name="_Toc417037734"/>
      <w:r w:rsidRPr="003A7198">
        <w:rPr>
          <w:b/>
        </w:rPr>
        <w:t>Problem 1</w:t>
      </w:r>
      <w:r w:rsidR="00BE692E">
        <w:t xml:space="preserve">. </w:t>
      </w:r>
      <w:r w:rsidR="00214B9D" w:rsidRPr="007A5BBC">
        <w:t>Debtors (husband and wife filing jointly) own the following property</w:t>
      </w:r>
      <w:r w:rsidR="005F6A8B">
        <w:t xml:space="preserve">. </w:t>
      </w:r>
      <w:r w:rsidR="00214B9D" w:rsidRPr="007A5BBC">
        <w:t>What can be exempted under Section 522(d) of the Bankruptcy Code</w:t>
      </w:r>
      <w:bookmarkEnd w:id="1905"/>
      <w:r w:rsidR="00083725" w:rsidRPr="007A5BBC">
        <w:t xml:space="preserve">? </w:t>
      </w:r>
    </w:p>
    <w:p w14:paraId="46286D41" w14:textId="633848E3" w:rsidR="004F3B92" w:rsidRPr="0070734B" w:rsidRDefault="00214B9D" w:rsidP="007F3399">
      <w:pPr>
        <w:pStyle w:val="ListParagraph"/>
        <w:numPr>
          <w:ilvl w:val="1"/>
          <w:numId w:val="10"/>
        </w:numPr>
      </w:pPr>
      <w:r w:rsidRPr="0070734B">
        <w:t>The mobile home that the debtor</w:t>
      </w:r>
      <w:r w:rsidR="00F05588" w:rsidRPr="0070734B">
        <w:t xml:space="preserve">s live in </w:t>
      </w:r>
      <w:r w:rsidRPr="0070734B">
        <w:t>(</w:t>
      </w:r>
      <w:r w:rsidR="00F05588" w:rsidRPr="0070734B">
        <w:t>c</w:t>
      </w:r>
      <w:r w:rsidRPr="0070734B">
        <w:t>osting $30,0</w:t>
      </w:r>
      <w:r w:rsidR="00F05588" w:rsidRPr="0070734B">
        <w:t>00, but currently worth $6,000)</w:t>
      </w:r>
      <w:r w:rsidR="005F6A8B" w:rsidRPr="0070734B">
        <w:t xml:space="preserve">. </w:t>
      </w:r>
      <w:r w:rsidR="00F05588" w:rsidRPr="0070734B">
        <w:t xml:space="preserve">The mobile home sits </w:t>
      </w:r>
      <w:r w:rsidRPr="0070734B">
        <w:t>on a 100 acre farm worth $24,000;</w:t>
      </w:r>
    </w:p>
    <w:p w14:paraId="412EF33D" w14:textId="17F43207" w:rsidR="001B505C" w:rsidRPr="0070734B" w:rsidRDefault="00214B9D" w:rsidP="007F3399">
      <w:pPr>
        <w:pStyle w:val="ListParagraph"/>
        <w:numPr>
          <w:ilvl w:val="1"/>
          <w:numId w:val="10"/>
        </w:numPr>
      </w:pPr>
      <w:r w:rsidRPr="0070734B">
        <w:t>A John Deere tractor worth about $7,000;</w:t>
      </w:r>
    </w:p>
    <w:p w14:paraId="412EF33E" w14:textId="1F87EC30" w:rsidR="001B505C" w:rsidRPr="0070734B" w:rsidRDefault="00C56FA2" w:rsidP="007F3399">
      <w:pPr>
        <w:pStyle w:val="ListParagraph"/>
        <w:numPr>
          <w:ilvl w:val="1"/>
          <w:numId w:val="10"/>
        </w:numPr>
      </w:pPr>
      <w:r w:rsidRPr="0070734B">
        <w:t>Furniture (couch, chairs, beds</w:t>
      </w:r>
      <w:r w:rsidR="00214B9D" w:rsidRPr="0070734B">
        <w:t>, dressers and the like) costing $4,000, but currently worth ver</w:t>
      </w:r>
      <w:r w:rsidR="002F2C49" w:rsidRPr="0070734B">
        <w:t>y little, maybe $500</w:t>
      </w:r>
      <w:r w:rsidR="005F6A8B" w:rsidRPr="0070734B">
        <w:t xml:space="preserve">. </w:t>
      </w:r>
      <w:r w:rsidR="002F2C49" w:rsidRPr="0070734B">
        <w:t>But the d</w:t>
      </w:r>
      <w:r w:rsidR="00214B9D" w:rsidRPr="0070734B">
        <w:t>ebtors also own a 200 year old antique dining table inherited years ago from the husband’s grandmother worth $3,000;</w:t>
      </w:r>
    </w:p>
    <w:p w14:paraId="412EF33F" w14:textId="77777777" w:rsidR="001B505C" w:rsidRPr="0070734B" w:rsidRDefault="00214B9D" w:rsidP="007F3399">
      <w:pPr>
        <w:pStyle w:val="ListParagraph"/>
        <w:numPr>
          <w:ilvl w:val="1"/>
          <w:numId w:val="10"/>
        </w:numPr>
      </w:pPr>
      <w:r w:rsidRPr="0070734B">
        <w:t>Clothing costing $800, worth very little;</w:t>
      </w:r>
    </w:p>
    <w:p w14:paraId="412EF340" w14:textId="65731438" w:rsidR="001B505C" w:rsidRPr="0070734B" w:rsidRDefault="002F2C49" w:rsidP="007F3399">
      <w:pPr>
        <w:pStyle w:val="ListParagraph"/>
        <w:numPr>
          <w:ilvl w:val="1"/>
          <w:numId w:val="10"/>
        </w:numPr>
      </w:pPr>
      <w:r w:rsidRPr="0070734B">
        <w:t>The d</w:t>
      </w:r>
      <w:r w:rsidR="00214B9D" w:rsidRPr="0070734B">
        <w:t>ebtors’ champion Siamese show cat purchased as a kitten for $1,000 now worth $2,500;</w:t>
      </w:r>
    </w:p>
    <w:p w14:paraId="412EF341" w14:textId="7CFB772D" w:rsidR="001B505C" w:rsidRPr="0070734B" w:rsidRDefault="00214B9D" w:rsidP="007F3399">
      <w:pPr>
        <w:pStyle w:val="ListParagraph"/>
        <w:numPr>
          <w:ilvl w:val="1"/>
          <w:numId w:val="10"/>
        </w:numPr>
      </w:pPr>
      <w:r w:rsidRPr="0070734B">
        <w:t>The wife’s diamond wedding ring, costing $3,000, and having an appraised insurance value of $2,800</w:t>
      </w:r>
      <w:r w:rsidR="005F6A8B" w:rsidRPr="0070734B">
        <w:t xml:space="preserve">. </w:t>
      </w:r>
      <w:r w:rsidRPr="0070734B">
        <w:t>Debtors took the ring to a local jewelry store/pawn shop, and w</w:t>
      </w:r>
      <w:r w:rsidR="007559BB">
        <w:t>ere</w:t>
      </w:r>
      <w:r w:rsidRPr="0070734B">
        <w:t xml:space="preserve"> offered only $400 for the ring.</w:t>
      </w:r>
    </w:p>
    <w:p w14:paraId="412EF342" w14:textId="27149D96" w:rsidR="001B505C" w:rsidRPr="0070734B" w:rsidRDefault="00214B9D" w:rsidP="007F3399">
      <w:pPr>
        <w:pStyle w:val="ListParagraph"/>
        <w:numPr>
          <w:ilvl w:val="1"/>
          <w:numId w:val="10"/>
        </w:numPr>
      </w:pPr>
      <w:r w:rsidRPr="0070734B">
        <w:t>$5,400 in the debtor’s che</w:t>
      </w:r>
      <w:r w:rsidR="002F2C49" w:rsidRPr="0070734B">
        <w:t>cking account, and $300 in the d</w:t>
      </w:r>
      <w:r w:rsidRPr="0070734B">
        <w:t>ebtor’s cash jar.</w:t>
      </w:r>
    </w:p>
    <w:p w14:paraId="412EF343" w14:textId="77777777" w:rsidR="001B505C" w:rsidRPr="0070734B" w:rsidRDefault="00214B9D" w:rsidP="007F3399">
      <w:pPr>
        <w:pStyle w:val="ListParagraph"/>
        <w:numPr>
          <w:ilvl w:val="1"/>
          <w:numId w:val="10"/>
        </w:numPr>
      </w:pPr>
      <w:r w:rsidRPr="0070734B">
        <w:t>Debtor’s farming tools costing $7,000 and havin</w:t>
      </w:r>
      <w:r w:rsidR="001B505C" w:rsidRPr="0070734B">
        <w:t>g a liquidation value of $500;</w:t>
      </w:r>
    </w:p>
    <w:p w14:paraId="4CC97E8F" w14:textId="0E952AC0" w:rsidR="00816126" w:rsidRPr="0070734B" w:rsidRDefault="00214B9D" w:rsidP="007F3399">
      <w:pPr>
        <w:pStyle w:val="ListParagraph"/>
        <w:numPr>
          <w:ilvl w:val="1"/>
          <w:numId w:val="10"/>
        </w:numPr>
      </w:pPr>
      <w:r w:rsidRPr="0070734B">
        <w:t>Two 50 inch plasma flat screen TVs, one in the living room and one in the bedroom</w:t>
      </w:r>
      <w:r w:rsidR="005F6A8B" w:rsidRPr="0070734B">
        <w:t xml:space="preserve">. </w:t>
      </w:r>
      <w:r w:rsidRPr="0070734B">
        <w:t>Each cost $3,000 new, but the current liquidation value is $400 each</w:t>
      </w:r>
      <w:r w:rsidR="005F6A8B" w:rsidRPr="0070734B">
        <w:t xml:space="preserve">. </w:t>
      </w:r>
      <w:r w:rsidRPr="007065C6">
        <w:rPr>
          <w:i/>
          <w:iCs/>
        </w:rPr>
        <w:t xml:space="preserve">See </w:t>
      </w:r>
      <w:r w:rsidRPr="0070734B">
        <w:t>11 U.S.C. § 522(f)(4)(A).</w:t>
      </w:r>
    </w:p>
    <w:p w14:paraId="412EF345" w14:textId="3CAAF824" w:rsidR="00214B9D" w:rsidRPr="0070734B" w:rsidRDefault="002F2C49" w:rsidP="007F3399">
      <w:pPr>
        <w:pStyle w:val="ListParagraph"/>
        <w:numPr>
          <w:ilvl w:val="1"/>
          <w:numId w:val="10"/>
        </w:numPr>
      </w:pPr>
      <w:r w:rsidRPr="0070734B">
        <w:t>$250,000 in the d</w:t>
      </w:r>
      <w:r w:rsidR="00214B9D" w:rsidRPr="0070734B">
        <w:t>ebtor wife’s retirement account at work.</w:t>
      </w:r>
    </w:p>
    <w:p w14:paraId="35ABA7A2" w14:textId="5A69071C" w:rsidR="00767070" w:rsidRPr="00767070" w:rsidRDefault="00767070" w:rsidP="003A7198">
      <w:pPr>
        <w:pStyle w:val="0-NORMAL"/>
      </w:pPr>
      <w:bookmarkStart w:id="1906" w:name="_Toc417037735"/>
      <w:r w:rsidRPr="00D87C6F">
        <w:rPr>
          <w:b/>
        </w:rPr>
        <w:t>Problem 2</w:t>
      </w:r>
      <w:r w:rsidR="00BE692E">
        <w:t xml:space="preserve">. </w:t>
      </w:r>
      <w:r w:rsidR="00214B9D" w:rsidRPr="00767070">
        <w:t>If your client rolled over a $1,400,000 company retirement account (401(k)) into an IRA after losing her job, will her exemption be limited</w:t>
      </w:r>
      <w:r w:rsidR="00083725" w:rsidRPr="00767070">
        <w:t xml:space="preserve">? </w:t>
      </w:r>
      <w:r w:rsidR="00214B9D" w:rsidRPr="007065C6">
        <w:rPr>
          <w:i/>
          <w:iCs/>
        </w:rPr>
        <w:t xml:space="preserve">See </w:t>
      </w:r>
      <w:r w:rsidR="00214B9D" w:rsidRPr="00767070">
        <w:t>11 U.S.C. § 522(n).</w:t>
      </w:r>
      <w:bookmarkEnd w:id="1906"/>
    </w:p>
    <w:p w14:paraId="412EF347" w14:textId="41EC4AC8" w:rsidR="00214B9D" w:rsidRPr="007A5BBC" w:rsidRDefault="00767070" w:rsidP="003A7198">
      <w:pPr>
        <w:pStyle w:val="0-NORMAL"/>
      </w:pPr>
      <w:bookmarkStart w:id="1907" w:name="_Toc417037736"/>
      <w:r w:rsidRPr="00D87C6F">
        <w:rPr>
          <w:b/>
        </w:rPr>
        <w:t>Problem 3</w:t>
      </w:r>
      <w:r w:rsidR="00BE692E">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Can the debtor claim a homestead exemption on the New York home, and if so in what amount</w:t>
      </w:r>
      <w:bookmarkEnd w:id="1907"/>
      <w:r w:rsidR="004751D0">
        <w:t xml:space="preserve">? </w:t>
      </w:r>
    </w:p>
    <w:p w14:paraId="412EF348" w14:textId="79D25FDE" w:rsidR="00214B9D" w:rsidRDefault="00CC60D0" w:rsidP="00816126">
      <w:pPr>
        <w:ind w:left="1440"/>
        <w:jc w:val="both"/>
        <w:rPr>
          <w:rFonts w:ascii="Times New Roman" w:hAnsi="Times New Roman"/>
          <w:szCs w:val="24"/>
        </w:rPr>
      </w:pPr>
      <w:r w:rsidRPr="007A5BBC">
        <w:rPr>
          <w:rFonts w:ascii="Times New Roman" w:hAnsi="Times New Roman"/>
          <w:szCs w:val="24"/>
        </w:rPr>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3"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04"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05"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06"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07"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r w:rsidR="004659E6" w:rsidRPr="007065C6">
        <w:rPr>
          <w:rFonts w:ascii="Times New Roman" w:hAnsi="Times New Roman"/>
          <w:i/>
          <w:iCs/>
          <w:szCs w:val="24"/>
        </w:rPr>
        <w:t xml:space="preserve">See </w:t>
      </w:r>
      <w:r w:rsidR="004659E6">
        <w:rPr>
          <w:rFonts w:ascii="Times New Roman" w:hAnsi="Times New Roman"/>
          <w:szCs w:val="24"/>
        </w:rPr>
        <w:t>flush language following 11 U.S.C. § 522(b)(3).</w:t>
      </w:r>
    </w:p>
    <w:p w14:paraId="41B16A69" w14:textId="77777777" w:rsidR="00BE692E" w:rsidRPr="007A5BBC" w:rsidRDefault="00BE692E" w:rsidP="00816126">
      <w:pPr>
        <w:ind w:left="1440"/>
        <w:jc w:val="both"/>
        <w:rPr>
          <w:rFonts w:ascii="Times New Roman" w:hAnsi="Times New Roman"/>
          <w:szCs w:val="24"/>
        </w:rPr>
      </w:pPr>
    </w:p>
    <w:p w14:paraId="412EF34B" w14:textId="71E817EA" w:rsidR="00214B9D" w:rsidRPr="007A5BBC" w:rsidRDefault="00CC60D0" w:rsidP="00BE692E">
      <w:pPr>
        <w:pStyle w:val="Heading2"/>
        <w:spacing w:line="240" w:lineRule="auto"/>
      </w:pPr>
      <w:bookmarkStart w:id="1908" w:name="_Toc417380800"/>
      <w:bookmarkStart w:id="1909" w:name="_Toc79699140"/>
      <w:bookmarkStart w:id="1910" w:name="_Toc79699466"/>
      <w:bookmarkStart w:id="1911" w:name="_Toc79699804"/>
      <w:bookmarkStart w:id="1912" w:name="_Toc79700124"/>
      <w:bookmarkStart w:id="1913" w:name="_Toc79700446"/>
      <w:bookmarkStart w:id="1914" w:name="_Toc87039224"/>
      <w:bookmarkStart w:id="1915" w:name="_Toc90983620"/>
      <w:r w:rsidRPr="007A5BBC">
        <w:t>C</w:t>
      </w:r>
      <w:r w:rsidR="00646EC9">
        <w:t xml:space="preserve">ases on the </w:t>
      </w:r>
      <w:r w:rsidR="00487533" w:rsidRPr="007A5BBC">
        <w:t>Allowance of Exemptions</w:t>
      </w:r>
      <w:bookmarkStart w:id="1916" w:name="_Toc79692998"/>
      <w:bookmarkStart w:id="1917" w:name="_Toc79693318"/>
      <w:bookmarkStart w:id="1918" w:name="_Toc79693638"/>
      <w:bookmarkStart w:id="1919" w:name="_Toc79693955"/>
      <w:bookmarkStart w:id="1920" w:name="_Toc79694595"/>
      <w:bookmarkStart w:id="1921" w:name="_Toc79695223"/>
      <w:bookmarkStart w:id="1922" w:name="_Toc79697469"/>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00BE692E">
        <w:br/>
      </w:r>
    </w:p>
    <w:p w14:paraId="412EF34E" w14:textId="1206868C" w:rsidR="00214B9D" w:rsidRPr="00BE692E" w:rsidRDefault="007C1024" w:rsidP="00BE692E">
      <w:pPr>
        <w:pStyle w:val="Heading3"/>
        <w:rPr>
          <w:u w:val="single"/>
        </w:rPr>
      </w:pPr>
      <w:hyperlink r:id="rId108" w:history="1">
        <w:bookmarkStart w:id="1923" w:name="_Toc87039225"/>
        <w:bookmarkStart w:id="1924" w:name="_Toc90983621"/>
        <w:r w:rsidR="00214B9D" w:rsidRPr="00BE692E">
          <w:rPr>
            <w:rStyle w:val="Hyperlink"/>
          </w:rPr>
          <w:t>T</w:t>
        </w:r>
        <w:r w:rsidR="00767070" w:rsidRPr="00BE692E">
          <w:rPr>
            <w:rStyle w:val="Hyperlink"/>
          </w:rPr>
          <w:t xml:space="preserve">AYLOR v. FREELAND &amp; KOONZ, </w:t>
        </w:r>
        <w:r w:rsidR="00214B9D" w:rsidRPr="00BE692E">
          <w:rPr>
            <w:rStyle w:val="Hyperlink"/>
          </w:rPr>
          <w:t>503 U.S. 638 (1992)</w:t>
        </w:r>
        <w:bookmarkEnd w:id="1923"/>
        <w:bookmarkEnd w:id="1924"/>
      </w:hyperlink>
      <w:bookmarkStart w:id="1925" w:name="_Toc79692999"/>
      <w:bookmarkStart w:id="1926" w:name="_Toc79693319"/>
      <w:bookmarkStart w:id="1927" w:name="_Toc79693639"/>
      <w:bookmarkStart w:id="1928" w:name="_Toc79693956"/>
      <w:bookmarkStart w:id="1929" w:name="_Toc79694274"/>
      <w:bookmarkStart w:id="1930" w:name="_Toc79694596"/>
      <w:bookmarkStart w:id="1931" w:name="_Toc79694908"/>
      <w:bookmarkStart w:id="1932" w:name="_Toc79695224"/>
      <w:bookmarkStart w:id="1933" w:name="_Toc79695540"/>
      <w:bookmarkStart w:id="1934" w:name="_Toc79695856"/>
      <w:bookmarkStart w:id="1935" w:name="_Toc79696172"/>
      <w:bookmarkStart w:id="1936" w:name="_Toc79696488"/>
      <w:bookmarkStart w:id="1937" w:name="_Toc79696809"/>
      <w:bookmarkStart w:id="1938" w:name="_Toc79697141"/>
      <w:bookmarkStart w:id="1939" w:name="_Toc79697470"/>
      <w:bookmarkStart w:id="1940" w:name="_Toc79699141"/>
      <w:bookmarkStart w:id="1941" w:name="_Toc79699467"/>
      <w:bookmarkStart w:id="1942" w:name="_Toc79699805"/>
      <w:bookmarkStart w:id="1943" w:name="_Toc79700125"/>
      <w:bookmarkStart w:id="1944" w:name="_Toc79700447"/>
      <w:bookmarkStart w:id="1945" w:name="_Toc79700769"/>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00BE692E" w:rsidRPr="00BE692E">
        <w:rPr>
          <w:rStyle w:val="Hyperlink"/>
        </w:rPr>
        <w:br/>
      </w:r>
    </w:p>
    <w:p w14:paraId="412EF34F" w14:textId="6614B69D" w:rsidR="00214B9D" w:rsidRPr="007A5BBC" w:rsidRDefault="00743D88" w:rsidP="00743D88">
      <w:pPr>
        <w:ind w:left="288" w:firstLine="432"/>
        <w:jc w:val="both"/>
        <w:rPr>
          <w:rFonts w:ascii="Times New Roman" w:hAnsi="Times New Roman"/>
          <w:szCs w:val="24"/>
        </w:rPr>
      </w:pPr>
      <w:r w:rsidRPr="007A5BBC">
        <w:rPr>
          <w:rFonts w:ascii="Times New Roman" w:hAnsi="Times New Roman"/>
          <w:szCs w:val="24"/>
        </w:rPr>
        <w:t xml:space="preserve">JUSTICE THOMAS </w:t>
      </w:r>
      <w:r w:rsidR="00214B9D" w:rsidRPr="007A5BBC">
        <w:rPr>
          <w:rFonts w:ascii="Times New Roman" w:hAnsi="Times New Roman"/>
          <w:szCs w:val="24"/>
        </w:rPr>
        <w:t>delivered the opinion of the Court.</w:t>
      </w:r>
    </w:p>
    <w:p w14:paraId="412EF35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Pr>
          <w:rFonts w:ascii="Times New Roman" w:hAnsi="Times New Roman"/>
          <w:color w:val="222222"/>
          <w:szCs w:val="24"/>
        </w:rPr>
        <w:t xml:space="preserve">. </w:t>
      </w:r>
      <w:r w:rsidRPr="007A5BBC">
        <w:rPr>
          <w:rFonts w:ascii="Times New Roman" w:hAnsi="Times New Roman"/>
          <w:color w:val="222222"/>
          <w:szCs w:val="24"/>
        </w:rPr>
        <w:t xml:space="preserve">In October 1984, Davis filed a Chapter 7 bankruptcy petition, and petitioner Robert J. Taylor, became the 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7A5BBC">
        <w:rPr>
          <w:rFonts w:ascii="Times New Roman" w:hAnsi="Times New Roman"/>
          <w:b/>
          <w:color w:val="222222"/>
          <w:szCs w:val="24"/>
        </w:rPr>
        <w:t>listed its value as "unknown</w:t>
      </w:r>
      <w:r w:rsidRPr="007A5BBC">
        <w:rPr>
          <w:rFonts w:ascii="Times New Roman" w:hAnsi="Times New Roman"/>
          <w:color w:val="222222"/>
          <w:szCs w:val="24"/>
        </w:rPr>
        <w:t xml:space="preserve">." </w:t>
      </w:r>
      <w:r w:rsidR="005D214A" w:rsidRPr="007A5BBC">
        <w:rPr>
          <w:rFonts w:ascii="Times New Roman" w:hAnsi="Times New Roman"/>
          <w:color w:val="222222"/>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[Bankruptcy Rule 4003(b)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parties agree that Davis did not have a right to exempt more than a small portion of these proceeds either under state law or under the federal exemptions specified in § 522(d). Davis in fact claimed the full amount as exempt. Taylor, as a result, apparently could have made a valid objection under § 522(l)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37EB0D12" w:rsidR="00816126"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Taylor suggests that our holding will create improper incentives. This concern, however, does not cause us to alter our interpretation of § 522(l)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11 </w:t>
      </w:r>
      <w:r w:rsidR="00B17D36">
        <w:rPr>
          <w:rFonts w:ascii="Times New Roman" w:hAnsi="Times New Roman"/>
          <w:color w:val="222222"/>
          <w:szCs w:val="24"/>
        </w:rPr>
        <w:t>U.S.C.</w:t>
      </w:r>
      <w:r w:rsidRPr="007A5BBC">
        <w:rPr>
          <w:rFonts w:ascii="Times New Roman" w:hAnsi="Times New Roman"/>
          <w:color w:val="222222"/>
          <w:szCs w:val="24"/>
        </w:rPr>
        <w:t xml:space="preserve"> § 727(a)(4)(B)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 522(l) to exemptions claimed in good faith.</w:t>
      </w:r>
    </w:p>
    <w:p w14:paraId="4F613977" w14:textId="0FD48E42" w:rsidR="00763567" w:rsidRDefault="00763567" w:rsidP="003E43A7">
      <w:pPr>
        <w:ind w:firstLine="720"/>
        <w:jc w:val="both"/>
        <w:rPr>
          <w:rFonts w:ascii="Times New Roman" w:hAnsi="Times New Roman"/>
          <w:color w:val="222222"/>
          <w:szCs w:val="24"/>
        </w:rPr>
      </w:pPr>
    </w:p>
    <w:p w14:paraId="68623637" w14:textId="1AC6DDAF" w:rsidR="00763567" w:rsidRDefault="00763567" w:rsidP="003E43A7">
      <w:pPr>
        <w:ind w:firstLine="720"/>
        <w:jc w:val="both"/>
        <w:rPr>
          <w:rFonts w:ascii="Times New Roman" w:hAnsi="Times New Roman"/>
          <w:color w:val="222222"/>
          <w:szCs w:val="24"/>
        </w:rPr>
      </w:pPr>
    </w:p>
    <w:p w14:paraId="5A334629" w14:textId="77777777" w:rsidR="00763567" w:rsidRPr="007A5BBC" w:rsidRDefault="00763567" w:rsidP="003E43A7">
      <w:pPr>
        <w:ind w:firstLine="720"/>
        <w:jc w:val="both"/>
        <w:rPr>
          <w:rFonts w:ascii="Times New Roman" w:hAnsi="Times New Roman"/>
          <w:color w:val="222222"/>
          <w:szCs w:val="24"/>
        </w:rPr>
      </w:pPr>
    </w:p>
    <w:bookmarkStart w:id="1946" w:name="_Toc87039226"/>
    <w:p w14:paraId="412EF35A" w14:textId="3338FBE7" w:rsidR="00214B9D" w:rsidRPr="002F0BAF" w:rsidRDefault="002F0BAF" w:rsidP="00D95675">
      <w:pPr>
        <w:pStyle w:val="Heading3"/>
        <w:rPr>
          <w:u w:val="single"/>
        </w:rPr>
      </w:pPr>
      <w:r w:rsidRPr="002F0BAF">
        <w:rPr>
          <w:u w:val="single"/>
        </w:rPr>
        <w:fldChar w:fldCharType="begin"/>
      </w:r>
      <w:r w:rsidRPr="002F0BAF">
        <w:rPr>
          <w:u w:val="single"/>
        </w:rPr>
        <w:instrText xml:space="preserve"> HYPERLINK "https://scholar.google.com/scholar_case?case=8855984429957170037&amp;q=SCHWAB+v.+REILLY,+30+S.+Ct.+2652&amp;hl=en&amp;as_sdt=6,33" </w:instrText>
      </w:r>
      <w:r w:rsidRPr="002F0BAF">
        <w:rPr>
          <w:u w:val="single"/>
        </w:rPr>
        <w:fldChar w:fldCharType="separate"/>
      </w:r>
      <w:bookmarkStart w:id="1947" w:name="_Toc90983622"/>
      <w:r w:rsidR="00214B9D" w:rsidRPr="002F0BAF">
        <w:rPr>
          <w:rStyle w:val="Hyperlink"/>
        </w:rPr>
        <w:t>S</w:t>
      </w:r>
      <w:r w:rsidR="00767070" w:rsidRPr="002F0BAF">
        <w:rPr>
          <w:rStyle w:val="Hyperlink"/>
        </w:rPr>
        <w:t>CHWAB v.</w:t>
      </w:r>
      <w:r w:rsidR="00100C91" w:rsidRPr="002F0BAF">
        <w:rPr>
          <w:rStyle w:val="Hyperlink"/>
        </w:rPr>
        <w:t xml:space="preserve"> </w:t>
      </w:r>
      <w:r w:rsidR="00767070" w:rsidRPr="002F0BAF">
        <w:rPr>
          <w:rStyle w:val="Hyperlink"/>
        </w:rPr>
        <w:t xml:space="preserve">REILLY, </w:t>
      </w:r>
      <w:r w:rsidR="00E738B2">
        <w:rPr>
          <w:rStyle w:val="Hyperlink"/>
        </w:rPr>
        <w:t xml:space="preserve">560 U.S. 770, </w:t>
      </w:r>
      <w:r w:rsidRPr="002F0BAF">
        <w:rPr>
          <w:rStyle w:val="Hyperlink"/>
        </w:rPr>
        <w:t>1</w:t>
      </w:r>
      <w:r w:rsidR="00214B9D" w:rsidRPr="002F0BAF">
        <w:rPr>
          <w:rStyle w:val="Hyperlink"/>
        </w:rPr>
        <w:t xml:space="preserve">30 </w:t>
      </w:r>
      <w:r w:rsidR="00B17D36" w:rsidRPr="002F0BAF">
        <w:rPr>
          <w:rStyle w:val="Hyperlink"/>
        </w:rPr>
        <w:t>S.Ct.</w:t>
      </w:r>
      <w:r w:rsidR="00214B9D" w:rsidRPr="002F0BAF">
        <w:rPr>
          <w:rStyle w:val="Hyperlink"/>
        </w:rPr>
        <w:t xml:space="preserve"> 2652 (2010)</w:t>
      </w:r>
      <w:bookmarkStart w:id="1948" w:name="_Toc79693000"/>
      <w:bookmarkStart w:id="1949" w:name="_Toc79693320"/>
      <w:bookmarkStart w:id="1950" w:name="_Toc79693640"/>
      <w:bookmarkStart w:id="1951" w:name="_Toc79693957"/>
      <w:bookmarkStart w:id="1952" w:name="_Toc79694275"/>
      <w:bookmarkStart w:id="1953" w:name="_Toc79694597"/>
      <w:bookmarkStart w:id="1954" w:name="_Toc79694909"/>
      <w:bookmarkStart w:id="1955" w:name="_Toc79695225"/>
      <w:bookmarkStart w:id="1956" w:name="_Toc79695541"/>
      <w:bookmarkStart w:id="1957" w:name="_Toc79695857"/>
      <w:bookmarkStart w:id="1958" w:name="_Toc79696173"/>
      <w:bookmarkStart w:id="1959" w:name="_Toc79696489"/>
      <w:bookmarkStart w:id="1960" w:name="_Toc79696810"/>
      <w:bookmarkStart w:id="1961" w:name="_Toc79697142"/>
      <w:bookmarkStart w:id="1962" w:name="_Toc79697471"/>
      <w:bookmarkStart w:id="1963" w:name="_Toc79699142"/>
      <w:bookmarkStart w:id="1964" w:name="_Toc79699468"/>
      <w:bookmarkStart w:id="1965" w:name="_Toc79699806"/>
      <w:bookmarkStart w:id="1966" w:name="_Toc79700126"/>
      <w:bookmarkStart w:id="1967" w:name="_Toc79700448"/>
      <w:bookmarkStart w:id="1968" w:name="_Toc79700770"/>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Pr="002F0BAF">
        <w:rPr>
          <w:u w:val="single"/>
        </w:rPr>
        <w:fldChar w:fldCharType="end"/>
      </w:r>
      <w:r w:rsidR="00BE692E" w:rsidRPr="002F0BAF">
        <w:rPr>
          <w:rStyle w:val="Hyperlink"/>
        </w:rPr>
        <w:br/>
      </w:r>
    </w:p>
    <w:p w14:paraId="412EF35B" w14:textId="18ECE18C" w:rsidR="00214B9D" w:rsidRPr="007A5BBC" w:rsidRDefault="00743D88" w:rsidP="00767070">
      <w:pPr>
        <w:ind w:firstLine="720"/>
        <w:jc w:val="both"/>
        <w:rPr>
          <w:rFonts w:ascii="Times New Roman" w:hAnsi="Times New Roman"/>
          <w:szCs w:val="24"/>
        </w:rPr>
      </w:pPr>
      <w:r w:rsidRPr="007A5BBC">
        <w:rPr>
          <w:rFonts w:ascii="Times New Roman" w:hAnsi="Times New Roman"/>
          <w:szCs w:val="24"/>
        </w:rPr>
        <w:t xml:space="preserve">JUSTICE </w:t>
      </w:r>
      <w:r w:rsidR="00214B9D" w:rsidRPr="007A5BBC">
        <w:rPr>
          <w:rFonts w:ascii="Times New Roman" w:hAnsi="Times New Roman"/>
          <w:szCs w:val="24"/>
        </w:rPr>
        <w:t>THOMAS delivered the opinion of the Court.</w:t>
      </w:r>
    </w:p>
    <w:p w14:paraId="412EF35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This case presents an opportunity for us to resolve a disagreement among the Courts of Appeals about what constitutes a claim of exemption to which an interested party must object under § 522(l).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On Schedule C, Reilly claimed two exempt interests in this equipment pursuant to different sections of the Code. Reilly claimed a "tool[s] of the trade" exemption of $1,850 in the equipment under § 522(d)(6), and she claimed a miscellaneous exemption of $8,868 in the equipment under § 522(d)(5),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12FD420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09"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 William G. Schwab, the trustee of Reilly's bankruptcy estate, did not object to Reilly's claimed exemptions in her business equipment because the dollar value Reilly assigned each exemption fell within the limits that §§ 522(d)(5)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16B4CBF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 522(l)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 522(b), does not define the "property claimed as exempt" by reference to the estimated market value on which Reilly and the Court of Appeals rely. Section 522(b) refers only to property defined in § 522(d),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Rule 4003,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the question concerned a trustee's obligation to object to the debtor's entry of a "value claimed exempt" that was not plainly within the limits the Code allows. In this case, the opposite is true. The amounts Reilly listed in the Schedule C column titled "Value of 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6B227F49"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r w:rsidR="00BE692E">
        <w:rPr>
          <w:rFonts w:ascii="Times New Roman" w:hAnsi="Times New Roman"/>
          <w:szCs w:val="24"/>
        </w:rPr>
        <w:br/>
      </w:r>
    </w:p>
    <w:p w14:paraId="412EF36C" w14:textId="54D97F0B" w:rsidR="00214B9D" w:rsidRPr="007A5BBC" w:rsidRDefault="00214B9D" w:rsidP="00C02ED3">
      <w:pPr>
        <w:pStyle w:val="Heading2"/>
      </w:pPr>
      <w:bookmarkStart w:id="1969" w:name="_Toc417380801"/>
      <w:bookmarkStart w:id="1970" w:name="_Toc79699143"/>
      <w:bookmarkStart w:id="1971" w:name="_Toc79699469"/>
      <w:bookmarkStart w:id="1972" w:name="_Toc79699807"/>
      <w:bookmarkStart w:id="1973" w:name="_Toc79700127"/>
      <w:bookmarkStart w:id="1974" w:name="_Toc79700449"/>
      <w:bookmarkStart w:id="1975" w:name="_Toc87039227"/>
      <w:bookmarkStart w:id="1976" w:name="_Toc90983623"/>
      <w:r w:rsidRPr="007A5BBC">
        <w:t>Exemption Planning</w:t>
      </w:r>
      <w:bookmarkStart w:id="1977" w:name="_Toc79693001"/>
      <w:bookmarkStart w:id="1978" w:name="_Toc79693321"/>
      <w:bookmarkStart w:id="1979" w:name="_Toc79693641"/>
      <w:bookmarkStart w:id="1980" w:name="_Toc79693958"/>
      <w:bookmarkStart w:id="1981" w:name="_Toc79694598"/>
      <w:bookmarkStart w:id="1982" w:name="_Toc79695226"/>
      <w:bookmarkStart w:id="1983" w:name="_Toc79697472"/>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14:paraId="412EF36D" w14:textId="005C441C"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and exempt the property</w:t>
      </w:r>
      <w:r w:rsidR="00083725" w:rsidRPr="007A5BBC">
        <w:rPr>
          <w:rFonts w:ascii="Times New Roman" w:hAnsi="Times New Roman"/>
          <w:szCs w:val="24"/>
        </w:rPr>
        <w:t xml:space="preserve">? </w:t>
      </w:r>
    </w:p>
    <w:p w14:paraId="412EF36E" w14:textId="0D2813F3"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If a debtor sells a homestead in one state and buys one in another state within a 10 year period prior to bankruptcy with the intention of hindering, delaying or defrauding creditors, the debtor’s increased exemption is disallowed</w:t>
      </w:r>
      <w:r w:rsidR="005F6A8B">
        <w:rPr>
          <w:rFonts w:ascii="Times New Roman" w:hAnsi="Times New Roman"/>
          <w:szCs w:val="24"/>
        </w:rPr>
        <w:t xml:space="preserve">. </w:t>
      </w:r>
      <w:r w:rsidRPr="007A5BBC">
        <w:rPr>
          <w:rFonts w:ascii="Times New Roman" w:hAnsi="Times New Roman"/>
          <w:szCs w:val="24"/>
        </w:rPr>
        <w:t>11 U.S.C. § 522(o)</w:t>
      </w:r>
      <w:r w:rsidR="005F6A8B">
        <w:rPr>
          <w:rFonts w:ascii="Times New Roman" w:hAnsi="Times New Roman"/>
          <w:szCs w:val="24"/>
        </w:rPr>
        <w:t xml:space="preserve">. </w:t>
      </w:r>
      <w:r w:rsidR="00972687" w:rsidRPr="007A5BBC">
        <w:rPr>
          <w:rFonts w:ascii="Times New Roman" w:hAnsi="Times New Roman"/>
          <w:szCs w:val="24"/>
        </w:rPr>
        <w:t>The disallowance in 522(o)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r w:rsidRPr="007A5BBC">
        <w:rPr>
          <w:rFonts w:ascii="Times New Roman" w:hAnsi="Times New Roman"/>
          <w:szCs w:val="24"/>
        </w:rPr>
        <w:t>11 U.S.C. § 522(p),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2FAAF630" w14:textId="77777777" w:rsidR="00BE692E"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as long as the debtor is careful not to trip one of the wires in Sections 522(o)-(q)</w:t>
      </w:r>
      <w:r w:rsidR="00083725" w:rsidRPr="007A5BBC">
        <w:rPr>
          <w:rFonts w:ascii="Times New Roman" w:hAnsi="Times New Roman"/>
          <w:szCs w:val="24"/>
        </w:rPr>
        <w:t xml:space="preserve">? </w:t>
      </w:r>
      <w:r w:rsidRPr="007A5BBC">
        <w:rPr>
          <w:rFonts w:ascii="Times New Roman" w:hAnsi="Times New Roman"/>
          <w:szCs w:val="24"/>
        </w:rPr>
        <w:t>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6F" w14:textId="1936C1D7" w:rsidR="00214B9D" w:rsidRPr="007A5BBC" w:rsidRDefault="00214B9D" w:rsidP="00816126">
      <w:pPr>
        <w:ind w:firstLine="720"/>
        <w:jc w:val="both"/>
        <w:rPr>
          <w:rFonts w:ascii="Times New Roman" w:hAnsi="Times New Roman"/>
          <w:szCs w:val="24"/>
        </w:rPr>
      </w:pPr>
    </w:p>
    <w:p w14:paraId="412EF372" w14:textId="27629EF5" w:rsidR="00487533" w:rsidRPr="007A5BBC" w:rsidRDefault="00CC60D0" w:rsidP="00BE692E">
      <w:pPr>
        <w:pStyle w:val="Heading2"/>
        <w:spacing w:line="240" w:lineRule="auto"/>
      </w:pPr>
      <w:bookmarkStart w:id="1984" w:name="_Toc417380802"/>
      <w:bookmarkStart w:id="1985" w:name="_Toc79699144"/>
      <w:bookmarkStart w:id="1986" w:name="_Toc79699470"/>
      <w:bookmarkStart w:id="1987" w:name="_Toc79699808"/>
      <w:bookmarkStart w:id="1988" w:name="_Toc79700128"/>
      <w:bookmarkStart w:id="1989" w:name="_Toc79700450"/>
      <w:bookmarkStart w:id="1990" w:name="_Toc87039228"/>
      <w:bookmarkStart w:id="1991" w:name="_Toc90983624"/>
      <w:r w:rsidRPr="007A5BBC">
        <w:t>C</w:t>
      </w:r>
      <w:r w:rsidR="00646EC9">
        <w:t xml:space="preserve">ases on </w:t>
      </w:r>
      <w:r w:rsidR="00487533" w:rsidRPr="007A5BBC">
        <w:t>Exemption Planning</w:t>
      </w:r>
      <w:bookmarkStart w:id="1992" w:name="_Toc79693002"/>
      <w:bookmarkStart w:id="1993" w:name="_Toc79693322"/>
      <w:bookmarkStart w:id="1994" w:name="_Toc79693642"/>
      <w:bookmarkStart w:id="1995" w:name="_Toc79693959"/>
      <w:bookmarkStart w:id="1996" w:name="_Toc79694599"/>
      <w:bookmarkStart w:id="1997" w:name="_Toc79695227"/>
      <w:bookmarkStart w:id="1998" w:name="_Toc7969747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r w:rsidR="00BE692E">
        <w:br/>
      </w:r>
    </w:p>
    <w:p w14:paraId="412EF374" w14:textId="1741AA12" w:rsidR="00214B9D" w:rsidRPr="00BE692E" w:rsidRDefault="007C1024" w:rsidP="00BE692E">
      <w:pPr>
        <w:pStyle w:val="Heading3"/>
        <w:rPr>
          <w:u w:val="single"/>
        </w:rPr>
      </w:pPr>
      <w:hyperlink r:id="rId110" w:history="1">
        <w:bookmarkStart w:id="1999" w:name="_Toc87039229"/>
        <w:bookmarkStart w:id="2000" w:name="_Toc90983625"/>
        <w:r w:rsidR="00214B9D" w:rsidRPr="00BE692E">
          <w:rPr>
            <w:rStyle w:val="Hyperlink"/>
          </w:rPr>
          <w:t>N</w:t>
        </w:r>
        <w:r w:rsidR="00767070" w:rsidRPr="00BE692E">
          <w:rPr>
            <w:rStyle w:val="Hyperlink"/>
          </w:rPr>
          <w:t xml:space="preserve">ORWEST BANK NEBRASKA v. OMAR A. TVETEN, </w:t>
        </w:r>
        <w:r w:rsidR="00214B9D" w:rsidRPr="00BE692E">
          <w:rPr>
            <w:rStyle w:val="Hyperlink"/>
          </w:rPr>
          <w:t>848 F.2d 871 (8th Cir. 1988)</w:t>
        </w:r>
        <w:bookmarkEnd w:id="1999"/>
        <w:bookmarkEnd w:id="2000"/>
      </w:hyperlink>
      <w:bookmarkStart w:id="2001" w:name="_Toc79693003"/>
      <w:bookmarkStart w:id="2002" w:name="_Toc79693323"/>
      <w:bookmarkStart w:id="2003" w:name="_Toc79693643"/>
      <w:bookmarkStart w:id="2004" w:name="_Toc79693960"/>
      <w:bookmarkStart w:id="2005" w:name="_Toc79694278"/>
      <w:bookmarkStart w:id="2006" w:name="_Toc79694600"/>
      <w:bookmarkStart w:id="2007" w:name="_Toc79694912"/>
      <w:bookmarkStart w:id="2008" w:name="_Toc79695228"/>
      <w:bookmarkStart w:id="2009" w:name="_Toc79695544"/>
      <w:bookmarkStart w:id="2010" w:name="_Toc79695860"/>
      <w:bookmarkStart w:id="2011" w:name="_Toc79696176"/>
      <w:bookmarkStart w:id="2012" w:name="_Toc79696492"/>
      <w:bookmarkStart w:id="2013" w:name="_Toc79696813"/>
      <w:bookmarkStart w:id="2014" w:name="_Toc79697145"/>
      <w:bookmarkStart w:id="2015" w:name="_Toc79697474"/>
      <w:bookmarkStart w:id="2016" w:name="_Toc79699145"/>
      <w:bookmarkStart w:id="2017" w:name="_Toc79699471"/>
      <w:bookmarkStart w:id="2018" w:name="_Toc79699809"/>
      <w:bookmarkStart w:id="2019" w:name="_Toc79700129"/>
      <w:bookmarkStart w:id="2020" w:name="_Toc79700451"/>
      <w:bookmarkStart w:id="2021" w:name="_Toc79700773"/>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r w:rsidR="00BE692E" w:rsidRPr="00BE692E">
        <w:rPr>
          <w:rStyle w:val="Hyperlink"/>
        </w:rPr>
        <w:br/>
      </w:r>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5C238D5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w:t>
      </w:r>
      <w:r w:rsidR="001D2102" w:rsidRPr="007A5BBC">
        <w:rPr>
          <w:rFonts w:ascii="Times New Roman" w:hAnsi="Times New Roman"/>
          <w:color w:val="222222"/>
          <w:szCs w:val="24"/>
        </w:rPr>
        <w:t>totaling</w:t>
      </w:r>
      <w:r w:rsidRPr="007A5BBC">
        <w:rPr>
          <w:rFonts w:ascii="Times New Roman" w:hAnsi="Times New Roman"/>
          <w:color w:val="222222"/>
          <w:szCs w:val="24"/>
        </w:rPr>
        <w:t xml:space="preserve">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association, which, under Minnesota law, cannot be attached by creditors. Tveten concedes that the purpose of these transfers was to shield his assets from creditors. Minnesota law provides that 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2C1905A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section 727(a) of this title if the case were a case under chapter 7 of this title." 11 U.S.C. § 1141(d)(3)(C)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bankruptcy court correctly found here, the issue in the instant case revolves around whether there was extrinsic evidence to demonstrate that Tveten transferred his property on the eve of bankruptcy with intent to defraud his creditors. The bankruptcy court's finding that there was such intent to defraud may be reversed by us only if clearly erroneous. </w:t>
      </w:r>
    </w:p>
    <w:p w14:paraId="412EF380" w14:textId="3FE4F07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2022"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(8th Cir.1926)]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2022"/>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4CE8C3F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11" w:history="1">
        <w:r w:rsidRPr="00A47FE8">
          <w:rPr>
            <w:rStyle w:val="Hyperlink"/>
            <w:rFonts w:ascii="Times New Roman" w:hAnsi="Times New Roman"/>
            <w:i/>
            <w:szCs w:val="24"/>
          </w:rPr>
          <w:t>Ford</w:t>
        </w:r>
        <w:r w:rsidR="00A47FE8" w:rsidRPr="00A47FE8">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3101E0E8"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12"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(5th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406C451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2023"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2023"/>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individual who knows he is insolvent to convert non-exempt property into exempt property, thereby placing the property out of the reach of creditors "because the statutes granting exemptions 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13"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14A308E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14"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(8th Cir.1988)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2024" w:name="OLE_LINK3"/>
      <w:bookmarkStart w:id="2025"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2024"/>
      <w:bookmarkEnd w:id="2025"/>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77777777" w:rsidR="00214B9D" w:rsidRPr="007A5BBC" w:rsidRDefault="00214B9D" w:rsidP="00816126">
      <w:pPr>
        <w:jc w:val="both"/>
        <w:rPr>
          <w:rFonts w:ascii="Times New Roman" w:hAnsi="Times New Roman"/>
          <w:szCs w:val="24"/>
        </w:rPr>
      </w:pPr>
      <w:r w:rsidRPr="007A5BBC">
        <w:rPr>
          <w:rFonts w:ascii="Times New Roman" w:hAnsi="Times New Roman"/>
          <w:b/>
          <w:szCs w:val="24"/>
        </w:rPr>
        <w:t>ARNOLD,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Dr. Tveten has never made any bones about what he is doing, or trying to do, in this case. He deliberately set out to convert as much property as possible into a form exempt from attachment 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0806A978"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763563">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2026" w:name="OLE_LINK5"/>
      <w:bookmarkStart w:id="2027"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15"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(8th Cir.1987)</w:t>
        </w:r>
      </w:hyperlink>
      <w:r w:rsidRPr="007A5BBC">
        <w:rPr>
          <w:rFonts w:ascii="Times New Roman" w:hAnsi="Times New Roman"/>
          <w:color w:val="222222"/>
          <w:szCs w:val="24"/>
        </w:rPr>
        <w:t xml:space="preserve">, or misled them in </w:t>
      </w:r>
      <w:bookmarkStart w:id="2028" w:name="OLE_LINK7"/>
      <w:bookmarkEnd w:id="2026"/>
      <w:bookmarkEnd w:id="2027"/>
      <w:r w:rsidRPr="007A5BBC">
        <w:rPr>
          <w:rFonts w:ascii="Times New Roman" w:hAnsi="Times New Roman"/>
          <w:color w:val="222222"/>
          <w:szCs w:val="24"/>
        </w:rPr>
        <w:t xml:space="preserve">some way, like the debtor in </w:t>
      </w:r>
      <w:hyperlink r:id="rId116"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(5th Cir.1983)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17"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(4th Cir.1985)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2028"/>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2029" w:name="OLE_LINK8"/>
      <w:bookmarkStart w:id="2030"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2029"/>
      <w:bookmarkEnd w:id="2030"/>
    </w:p>
    <w:p w14:paraId="412EF38E" w14:textId="02A0106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18"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(Bankr.D.N.M.1981)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2031" w:name="OLE_LINK10"/>
      <w:bookmarkStart w:id="2032" w:name="OLE_LINK11"/>
      <w:r w:rsidRPr="007A5BBC">
        <w:rPr>
          <w:rFonts w:ascii="Times New Roman" w:hAnsi="Times New Roman"/>
          <w:color w:val="222222"/>
          <w:szCs w:val="24"/>
        </w:rPr>
        <w:t xml:space="preserve">"`there is a principle of too much; phrased colloquially, when a pig becomes a hog it is slaughtered.'" </w:t>
      </w:r>
      <w:bookmarkEnd w:id="2031"/>
      <w:bookmarkEnd w:id="2032"/>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Where state law creates an unlimited exemption, the result may be that wealthy debtors like Tveten enjoy a windfall that appears unconscionable, and contrary to the policy of the bankruptcy law. I fully agree with Judge Kishel, however, that “[this] result ... cannot be laid at [the] Debtor's feet; it must be laid at the feet of the state legislature.”</w:t>
      </w:r>
    </w:p>
    <w:p w14:paraId="412EF391" w14:textId="31EFFA35" w:rsidR="00214B9D" w:rsidRDefault="00214B9D" w:rsidP="00816126">
      <w:pPr>
        <w:ind w:firstLine="720"/>
        <w:jc w:val="both"/>
        <w:rPr>
          <w:rFonts w:ascii="Times New Roman" w:hAnsi="Times New Roman"/>
          <w:szCs w:val="24"/>
        </w:rPr>
      </w:pPr>
      <w:r w:rsidRPr="007A5BBC">
        <w:rPr>
          <w:rFonts w:ascii="Times New Roman" w:hAnsi="Times New Roman"/>
          <w:color w:val="222222"/>
          <w:szCs w:val="24"/>
        </w:rPr>
        <w:t>I submit that Tveten did nothing more fraudulent than seek to take advantage of a state law of which the federal courts disapprove</w:t>
      </w:r>
      <w:r w:rsidRPr="007A5BBC">
        <w:rPr>
          <w:rFonts w:ascii="Times New Roman" w:hAnsi="Times New Roman"/>
          <w:szCs w:val="24"/>
        </w:rPr>
        <w:t>.</w:t>
      </w:r>
    </w:p>
    <w:p w14:paraId="5E5E8377" w14:textId="77777777" w:rsidR="000257D4" w:rsidRPr="007A5BBC" w:rsidRDefault="000257D4" w:rsidP="00816126">
      <w:pPr>
        <w:ind w:firstLine="720"/>
        <w:jc w:val="both"/>
        <w:rPr>
          <w:rFonts w:ascii="Times New Roman" w:hAnsi="Times New Roman"/>
          <w:szCs w:val="24"/>
        </w:rPr>
      </w:pPr>
    </w:p>
    <w:p w14:paraId="412EF393" w14:textId="2A6C31B4" w:rsidR="00214B9D" w:rsidRPr="007A5BBC" w:rsidRDefault="00487533" w:rsidP="00D95675">
      <w:pPr>
        <w:pStyle w:val="Heading3"/>
      </w:pPr>
      <w:bookmarkStart w:id="2033" w:name="_Toc417380803"/>
      <w:bookmarkStart w:id="2034" w:name="_Toc87039230"/>
      <w:bookmarkStart w:id="2035" w:name="_Toc90983626"/>
      <w:r w:rsidRPr="007A5BBC">
        <w:t xml:space="preserve">Notes on </w:t>
      </w:r>
      <w:r w:rsidRPr="007A5BBC">
        <w:rPr>
          <w:i/>
        </w:rPr>
        <w:t>Tveten</w:t>
      </w:r>
      <w:bookmarkStart w:id="2036" w:name="_Toc79693004"/>
      <w:bookmarkStart w:id="2037" w:name="_Toc79693324"/>
      <w:bookmarkStart w:id="2038" w:name="_Toc79693644"/>
      <w:bookmarkStart w:id="2039" w:name="_Toc79693961"/>
      <w:bookmarkStart w:id="2040" w:name="_Toc79694279"/>
      <w:bookmarkStart w:id="2041" w:name="_Toc79694601"/>
      <w:bookmarkStart w:id="2042" w:name="_Toc79694913"/>
      <w:bookmarkStart w:id="2043" w:name="_Toc79695229"/>
      <w:bookmarkStart w:id="2044" w:name="_Toc79695545"/>
      <w:bookmarkStart w:id="2045" w:name="_Toc79695861"/>
      <w:bookmarkStart w:id="2046" w:name="_Toc79696177"/>
      <w:bookmarkStart w:id="2047" w:name="_Toc79696493"/>
      <w:bookmarkStart w:id="2048" w:name="_Toc79696814"/>
      <w:bookmarkStart w:id="2049" w:name="_Toc79697146"/>
      <w:bookmarkStart w:id="2050" w:name="_Toc79697475"/>
      <w:bookmarkStart w:id="2051" w:name="_Toc79699146"/>
      <w:bookmarkStart w:id="2052" w:name="_Toc79699472"/>
      <w:bookmarkStart w:id="2053" w:name="_Toc79699810"/>
      <w:bookmarkStart w:id="2054" w:name="_Toc79700130"/>
      <w:bookmarkStart w:id="2055" w:name="_Toc79700452"/>
      <w:bookmarkStart w:id="2056" w:name="_Toc79700774"/>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r w:rsidR="000257D4">
        <w:rPr>
          <w:i/>
        </w:rPr>
        <w:br/>
      </w:r>
    </w:p>
    <w:p w14:paraId="412EF394" w14:textId="301DE8C4" w:rsidR="00214B9D"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19"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ose fa</w:t>
      </w:r>
      <w:r w:rsidR="00AB3EFD">
        <w:rPr>
          <w:rFonts w:ascii="Times New Roman" w:hAnsi="Times New Roman"/>
          <w:szCs w:val="24"/>
        </w:rPr>
        <w:t>r</w:t>
      </w:r>
      <w:r w:rsidR="005D214A" w:rsidRPr="007A5BBC">
        <w:rPr>
          <w:rFonts w:ascii="Times New Roman" w:hAnsi="Times New Roman"/>
          <w:szCs w:val="24"/>
        </w:rPr>
        <w:t xml:space="preserve">mer </w:t>
      </w:r>
      <w:r w:rsidRPr="007A5BBC">
        <w:rPr>
          <w:rFonts w:ascii="Times New Roman" w:hAnsi="Times New Roman"/>
          <w:szCs w:val="24"/>
        </w:rPr>
        <w:t>debtors 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2057" w:name="OLE_LINK12"/>
      <w:bookmarkStart w:id="2058" w:name="OLE_LINK13"/>
      <w:r w:rsidRPr="007A5BBC">
        <w:rPr>
          <w:rFonts w:ascii="Times New Roman" w:hAnsi="Times New Roman"/>
          <w:szCs w:val="24"/>
        </w:rPr>
        <w:t>(1)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11 U.S.C. § 727(a)(2)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B95E7CC" w14:textId="77777777" w:rsidR="000257D4" w:rsidRPr="007A5BBC" w:rsidRDefault="000257D4" w:rsidP="00816126">
      <w:pPr>
        <w:ind w:firstLine="720"/>
        <w:jc w:val="both"/>
        <w:rPr>
          <w:rFonts w:ascii="Times New Roman" w:hAnsi="Times New Roman"/>
          <w:szCs w:val="24"/>
        </w:rPr>
      </w:pPr>
    </w:p>
    <w:p w14:paraId="412EF395" w14:textId="1EE24178" w:rsidR="00214B9D" w:rsidRPr="007A5BBC" w:rsidRDefault="00214B9D" w:rsidP="000257D4">
      <w:pPr>
        <w:pStyle w:val="Heading2"/>
        <w:spacing w:line="240" w:lineRule="auto"/>
      </w:pPr>
      <w:bookmarkStart w:id="2059" w:name="_Toc417380804"/>
      <w:bookmarkStart w:id="2060" w:name="_Ref422225298"/>
      <w:bookmarkStart w:id="2061" w:name="_Toc79699147"/>
      <w:bookmarkStart w:id="2062" w:name="_Toc79699473"/>
      <w:bookmarkStart w:id="2063" w:name="_Toc79699811"/>
      <w:bookmarkStart w:id="2064" w:name="_Toc79700131"/>
      <w:bookmarkStart w:id="2065" w:name="_Toc79700453"/>
      <w:bookmarkStart w:id="2066" w:name="_Toc87039231"/>
      <w:bookmarkStart w:id="2067" w:name="_Toc90983627"/>
      <w:bookmarkEnd w:id="2057"/>
      <w:bookmarkEnd w:id="2058"/>
      <w:r w:rsidRPr="007A5BBC">
        <w:t>Avoiding Liens that Impair Exemptions</w:t>
      </w:r>
      <w:bookmarkStart w:id="2068" w:name="_Toc79693005"/>
      <w:bookmarkStart w:id="2069" w:name="_Toc79693325"/>
      <w:bookmarkStart w:id="2070" w:name="_Toc79693645"/>
      <w:bookmarkStart w:id="2071" w:name="_Toc79693962"/>
      <w:bookmarkStart w:id="2072" w:name="_Toc79694602"/>
      <w:bookmarkStart w:id="2073" w:name="_Toc79695230"/>
      <w:bookmarkStart w:id="2074" w:name="_Toc79697476"/>
      <w:bookmarkStart w:id="2075" w:name="_Hlk90562023"/>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r w:rsidR="000257D4">
        <w:br/>
      </w:r>
    </w:p>
    <w:bookmarkEnd w:id="2075"/>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46187B80" w:rsidR="005D214A" w:rsidRPr="007A5BBC" w:rsidRDefault="00915960" w:rsidP="00816126">
      <w:pPr>
        <w:ind w:firstLine="720"/>
        <w:jc w:val="both"/>
        <w:rPr>
          <w:rFonts w:ascii="Times New Roman" w:hAnsi="Times New Roman"/>
          <w:szCs w:val="24"/>
        </w:rPr>
      </w:pPr>
      <w:bookmarkStart w:id="2076" w:name="_Hlk90562050"/>
      <w:r w:rsidRPr="007A5BBC">
        <w:rPr>
          <w:rFonts w:ascii="Times New Roman" w:hAnsi="Times New Roman"/>
          <w:szCs w:val="24"/>
        </w:rPr>
        <w:t>S</w:t>
      </w:r>
      <w:r w:rsidR="008633D1" w:rsidRPr="007A5BBC">
        <w:rPr>
          <w:rFonts w:ascii="Times New Roman" w:hAnsi="Times New Roman"/>
          <w:szCs w:val="24"/>
        </w:rPr>
        <w:t xml:space="preserve">ection 522(f)(1) </w:t>
      </w:r>
      <w:r w:rsidRPr="007A5BBC">
        <w:rPr>
          <w:rFonts w:ascii="Times New Roman" w:hAnsi="Times New Roman"/>
          <w:szCs w:val="24"/>
        </w:rPr>
        <w:t xml:space="preserve">of the Bankruptcy Code </w:t>
      </w:r>
      <w:r w:rsidR="008633D1" w:rsidRPr="007A5BBC">
        <w:rPr>
          <w:rFonts w:ascii="Times New Roman" w:hAnsi="Times New Roman"/>
          <w:szCs w:val="24"/>
        </w:rPr>
        <w:t xml:space="preserve">allows the debtor to avoid two kinds of liens </w:t>
      </w:r>
      <w:r w:rsidR="0053252A">
        <w:rPr>
          <w:rFonts w:ascii="Times New Roman" w:hAnsi="Times New Roman"/>
          <w:szCs w:val="24"/>
        </w:rPr>
        <w:t xml:space="preserve">that were </w:t>
      </w:r>
      <w:r w:rsidR="008633D1" w:rsidRPr="007A5BBC">
        <w:rPr>
          <w:rFonts w:ascii="Times New Roman" w:hAnsi="Times New Roman"/>
          <w:szCs w:val="24"/>
        </w:rPr>
        <w:t xml:space="preserve">obtained by creditors </w:t>
      </w:r>
      <w:r w:rsidR="0053252A">
        <w:rPr>
          <w:rFonts w:ascii="Times New Roman" w:hAnsi="Times New Roman"/>
          <w:szCs w:val="24"/>
        </w:rPr>
        <w:t xml:space="preserve">before the bankruptcy </w:t>
      </w:r>
      <w:r w:rsidR="008633D1" w:rsidRPr="007A5BBC">
        <w:rPr>
          <w:rFonts w:ascii="Times New Roman" w:hAnsi="Times New Roman"/>
          <w:szCs w:val="24"/>
        </w:rPr>
        <w:t xml:space="preserve">petition </w:t>
      </w:r>
      <w:r w:rsidR="0053252A">
        <w:rPr>
          <w:rFonts w:ascii="Times New Roman" w:hAnsi="Times New Roman"/>
          <w:szCs w:val="24"/>
        </w:rPr>
        <w:t xml:space="preserve">was filed, </w:t>
      </w:r>
      <w:r w:rsidR="008633D1" w:rsidRPr="007A5BBC">
        <w:rPr>
          <w:rFonts w:ascii="Times New Roman" w:hAnsi="Times New Roman"/>
          <w:szCs w:val="24"/>
        </w:rPr>
        <w:t>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bookmarkEnd w:id="2076"/>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065C6">
        <w:rPr>
          <w:rFonts w:ascii="Times New Roman" w:hAnsi="Times New Roman"/>
          <w:i/>
          <w:iCs/>
          <w:szCs w:val="24"/>
        </w:rPr>
        <w:t xml:space="preserve">See </w:t>
      </w:r>
      <w:r w:rsidR="00735CCB" w:rsidRPr="007A5BBC">
        <w:rPr>
          <w:rFonts w:ascii="Times New Roman" w:hAnsi="Times New Roman"/>
          <w:szCs w:val="24"/>
        </w:rPr>
        <w:t xml:space="preserve">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43DBB43D"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Section 522(f)(1),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40315CD8" w:rsidR="008633D1" w:rsidRPr="007A5BBC" w:rsidRDefault="008633D1" w:rsidP="00816126">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It then deducts the fair 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4659E6">
        <w:rPr>
          <w:rFonts w:ascii="Times New Roman" w:hAnsi="Times New Roman"/>
          <w:szCs w:val="24"/>
        </w:rPr>
        <w:t xml:space="preserve">negative </w:t>
      </w:r>
      <w:r w:rsidR="00735CCB" w:rsidRPr="007A5BBC">
        <w:rPr>
          <w:rFonts w:ascii="Times New Roman" w:hAnsi="Times New Roman"/>
          <w:szCs w:val="24"/>
        </w:rPr>
        <w:t xml:space="preserve">amount </w:t>
      </w:r>
      <w:r w:rsidR="004659E6">
        <w:rPr>
          <w:rFonts w:ascii="Times New Roman" w:hAnsi="Times New Roman"/>
          <w:szCs w:val="24"/>
        </w:rPr>
        <w:t xml:space="preserve">(the amount by which liens and exemption exceeds value) </w:t>
      </w:r>
      <w:r w:rsidR="00A83F66" w:rsidRPr="007A5BBC">
        <w:rPr>
          <w:rFonts w:ascii="Times New Roman" w:hAnsi="Times New Roman"/>
          <w:szCs w:val="24"/>
        </w:rPr>
        <w:t xml:space="preserve">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w:t>
      </w:r>
      <w:r w:rsidR="004659E6">
        <w:rPr>
          <w:rFonts w:ascii="Times New Roman" w:hAnsi="Times New Roman"/>
          <w:szCs w:val="24"/>
        </w:rPr>
        <w:t xml:space="preserve">may </w:t>
      </w:r>
      <w:r w:rsidR="00A83F66" w:rsidRPr="007A5BBC">
        <w:rPr>
          <w:rFonts w:ascii="Times New Roman" w:hAnsi="Times New Roman"/>
          <w:szCs w:val="24"/>
        </w:rPr>
        <w:t>be avoided</w:t>
      </w:r>
      <w:r w:rsidR="005F6A8B">
        <w:rPr>
          <w:rFonts w:ascii="Times New Roman" w:hAnsi="Times New Roman"/>
          <w:szCs w:val="24"/>
        </w:rPr>
        <w:t xml:space="preserve">. </w:t>
      </w:r>
      <w:r w:rsidR="00A83F66" w:rsidRPr="007A5BBC">
        <w:rPr>
          <w:rFonts w:ascii="Times New Roman" w:hAnsi="Times New Roman"/>
          <w:szCs w:val="24"/>
        </w:rPr>
        <w:t>11 U.S.C. § 522(f)(2)</w:t>
      </w:r>
      <w:r w:rsidR="005F6A8B">
        <w:rPr>
          <w:rFonts w:ascii="Times New Roman" w:hAnsi="Times New Roman"/>
          <w:szCs w:val="24"/>
        </w:rPr>
        <w:t xml:space="preserve">. </w:t>
      </w:r>
      <w:r w:rsidR="00A83F66" w:rsidRPr="007A5BBC">
        <w:rPr>
          <w:rFonts w:ascii="Times New Roman" w:hAnsi="Times New Roman"/>
          <w:szCs w:val="24"/>
        </w:rPr>
        <w:t xml:space="preserve">A </w:t>
      </w:r>
      <w:r w:rsidR="004659E6">
        <w:rPr>
          <w:rFonts w:ascii="Times New Roman" w:hAnsi="Times New Roman"/>
          <w:szCs w:val="24"/>
        </w:rPr>
        <w:t xml:space="preserve">positive </w:t>
      </w:r>
      <w:r w:rsidR="00A83F66" w:rsidRPr="007A5BBC">
        <w:rPr>
          <w:rFonts w:ascii="Times New Roman" w:hAnsi="Times New Roman"/>
          <w:szCs w:val="24"/>
        </w:rPr>
        <w:t xml:space="preserve">number </w:t>
      </w:r>
      <w:r w:rsidR="004659E6">
        <w:rPr>
          <w:rFonts w:ascii="Times New Roman" w:hAnsi="Times New Roman"/>
          <w:szCs w:val="24"/>
        </w:rPr>
        <w:t xml:space="preserve">(value exceeds liens and exemptions) means that judicial </w:t>
      </w:r>
      <w:r w:rsidR="00A83F66" w:rsidRPr="007A5BBC">
        <w:rPr>
          <w:rFonts w:ascii="Times New Roman" w:hAnsi="Times New Roman"/>
          <w:szCs w:val="24"/>
        </w:rPr>
        <w:t>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4659E6">
        <w:rPr>
          <w:rFonts w:ascii="Times New Roman" w:hAnsi="Times New Roman"/>
          <w:szCs w:val="24"/>
        </w:rPr>
        <w:t>because there is sufficient value to pay the liens in full and still provide the debtor with a full exemption.</w:t>
      </w:r>
    </w:p>
    <w:p w14:paraId="58C1BE12" w14:textId="078FEA9B" w:rsidR="00985508"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Section 522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 xml:space="preserve">The debtor must file a motion to avoid the </w:t>
      </w:r>
      <w:r w:rsidR="004659E6">
        <w:rPr>
          <w:rFonts w:ascii="Times New Roman" w:hAnsi="Times New Roman"/>
          <w:szCs w:val="24"/>
        </w:rPr>
        <w:t xml:space="preserve">judicial </w:t>
      </w:r>
      <w:r w:rsidRPr="007A5BBC">
        <w:rPr>
          <w:rFonts w:ascii="Times New Roman" w:hAnsi="Times New Roman"/>
          <w:szCs w:val="24"/>
        </w:rPr>
        <w:t>lien</w:t>
      </w:r>
      <w:r w:rsidR="004659E6">
        <w:rPr>
          <w:rFonts w:ascii="Times New Roman" w:hAnsi="Times New Roman"/>
          <w:szCs w:val="24"/>
        </w:rPr>
        <w:t>s</w:t>
      </w:r>
      <w:r w:rsidR="005F6A8B">
        <w:rPr>
          <w:rFonts w:ascii="Times New Roman" w:hAnsi="Times New Roman"/>
          <w:szCs w:val="24"/>
        </w:rPr>
        <w:t xml:space="preserve">. </w:t>
      </w:r>
      <w:r w:rsidR="0068216C" w:rsidRPr="007065C6">
        <w:rPr>
          <w:rFonts w:ascii="Times New Roman" w:hAnsi="Times New Roman"/>
          <w:i/>
          <w:iCs/>
          <w:szCs w:val="24"/>
        </w:rPr>
        <w:t xml:space="preserve">See </w:t>
      </w:r>
      <w:r w:rsidR="0068216C" w:rsidRPr="007A5BBC">
        <w:rPr>
          <w:rFonts w:ascii="Times New Roman" w:hAnsi="Times New Roman"/>
          <w:szCs w:val="24"/>
        </w:rPr>
        <w:t xml:space="preserve">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065C6">
        <w:rPr>
          <w:rFonts w:ascii="Times New Roman" w:hAnsi="Times New Roman"/>
          <w:i/>
          <w:iCs/>
          <w:szCs w:val="24"/>
        </w:rPr>
        <w:t xml:space="preserve">See </w:t>
      </w:r>
      <w:r w:rsidR="0068216C" w:rsidRPr="007A5BBC">
        <w:rPr>
          <w:rFonts w:ascii="Times New Roman" w:hAnsi="Times New Roman"/>
          <w:szCs w:val="24"/>
        </w:rPr>
        <w:t>Bankruptcy Rule 9014</w:t>
      </w:r>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6A2D4C81" w14:textId="63800466" w:rsidR="00472E51" w:rsidRDefault="004659E6" w:rsidP="00735CCB">
      <w:pPr>
        <w:ind w:firstLine="720"/>
        <w:jc w:val="both"/>
        <w:rPr>
          <w:rFonts w:ascii="Times New Roman" w:hAnsi="Times New Roman"/>
          <w:szCs w:val="24"/>
        </w:rPr>
      </w:pPr>
      <w:r>
        <w:rPr>
          <w:rFonts w:ascii="Times New Roman" w:hAnsi="Times New Roman"/>
          <w:szCs w:val="24"/>
        </w:rPr>
        <w:t xml:space="preserve">The trickiest part of avoiding judicial liens is properly serving </w:t>
      </w:r>
      <w:r w:rsidR="00472E51">
        <w:rPr>
          <w:rFonts w:ascii="Times New Roman" w:hAnsi="Times New Roman"/>
          <w:szCs w:val="24"/>
        </w:rPr>
        <w:t xml:space="preserve">notice of the </w:t>
      </w:r>
      <w:r>
        <w:rPr>
          <w:rFonts w:ascii="Times New Roman" w:hAnsi="Times New Roman"/>
          <w:szCs w:val="24"/>
        </w:rPr>
        <w:t xml:space="preserve">motion. </w:t>
      </w:r>
      <w:r w:rsidR="00472E51">
        <w:rPr>
          <w:rFonts w:ascii="Times New Roman" w:hAnsi="Times New Roman"/>
          <w:szCs w:val="24"/>
        </w:rPr>
        <w:t xml:space="preserve">Notice </w:t>
      </w:r>
      <w:r>
        <w:rPr>
          <w:rFonts w:ascii="Times New Roman" w:hAnsi="Times New Roman"/>
          <w:szCs w:val="24"/>
        </w:rPr>
        <w:t>must be served in the same manner as a complaint</w:t>
      </w:r>
      <w:r w:rsidR="00083725">
        <w:rPr>
          <w:rFonts w:ascii="Times New Roman" w:hAnsi="Times New Roman"/>
          <w:szCs w:val="24"/>
        </w:rPr>
        <w:t xml:space="preserve">. </w:t>
      </w:r>
      <w:r>
        <w:rPr>
          <w:rFonts w:ascii="Times New Roman" w:hAnsi="Times New Roman"/>
          <w:szCs w:val="24"/>
        </w:rPr>
        <w:t>Bankruptcy Rule 9014</w:t>
      </w:r>
      <w:r w:rsidR="00083725">
        <w:rPr>
          <w:rFonts w:ascii="Times New Roman" w:hAnsi="Times New Roman"/>
          <w:szCs w:val="24"/>
        </w:rPr>
        <w:t xml:space="preserve">. </w:t>
      </w:r>
      <w:r>
        <w:rPr>
          <w:rFonts w:ascii="Times New Roman" w:hAnsi="Times New Roman"/>
          <w:szCs w:val="24"/>
        </w:rPr>
        <w:t>Bankruptcy Rule 7004 allows complaints to be served by mail, but they must be addressed</w:t>
      </w:r>
      <w:r w:rsidR="00472E51">
        <w:rPr>
          <w:rFonts w:ascii="Times New Roman" w:hAnsi="Times New Roman"/>
          <w:szCs w:val="24"/>
        </w:rPr>
        <w:t xml:space="preserve"> “to the attention of an officer, a managing or general agent, or an agent authorized by appointment or by law to receive service of process,” and upon the creditor. Bankruptcy Rule 7004(b)(3). Courts are very strict about compliance with the service requirement</w:t>
      </w:r>
      <w:r w:rsidR="00083725">
        <w:rPr>
          <w:rFonts w:ascii="Times New Roman" w:hAnsi="Times New Roman"/>
          <w:szCs w:val="24"/>
        </w:rPr>
        <w:t xml:space="preserve">. </w:t>
      </w:r>
      <w:r w:rsidR="00472E51">
        <w:rPr>
          <w:rFonts w:ascii="Times New Roman" w:hAnsi="Times New Roman"/>
          <w:szCs w:val="24"/>
        </w:rPr>
        <w:t>It is good practice to serve the creditor and attorney at the addresses listed in the judgment, and also serving the creditors’ officer or designated agent for service of process</w:t>
      </w:r>
      <w:r w:rsidR="00083725">
        <w:rPr>
          <w:rFonts w:ascii="Times New Roman" w:hAnsi="Times New Roman"/>
          <w:szCs w:val="24"/>
        </w:rPr>
        <w:t xml:space="preserve">. </w:t>
      </w:r>
      <w:r w:rsidR="00472E51">
        <w:rPr>
          <w:rFonts w:ascii="Times New Roman" w:hAnsi="Times New Roman"/>
          <w:szCs w:val="24"/>
        </w:rPr>
        <w:t>A corporate search is required to determine the identity of the officer or agent</w:t>
      </w:r>
      <w:r w:rsidR="00083725">
        <w:rPr>
          <w:rFonts w:ascii="Times New Roman" w:hAnsi="Times New Roman"/>
          <w:szCs w:val="24"/>
        </w:rPr>
        <w:t xml:space="preserve">. </w:t>
      </w:r>
      <w:r w:rsidR="00472E51">
        <w:rPr>
          <w:rFonts w:ascii="Times New Roman" w:hAnsi="Times New Roman"/>
          <w:szCs w:val="24"/>
        </w:rPr>
        <w:t>It is also difficult to determine who to serve for state o</w:t>
      </w:r>
      <w:r w:rsidR="007559BB">
        <w:rPr>
          <w:rFonts w:ascii="Times New Roman" w:hAnsi="Times New Roman"/>
          <w:szCs w:val="24"/>
        </w:rPr>
        <w:t>r</w:t>
      </w:r>
      <w:r w:rsidR="00472E51">
        <w:rPr>
          <w:rFonts w:ascii="Times New Roman" w:hAnsi="Times New Roman"/>
          <w:szCs w:val="24"/>
        </w:rPr>
        <w:t xml:space="preserve"> municipal entities. It is necessary to determine the appropriate method for service designated by state law. Bankruptcy Rule 7004(b)(6)</w:t>
      </w:r>
      <w:r w:rsidR="00083725">
        <w:rPr>
          <w:rFonts w:ascii="Times New Roman" w:hAnsi="Times New Roman"/>
          <w:szCs w:val="24"/>
        </w:rPr>
        <w:t xml:space="preserve">. </w:t>
      </w:r>
      <w:r w:rsidR="00472E51">
        <w:rPr>
          <w:rFonts w:ascii="Times New Roman" w:hAnsi="Times New Roman"/>
          <w:szCs w:val="24"/>
        </w:rPr>
        <w:t xml:space="preserve">Finally, there is a special trap hidden at the end of the rule requiring an officer of an insured depository institution to be served by </w:t>
      </w:r>
      <w:r w:rsidR="00472E51" w:rsidRPr="00472E51">
        <w:rPr>
          <w:rFonts w:ascii="Times New Roman" w:hAnsi="Times New Roman"/>
          <w:szCs w:val="24"/>
          <w:u w:val="single"/>
        </w:rPr>
        <w:t>certified</w:t>
      </w:r>
      <w:r w:rsidR="00472E51">
        <w:rPr>
          <w:rFonts w:ascii="Times New Roman" w:hAnsi="Times New Roman"/>
          <w:szCs w:val="24"/>
        </w:rPr>
        <w:t xml:space="preserve"> mail</w:t>
      </w:r>
      <w:r w:rsidR="00083725">
        <w:rPr>
          <w:rFonts w:ascii="Times New Roman" w:hAnsi="Times New Roman"/>
          <w:szCs w:val="24"/>
        </w:rPr>
        <w:t xml:space="preserve">. </w:t>
      </w:r>
      <w:r w:rsidR="00472E51">
        <w:rPr>
          <w:rFonts w:ascii="Times New Roman" w:hAnsi="Times New Roman"/>
          <w:szCs w:val="24"/>
        </w:rPr>
        <w:t>Bankruptcy Rule 7004(h).</w:t>
      </w:r>
    </w:p>
    <w:p w14:paraId="41359DA3" w14:textId="77777777" w:rsidR="00FF196A" w:rsidRDefault="00FF196A" w:rsidP="00735CCB">
      <w:pPr>
        <w:ind w:firstLine="720"/>
        <w:jc w:val="both"/>
        <w:rPr>
          <w:rFonts w:ascii="Times New Roman" w:hAnsi="Times New Roman"/>
          <w:szCs w:val="24"/>
        </w:rPr>
      </w:pPr>
    </w:p>
    <w:p w14:paraId="412EF399" w14:textId="19577EEA" w:rsidR="00A83F66" w:rsidRPr="007A5BBC" w:rsidRDefault="00A83F66" w:rsidP="00FF196A">
      <w:pPr>
        <w:pStyle w:val="Heading2"/>
        <w:spacing w:line="240" w:lineRule="auto"/>
      </w:pPr>
      <w:bookmarkStart w:id="2077" w:name="_Toc417380805"/>
      <w:bookmarkStart w:id="2078" w:name="_Toc79699148"/>
      <w:bookmarkStart w:id="2079" w:name="_Toc79699474"/>
      <w:bookmarkStart w:id="2080" w:name="_Toc79699812"/>
      <w:bookmarkStart w:id="2081" w:name="_Toc79700132"/>
      <w:bookmarkStart w:id="2082" w:name="_Toc79700454"/>
      <w:bookmarkStart w:id="2083" w:name="_Toc87039232"/>
      <w:bookmarkStart w:id="2084" w:name="_Toc90983628"/>
      <w:r w:rsidRPr="007A5BBC">
        <w:t>P</w:t>
      </w:r>
      <w:r w:rsidR="00767070">
        <w:t>ractice Problems</w:t>
      </w:r>
      <w:r w:rsidR="003E43A7" w:rsidRPr="007A5BBC">
        <w:t>: Avoiding Liens that Impair Exemptions</w:t>
      </w:r>
      <w:bookmarkStart w:id="2085" w:name="_Toc79693006"/>
      <w:bookmarkStart w:id="2086" w:name="_Toc79693326"/>
      <w:bookmarkStart w:id="2087" w:name="_Toc79693646"/>
      <w:bookmarkStart w:id="2088" w:name="_Toc79693963"/>
      <w:bookmarkStart w:id="2089" w:name="_Toc79694603"/>
      <w:bookmarkStart w:id="2090" w:name="_Toc79695231"/>
      <w:bookmarkStart w:id="2091" w:name="_Toc79697477"/>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00FF196A">
        <w:br/>
      </w:r>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7C7259A4" w:rsidR="00D87C6F" w:rsidRDefault="00D87C6F" w:rsidP="00D87C6F">
      <w:pPr>
        <w:ind w:firstLine="720"/>
        <w:jc w:val="both"/>
        <w:rPr>
          <w:rFonts w:ascii="Times New Roman" w:hAnsi="Times New Roman"/>
          <w:szCs w:val="24"/>
        </w:rPr>
      </w:pPr>
      <w:r w:rsidRPr="003A7198">
        <w:rPr>
          <w:rFonts w:ascii="Times New Roman" w:hAnsi="Times New Roman"/>
          <w:b/>
          <w:szCs w:val="24"/>
        </w:rPr>
        <w:t>Problem 1</w:t>
      </w:r>
      <w:r w:rsidR="00FF196A">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p>
    <w:p w14:paraId="56F1C217" w14:textId="292B3ED9" w:rsidR="00D87C6F" w:rsidRDefault="00D87C6F" w:rsidP="00D87C6F">
      <w:pPr>
        <w:ind w:firstLine="720"/>
        <w:jc w:val="both"/>
        <w:rPr>
          <w:rFonts w:ascii="Times New Roman" w:hAnsi="Times New Roman"/>
          <w:szCs w:val="24"/>
        </w:rPr>
      </w:pPr>
      <w:r w:rsidRPr="003A7198">
        <w:rPr>
          <w:rFonts w:ascii="Times New Roman" w:hAnsi="Times New Roman"/>
          <w:b/>
          <w:szCs w:val="24"/>
        </w:rPr>
        <w:t>Problem 2</w:t>
      </w:r>
      <w:r w:rsidR="00FF196A">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1</w:t>
      </w:r>
      <w:r w:rsidR="0068216C" w:rsidRPr="00D87C6F">
        <w:rPr>
          <w:rFonts w:ascii="Times New Roman" w:hAnsi="Times New Roman"/>
          <w:szCs w:val="24"/>
        </w:rPr>
        <w:t>) except the property is worth $400,000.</w:t>
      </w:r>
    </w:p>
    <w:p w14:paraId="4AD7E150" w14:textId="312E3289" w:rsidR="00D87C6F" w:rsidRDefault="00D87C6F" w:rsidP="00D87C6F">
      <w:pPr>
        <w:ind w:firstLine="720"/>
        <w:jc w:val="both"/>
        <w:rPr>
          <w:rFonts w:ascii="Times New Roman" w:hAnsi="Times New Roman"/>
          <w:szCs w:val="24"/>
        </w:rPr>
      </w:pPr>
      <w:r w:rsidRPr="003A7198">
        <w:rPr>
          <w:rFonts w:ascii="Times New Roman" w:hAnsi="Times New Roman"/>
          <w:b/>
          <w:szCs w:val="24"/>
        </w:rPr>
        <w:t>Problem 3</w:t>
      </w:r>
      <w:r w:rsidR="00FF196A">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2</w:t>
      </w:r>
      <w:r w:rsidR="0068216C" w:rsidRPr="00D87C6F">
        <w:rPr>
          <w:rFonts w:ascii="Times New Roman" w:hAnsi="Times New Roman"/>
          <w:szCs w:val="24"/>
        </w:rPr>
        <w:t>) except the senior judicial lien is $15,000, and the junior judicial lien is $10,000.</w:t>
      </w:r>
    </w:p>
    <w:p w14:paraId="7FECFB2B" w14:textId="7D11F4EF" w:rsidR="00D87C6F" w:rsidRPr="00434F60" w:rsidRDefault="00D87C6F" w:rsidP="00D87C6F">
      <w:pPr>
        <w:ind w:firstLine="720"/>
        <w:jc w:val="both"/>
        <w:rPr>
          <w:rFonts w:ascii="Times New Roman" w:hAnsi="Times New Roman"/>
          <w:szCs w:val="24"/>
        </w:rPr>
      </w:pPr>
      <w:r w:rsidRPr="003A7198">
        <w:rPr>
          <w:rFonts w:ascii="Times New Roman" w:hAnsi="Times New Roman"/>
          <w:b/>
          <w:szCs w:val="24"/>
        </w:rPr>
        <w:t>Problem 4</w:t>
      </w:r>
      <w:r w:rsidR="00FF196A">
        <w:rPr>
          <w:rFonts w:ascii="Times New Roman" w:hAnsi="Times New Roman"/>
          <w:szCs w:val="24"/>
        </w:rPr>
        <w:t xml:space="preserve">. </w:t>
      </w:r>
      <w:r w:rsidR="0068216C" w:rsidRPr="00D87C6F">
        <w:rPr>
          <w:rFonts w:ascii="Times New Roman" w:hAnsi="Times New Roman"/>
          <w:szCs w:val="24"/>
        </w:rPr>
        <w:t>The debtor’s house is worth $300,000, and is subject to a first mortgage of $250,000, a judicial lien in second position of $40,000, and a junior mortgage in third position of $50,000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7065C6">
        <w:rPr>
          <w:rFonts w:ascii="Times New Roman" w:hAnsi="Times New Roman"/>
          <w:i/>
          <w:iCs/>
          <w:szCs w:val="24"/>
        </w:rPr>
        <w:t xml:space="preserve">See </w:t>
      </w:r>
      <w:hyperlink r:id="rId120" w:history="1">
        <w:r w:rsidR="009E5B4B" w:rsidRPr="00434F60">
          <w:rPr>
            <w:rFonts w:ascii="Times New Roman" w:hAnsi="Times New Roman"/>
            <w:i/>
          </w:rPr>
          <w:t>Kolich v. Antioch Laurel Veterinary Hospital</w:t>
        </w:r>
        <w:r w:rsidR="009E5B4B" w:rsidRPr="00434F60">
          <w:rPr>
            <w:rFonts w:ascii="Times New Roman" w:hAnsi="Times New Roman"/>
          </w:rPr>
          <w:t>, 328 F.3d 406 (8th Cir. 2003)</w:t>
        </w:r>
      </w:hyperlink>
      <w:r w:rsidR="009E5B4B" w:rsidRPr="00434F60">
        <w:rPr>
          <w:rFonts w:ascii="Times New Roman" w:hAnsi="Times New Roman"/>
          <w:szCs w:val="24"/>
        </w:rPr>
        <w:t>.</w:t>
      </w:r>
    </w:p>
    <w:p w14:paraId="412EF3A0" w14:textId="3A25AB68" w:rsidR="001D4513" w:rsidRDefault="00D87C6F" w:rsidP="00D87C6F">
      <w:pPr>
        <w:ind w:firstLine="720"/>
        <w:jc w:val="both"/>
        <w:rPr>
          <w:rFonts w:ascii="Times New Roman" w:hAnsi="Times New Roman"/>
          <w:szCs w:val="24"/>
        </w:rPr>
      </w:pPr>
      <w:r w:rsidRPr="003A7198">
        <w:rPr>
          <w:rFonts w:ascii="Times New Roman" w:hAnsi="Times New Roman"/>
          <w:b/>
          <w:szCs w:val="24"/>
        </w:rPr>
        <w:t>Problem 5</w:t>
      </w:r>
      <w:r w:rsidR="00FF196A">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followed the state procedure 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E053DA">
        <w:rPr>
          <w:rFonts w:ascii="Times New Roman" w:hAnsi="Times New Roman"/>
          <w:szCs w:val="24"/>
        </w:rPr>
        <w:t xml:space="preserve">Three </w:t>
      </w:r>
      <w:r w:rsidR="001D4513" w:rsidRPr="00D87C6F">
        <w:rPr>
          <w:rFonts w:ascii="Times New Roman" w:hAnsi="Times New Roman"/>
          <w:szCs w:val="24"/>
        </w:rPr>
        <w:t>years before 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w:t>
      </w:r>
      <w:r w:rsidR="00083725" w:rsidRPr="00D87C6F">
        <w:rPr>
          <w:rFonts w:ascii="Times New Roman" w:hAnsi="Times New Roman"/>
          <w:szCs w:val="24"/>
        </w:rPr>
        <w:t xml:space="preserve">? </w:t>
      </w:r>
      <w:r w:rsidR="001D4513" w:rsidRPr="00D87C6F">
        <w:rPr>
          <w:rFonts w:ascii="Times New Roman" w:hAnsi="Times New Roman"/>
          <w:szCs w:val="24"/>
        </w:rPr>
        <w:t>Before you answer the question, read the next case and consider how the Supreme Court’s ruling might apply to this situation.</w:t>
      </w:r>
    </w:p>
    <w:p w14:paraId="522D8BD9" w14:textId="77777777" w:rsidR="00FF196A" w:rsidRPr="00D87C6F" w:rsidRDefault="00FF196A" w:rsidP="00D87C6F">
      <w:pPr>
        <w:ind w:firstLine="720"/>
        <w:jc w:val="both"/>
        <w:rPr>
          <w:rFonts w:ascii="Times New Roman" w:hAnsi="Times New Roman"/>
          <w:szCs w:val="24"/>
        </w:rPr>
      </w:pPr>
    </w:p>
    <w:p w14:paraId="412EF3A2" w14:textId="24905EC1" w:rsidR="000F5128" w:rsidRPr="007A5BBC" w:rsidRDefault="001D4513" w:rsidP="00FF196A">
      <w:pPr>
        <w:pStyle w:val="Heading2"/>
        <w:spacing w:line="240" w:lineRule="auto"/>
      </w:pPr>
      <w:bookmarkStart w:id="2092" w:name="_Toc417380806"/>
      <w:bookmarkStart w:id="2093" w:name="_Toc79699149"/>
      <w:bookmarkStart w:id="2094" w:name="_Toc79699475"/>
      <w:bookmarkStart w:id="2095" w:name="_Toc79699813"/>
      <w:bookmarkStart w:id="2096" w:name="_Toc79700133"/>
      <w:bookmarkStart w:id="2097" w:name="_Toc79700455"/>
      <w:bookmarkStart w:id="2098" w:name="_Toc87039233"/>
      <w:bookmarkStart w:id="2099" w:name="_Toc90983629"/>
      <w:r w:rsidRPr="007A5BBC">
        <w:t>C</w:t>
      </w:r>
      <w:r w:rsidR="00646EC9">
        <w:t xml:space="preserve">ases on </w:t>
      </w:r>
      <w:r w:rsidRPr="007A5BBC">
        <w:t>Avoiding Lien</w:t>
      </w:r>
      <w:r w:rsidR="003E43A7" w:rsidRPr="007A5BBC">
        <w:t>s that Impair Exemptions</w:t>
      </w:r>
      <w:bookmarkStart w:id="2100" w:name="_Toc79693007"/>
      <w:bookmarkStart w:id="2101" w:name="_Toc79693327"/>
      <w:bookmarkStart w:id="2102" w:name="_Toc79693647"/>
      <w:bookmarkStart w:id="2103" w:name="_Toc79693964"/>
      <w:bookmarkStart w:id="2104" w:name="_Toc79694604"/>
      <w:bookmarkStart w:id="2105" w:name="_Toc79695232"/>
      <w:bookmarkStart w:id="2106" w:name="_Toc79697478"/>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r w:rsidR="00FF196A">
        <w:br/>
      </w:r>
    </w:p>
    <w:p w14:paraId="412EF3A4" w14:textId="220896DB" w:rsidR="001D4513" w:rsidRPr="00FF196A" w:rsidRDefault="007C1024" w:rsidP="00FF196A">
      <w:pPr>
        <w:pStyle w:val="Heading3"/>
        <w:rPr>
          <w:u w:val="single"/>
        </w:rPr>
      </w:pPr>
      <w:hyperlink r:id="rId121" w:history="1">
        <w:bookmarkStart w:id="2107" w:name="_Toc87039234"/>
        <w:bookmarkStart w:id="2108" w:name="_Toc90983630"/>
        <w:r w:rsidR="001D4513" w:rsidRPr="00FF196A">
          <w:rPr>
            <w:rStyle w:val="Hyperlink"/>
          </w:rPr>
          <w:t>F</w:t>
        </w:r>
        <w:r w:rsidR="00767070" w:rsidRPr="00FF196A">
          <w:rPr>
            <w:rStyle w:val="Hyperlink"/>
          </w:rPr>
          <w:t>ARR</w:t>
        </w:r>
        <w:r w:rsidR="00326397" w:rsidRPr="00FF196A">
          <w:rPr>
            <w:rStyle w:val="Hyperlink"/>
          </w:rPr>
          <w:t>E</w:t>
        </w:r>
        <w:r w:rsidR="00767070" w:rsidRPr="00FF196A">
          <w:rPr>
            <w:rStyle w:val="Hyperlink"/>
          </w:rPr>
          <w:t xml:space="preserve">Y v. SANDERFOOT, </w:t>
        </w:r>
        <w:r w:rsidR="001D4513" w:rsidRPr="00FF196A">
          <w:rPr>
            <w:rStyle w:val="Hyperlink"/>
          </w:rPr>
          <w:t>500 U.S. 291 (1991)</w:t>
        </w:r>
        <w:bookmarkEnd w:id="2107"/>
        <w:bookmarkEnd w:id="2108"/>
      </w:hyperlink>
      <w:bookmarkStart w:id="2109" w:name="_Toc79693008"/>
      <w:bookmarkStart w:id="2110" w:name="_Toc79693328"/>
      <w:bookmarkStart w:id="2111" w:name="_Toc79693648"/>
      <w:bookmarkStart w:id="2112" w:name="_Toc79693965"/>
      <w:bookmarkStart w:id="2113" w:name="_Toc79694283"/>
      <w:bookmarkStart w:id="2114" w:name="_Toc79694605"/>
      <w:bookmarkStart w:id="2115" w:name="_Toc79694917"/>
      <w:bookmarkStart w:id="2116" w:name="_Toc79695233"/>
      <w:bookmarkStart w:id="2117" w:name="_Toc79695549"/>
      <w:bookmarkStart w:id="2118" w:name="_Toc79695865"/>
      <w:bookmarkStart w:id="2119" w:name="_Toc79696181"/>
      <w:bookmarkStart w:id="2120" w:name="_Toc79696497"/>
      <w:bookmarkStart w:id="2121" w:name="_Toc79696818"/>
      <w:bookmarkStart w:id="2122" w:name="_Toc79697150"/>
      <w:bookmarkStart w:id="2123" w:name="_Toc79697479"/>
      <w:bookmarkStart w:id="2124" w:name="_Toc79699150"/>
      <w:bookmarkStart w:id="2125" w:name="_Toc79699476"/>
      <w:bookmarkStart w:id="2126" w:name="_Toc79699814"/>
      <w:bookmarkStart w:id="2127" w:name="_Toc79700134"/>
      <w:bookmarkStart w:id="2128" w:name="_Toc79700456"/>
      <w:bookmarkStart w:id="2129" w:name="_Toc7970077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r w:rsidR="00FF196A" w:rsidRPr="00FF196A">
        <w:rPr>
          <w:rStyle w:val="Hyperlink"/>
        </w:rPr>
        <w:br/>
      </w:r>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3E3A5E6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[section § 522(f)(1) of the Bankruptcy Code], claiming that Farrey possessed a judicial lien that impaired his homestead exemption. Farrey objected to the motion, claiming that § 522(f)(1) could not divest her of her interest in the marital home</w:t>
      </w:r>
      <w:r w:rsidR="005F6A8B">
        <w:rPr>
          <w:rFonts w:ascii="Times New Roman" w:hAnsi="Times New Roman"/>
          <w:szCs w:val="24"/>
        </w:rPr>
        <w:t xml:space="preserve">. </w:t>
      </w:r>
    </w:p>
    <w:p w14:paraId="412EF3AB" w14:textId="5837689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The sole question presented in this case is whether § 522(f)(1) permits Sanderfoot to avoid the fixing of Farrey's lien on the property interest that he obtained in the divorce decree.</w:t>
      </w:r>
    </w:p>
    <w:p w14:paraId="412EF3AC" w14:textId="77777777" w:rsidR="00D70FF3" w:rsidRPr="007A5BBC" w:rsidRDefault="00D70FF3" w:rsidP="00816126">
      <w:pPr>
        <w:ind w:firstLine="720"/>
        <w:jc w:val="both"/>
        <w:rPr>
          <w:rFonts w:ascii="Times New Roman" w:hAnsi="Times New Roman"/>
          <w:szCs w:val="24"/>
        </w:rPr>
      </w:pPr>
      <w:bookmarkStart w:id="2130" w:name="OLE_LINK14"/>
      <w:bookmarkStart w:id="2131" w:name="OLE_LINK15"/>
      <w:r w:rsidRPr="007A5BBC">
        <w:rPr>
          <w:rFonts w:ascii="Times New Roman" w:hAnsi="Times New Roman"/>
          <w:szCs w:val="24"/>
        </w:rPr>
        <w:t xml:space="preserve">The key portion of § 522(f) states that "the debtor may avoid the fixing of a lien on an interest . . . in property." </w:t>
      </w:r>
      <w:bookmarkEnd w:id="2130"/>
      <w:bookmarkEnd w:id="2131"/>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2132" w:name="OLE_LINK16"/>
      <w:bookmarkStart w:id="2133"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2132"/>
      <w:bookmarkEnd w:id="2133"/>
    </w:p>
    <w:p w14:paraId="412EF3AD"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of the lien under the terms of § 522(f)(1).</w:t>
      </w:r>
    </w:p>
    <w:p w14:paraId="412EF3AE" w14:textId="77777777"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he text, history, and purpose of § 522(f)(1) also indicate what the provision is not concerned with. It cannot be concerned with liens that fixed on an interest before the debtor acquired that interest. Neither party contends otherwise. Section 522(f)(1)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 522(f)(1) to avoid a lien on an interest acquired after the lien attached. As before, the critical inquiry remains whether the debtor ever possessed the interest to which the lien fixed, before it fixed. If he or she did not, § 522(f)(1)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 522(f)(1)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5F49CCC6" w:rsidR="00D70FF3" w:rsidRDefault="00D70FF3" w:rsidP="00816126">
      <w:pPr>
        <w:ind w:firstLine="720"/>
        <w:jc w:val="both"/>
        <w:rPr>
          <w:rFonts w:ascii="Times New Roman" w:hAnsi="Times New Roman"/>
          <w:szCs w:val="24"/>
        </w:rPr>
      </w:pPr>
      <w:r w:rsidRPr="007A5BBC">
        <w:rPr>
          <w:rFonts w:ascii="Times New Roman" w:hAnsi="Times New Roman"/>
          <w:szCs w:val="24"/>
        </w:rPr>
        <w:t>We hold that § 522(f)(1)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2D41AEBC" w14:textId="77777777" w:rsidR="00E95EE9" w:rsidRPr="007A5BBC" w:rsidRDefault="00E95EE9" w:rsidP="00816126">
      <w:pPr>
        <w:ind w:firstLine="720"/>
        <w:jc w:val="both"/>
        <w:rPr>
          <w:rFonts w:ascii="Times New Roman" w:hAnsi="Times New Roman"/>
          <w:szCs w:val="24"/>
        </w:rPr>
      </w:pPr>
    </w:p>
    <w:bookmarkStart w:id="2134" w:name="_Toc87039235"/>
    <w:p w14:paraId="412EF3B4" w14:textId="0991B7B7" w:rsidR="00E4582A" w:rsidRPr="00E95EE9" w:rsidRDefault="00E95EE9" w:rsidP="00D95675">
      <w:pPr>
        <w:pStyle w:val="Heading3"/>
        <w:rPr>
          <w:u w:val="single"/>
        </w:rPr>
      </w:pPr>
      <w:r w:rsidRPr="00E95EE9">
        <w:rPr>
          <w:u w:val="single"/>
        </w:rPr>
        <w:fldChar w:fldCharType="begin"/>
      </w:r>
      <w:r w:rsidRPr="00E95EE9">
        <w:rPr>
          <w:u w:val="single"/>
        </w:rPr>
        <w:instrText xml:space="preserve"> HYPERLINK "https://scholar.google.com/scholar_case?case=4977446496776803222&amp;q=OWEN+v.+OWEN,+500+U.S.+305+&amp;hl=en&amp;as_sdt=6,33" </w:instrText>
      </w:r>
      <w:r w:rsidRPr="00E95EE9">
        <w:rPr>
          <w:u w:val="single"/>
        </w:rPr>
        <w:fldChar w:fldCharType="separate"/>
      </w:r>
      <w:bookmarkStart w:id="2135" w:name="_Toc90983631"/>
      <w:r w:rsidR="007559BB" w:rsidRPr="00E95EE9">
        <w:rPr>
          <w:rStyle w:val="Hyperlink"/>
        </w:rPr>
        <w:t>OWEN</w:t>
      </w:r>
      <w:r w:rsidR="00251308" w:rsidRPr="00E95EE9">
        <w:rPr>
          <w:rStyle w:val="Hyperlink"/>
        </w:rPr>
        <w:t xml:space="preserve"> v. </w:t>
      </w:r>
      <w:r w:rsidR="007559BB" w:rsidRPr="00E95EE9">
        <w:rPr>
          <w:rStyle w:val="Hyperlink"/>
        </w:rPr>
        <w:t>OWEN</w:t>
      </w:r>
      <w:r w:rsidR="00251308" w:rsidRPr="00E95EE9">
        <w:rPr>
          <w:rStyle w:val="Hyperlink"/>
        </w:rPr>
        <w:t>, 500 U.S. 305 (1991)</w:t>
      </w:r>
      <w:bookmarkStart w:id="2136" w:name="_Toc79693009"/>
      <w:bookmarkStart w:id="2137" w:name="_Toc79693329"/>
      <w:bookmarkStart w:id="2138" w:name="_Toc79693649"/>
      <w:bookmarkStart w:id="2139" w:name="_Toc79693966"/>
      <w:bookmarkStart w:id="2140" w:name="_Toc79694284"/>
      <w:bookmarkStart w:id="2141" w:name="_Toc79694606"/>
      <w:bookmarkStart w:id="2142" w:name="_Toc79694918"/>
      <w:bookmarkStart w:id="2143" w:name="_Toc79695234"/>
      <w:bookmarkStart w:id="2144" w:name="_Toc79695550"/>
      <w:bookmarkStart w:id="2145" w:name="_Toc79695866"/>
      <w:bookmarkStart w:id="2146" w:name="_Toc79696182"/>
      <w:bookmarkStart w:id="2147" w:name="_Toc79696498"/>
      <w:bookmarkStart w:id="2148" w:name="_Toc79696819"/>
      <w:bookmarkStart w:id="2149" w:name="_Toc79697151"/>
      <w:bookmarkStart w:id="2150" w:name="_Toc79697480"/>
      <w:bookmarkStart w:id="2151" w:name="_Toc79699151"/>
      <w:bookmarkStart w:id="2152" w:name="_Toc79699477"/>
      <w:bookmarkStart w:id="2153" w:name="_Toc79699815"/>
      <w:bookmarkStart w:id="2154" w:name="_Toc79700135"/>
      <w:bookmarkStart w:id="2155" w:name="_Toc79700457"/>
      <w:bookmarkStart w:id="2156" w:name="_Toc79700779"/>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r w:rsidRPr="00E95EE9">
        <w:rPr>
          <w:u w:val="single"/>
        </w:rPr>
        <w:fldChar w:fldCharType="end"/>
      </w:r>
      <w:r w:rsidRPr="00E95EE9">
        <w:rPr>
          <w:u w:val="single"/>
        </w:rPr>
        <w:br/>
      </w:r>
    </w:p>
    <w:p w14:paraId="2401ABD1" w14:textId="77777777" w:rsidR="00251308" w:rsidRPr="007559BB" w:rsidRDefault="00251308" w:rsidP="00251308">
      <w:pPr>
        <w:pStyle w:val="0-NORMAL"/>
      </w:pPr>
      <w:r w:rsidRPr="007559BB">
        <w:t>JUSTICE SCALIA delivered the opinion of the Court.</w:t>
      </w:r>
    </w:p>
    <w:p w14:paraId="6F292752" w14:textId="77777777" w:rsidR="00251308" w:rsidRDefault="00251308" w:rsidP="00034B53">
      <w:pPr>
        <w:pStyle w:val="0-NORMAL"/>
      </w:pPr>
      <w:r>
        <w:t>The Bankruptcy Code allows the States to define what property a debtor may exempt from the bankruptcy estate that will be distributed among his creditors. 11 U. S. C. § 522(b). The Code also provides that judicial liens encumbering exempt property can be eliminated. § 522(f). The question in this case is whether that elimination can operate when the State has defined the exempt property in such a way as specifically to exclude property encumbered by judicial liens.</w:t>
      </w:r>
    </w:p>
    <w:p w14:paraId="75954E8E" w14:textId="5D6CBF99" w:rsidR="00251308" w:rsidRDefault="00251308" w:rsidP="00034B53">
      <w:pPr>
        <w:pStyle w:val="0-NORMAL"/>
      </w:pPr>
      <w:r>
        <w:t xml:space="preserve">In 1975, Helen Owen, the respondent, obtained a judgment against petitioner Dwight Owen, her former husband, for </w:t>
      </w:r>
      <w:r w:rsidRPr="00034B53">
        <w:t>approximately</w:t>
      </w:r>
      <w:r>
        <w:t xml:space="preserve"> $160,000. The judgment was recorded in Sarasota County, Florida, in July 1976. Petitioner did not at that time own any property in Sarasota County, but under Florida law, the judgment would attach to any after-acquired property recorded in the county</w:t>
      </w:r>
      <w:r w:rsidR="00083725">
        <w:t xml:space="preserve">. </w:t>
      </w:r>
      <w:r>
        <w:t>In 1984, petitioner purchased a condominium in Sarasota County; upon acquisition of title, the property became subject to respondent's judgment lien.</w:t>
      </w:r>
    </w:p>
    <w:p w14:paraId="7BF38163" w14:textId="6E699C1B" w:rsidR="00251308" w:rsidRDefault="00251308" w:rsidP="00034B53">
      <w:pPr>
        <w:pStyle w:val="0-NORMAL"/>
      </w:pPr>
      <w:r>
        <w:t>One year later, Florida amended its homestead law so that petitioner's condominium, which previously had not qualified as a homestead, thereafter did. Under the Florida Constitution, homestead property is "</w:t>
      </w:r>
      <w:r w:rsidRPr="00034B53">
        <w:t>exempt</w:t>
      </w:r>
      <w:r>
        <w:t xml:space="preserve"> from forced sale . . . and no judgment, decree or execution [can] be a lien thereon . . .," Fla. Const., Art. 10, § 4(a). The Florida courts have interpreted this provision, however, as being inapplicable to pre-existing liens, </w:t>
      </w:r>
      <w:r>
        <w:rPr>
          <w:i/>
          <w:iCs/>
        </w:rPr>
        <w:t>i. e.,</w:t>
      </w:r>
      <w:r>
        <w:t> liens that attached before the property acquired its homestead status</w:t>
      </w:r>
      <w:r w:rsidR="00083725">
        <w:t xml:space="preserve">. </w:t>
      </w:r>
      <w:r>
        <w:t>Pre-existing liens, then, are in effect an exception to the Florida homestead exemption.</w:t>
      </w:r>
    </w:p>
    <w:p w14:paraId="47B7B112" w14:textId="77777777" w:rsidR="00251308" w:rsidRDefault="00251308" w:rsidP="00034B53">
      <w:pPr>
        <w:pStyle w:val="0-NORMAL"/>
      </w:pPr>
      <w:r>
        <w:t xml:space="preserve">In January 1986, petitioner filed for bankruptcy under Chapter 7 of the Code, and claimed a homestead exemption in his </w:t>
      </w:r>
      <w:r w:rsidRPr="00034B53">
        <w:t>Sarasota</w:t>
      </w:r>
      <w:r>
        <w:t xml:space="preserve"> condominium. The condominium, valued at approximately $135,000, was his primary asset; his liabilities included approximately $350,000 owed to respondent. The Bankruptcy Court discharged petitioner's personal liability for these debts, and sustained, over respondent's objections, his claimed exemption.</w:t>
      </w:r>
    </w:p>
    <w:p w14:paraId="38BB4392" w14:textId="00DBAD5E" w:rsidR="00251308" w:rsidRPr="00251308" w:rsidRDefault="00251308" w:rsidP="00034B53">
      <w:pPr>
        <w:pStyle w:val="0-NORMAL"/>
      </w:pPr>
      <w:r>
        <w:t xml:space="preserve">The condominium, however, remained subject to respondent's pre-existing lien, and after discharge, petitioner moved to reopen his case to avoid the lien pursuant to § 522(f)(1). The Bankruptcy Court refused to decree the avoidance; the District Court affirmed, finding that the lien had attached before the </w:t>
      </w:r>
      <w:r w:rsidRPr="00034B53">
        <w:t>property</w:t>
      </w:r>
      <w:r>
        <w:t xml:space="preserve"> qualified for the exemption, and that Florida law therefore did not exempt the lien-encumbered property. The Court of Appeals for the Eleventh Circuit affirmed on the same ground. We granted certiorari. </w:t>
      </w:r>
    </w:p>
    <w:p w14:paraId="031BF7CF" w14:textId="77777777" w:rsidR="00251308" w:rsidRDefault="00251308" w:rsidP="00034B53">
      <w:pPr>
        <w:pStyle w:val="0-NORMAL"/>
      </w:pPr>
      <w:r>
        <w:t xml:space="preserve">An estate in bankruptcy consists of all the interests in property, legal and equitable, possessed by the debtor at the time of filing, as well as those interests recovered or recoverable through transfer and lien avoidance provisions. An exemption is an interest withdrawn from the estate (and hence from the creditors) for the benefit of the debtor. Section 522 determines what property a debtor may exempt. </w:t>
      </w:r>
      <w:r w:rsidRPr="00034B53">
        <w:t>Under</w:t>
      </w:r>
      <w:r>
        <w:t xml:space="preserve"> § 522(b), he must select between a list of federal exemptions (set forth in § 522(d)) and the exemptions provided by his State, "unless the State law that is applicable to the debtor . . . specifically does not so authorize," §522(b)(1)— that is, unless the State "opts out" of the federal list. If a State opts out, then its debtors are limited to the exemptions provided by state law. Nothing in subsection (b) (or elsewhere in the Code) limits a State's power to restrict the scope of its exemptions; indeed, it could theoretically accord no exemptions at all.</w:t>
      </w:r>
    </w:p>
    <w:p w14:paraId="62FE636A" w14:textId="27012E9C" w:rsidR="00251308" w:rsidRDefault="00251308" w:rsidP="00034B53">
      <w:pPr>
        <w:pStyle w:val="0-NORMAL"/>
      </w:pPr>
      <w:r>
        <w:t>Property that is properly exempted under § 522 is (with some exceptions) immunized against liability for prebankruptcy debts. § 522(c). No property can be exempted (and thereby immunized), however, unless it first falls </w:t>
      </w:r>
      <w:r>
        <w:rPr>
          <w:i/>
          <w:iCs/>
        </w:rPr>
        <w:t>within</w:t>
      </w:r>
      <w:r>
        <w:t xml:space="preserve"> the bankruptcy estate. Section 522(b) provides that the debtor may exempt certain property "from property of the estate"; obviously, then, an interest that is not possessed by the estate cannot be exempted. Thus, if a debtor holds only bare legal title to his house—if, for example, the house is subject to a purchase-money mortgage for its full value—then only that legal interest passes to the estate; the equitable interest remains with the mortgage holder, § 541(d). And since the equitable interest does not pass to the estate, neither can it pass to the debtor as an exempt interest in property. Legal title will pass, and can be the subject of an exemption; but the property will remain subject to the lien interest of the mortgage holder. This was the rule of </w:t>
      </w:r>
      <w:hyperlink r:id="rId122" w:history="1">
        <w:r>
          <w:rPr>
            <w:rStyle w:val="Hyperlink"/>
            <w:rFonts w:ascii="Arial" w:hAnsi="Arial" w:cs="Arial"/>
            <w:i/>
            <w:iCs/>
            <w:color w:val="1A0DAB"/>
            <w:sz w:val="21"/>
            <w:szCs w:val="21"/>
          </w:rPr>
          <w:t>Long</w:t>
        </w:r>
        <w:r>
          <w:rPr>
            <w:rStyle w:val="Hyperlink"/>
            <w:rFonts w:ascii="Arial" w:hAnsi="Arial" w:cs="Arial"/>
            <w:color w:val="1A0DAB"/>
            <w:sz w:val="21"/>
            <w:szCs w:val="21"/>
          </w:rPr>
          <w:t> v. </w:t>
        </w:r>
        <w:r>
          <w:rPr>
            <w:rStyle w:val="Hyperlink"/>
            <w:rFonts w:ascii="Arial" w:hAnsi="Arial" w:cs="Arial"/>
            <w:i/>
            <w:iCs/>
            <w:color w:val="1A0DAB"/>
            <w:sz w:val="21"/>
            <w:szCs w:val="21"/>
          </w:rPr>
          <w:t>Bullard,</w:t>
        </w:r>
        <w:r>
          <w:rPr>
            <w:rStyle w:val="Hyperlink"/>
            <w:rFonts w:ascii="Arial" w:hAnsi="Arial" w:cs="Arial"/>
            <w:color w:val="1A0DAB"/>
            <w:sz w:val="21"/>
            <w:szCs w:val="21"/>
          </w:rPr>
          <w:t> 117 U. S. 617 (1886),</w:t>
        </w:r>
      </w:hyperlink>
      <w:r>
        <w:t xml:space="preserve"> codified in § 522. Only where the Code empowers the court to avoid liens or transfers can an interest </w:t>
      </w:r>
      <w:r w:rsidRPr="00034B53">
        <w:t>originally</w:t>
      </w:r>
      <w:r>
        <w:t xml:space="preserve"> not within the estate be passed to the estate, and subsequently (through the claim of an exemption) to the debtor.</w:t>
      </w:r>
    </w:p>
    <w:p w14:paraId="5438C196" w14:textId="6C1F0C57" w:rsidR="00251308" w:rsidRDefault="00251308" w:rsidP="00034B53">
      <w:pPr>
        <w:pStyle w:val="0-NORMAL"/>
      </w:pPr>
      <w:r>
        <w:t>It is such an avoidance provision that is at issue here, to which we now turn. Section 522(f) reads as follows:</w:t>
      </w:r>
    </w:p>
    <w:p w14:paraId="7E2963C8" w14:textId="77777777" w:rsidR="00886F9A" w:rsidRPr="007559BB" w:rsidRDefault="00886F9A" w:rsidP="00034B53">
      <w:pPr>
        <w:pStyle w:val="0-NORMAL"/>
      </w:pPr>
    </w:p>
    <w:p w14:paraId="20676D70" w14:textId="77777777" w:rsidR="00251308" w:rsidRPr="007559BB" w:rsidRDefault="00251308" w:rsidP="00251308">
      <w:pPr>
        <w:pStyle w:val="Quote"/>
        <w:ind w:firstLine="0"/>
      </w:pPr>
      <w:r w:rsidRPr="007559BB">
        <w:t>"(f) Notwithstanding any waiver of exemptions, the debtor may avoid the fixing of a lien on an interest of the debtor in property to the extent that such lien impairs an exemption to which the debtor would have been entitled under subsection (b) of this section, if such lien is—</w:t>
      </w:r>
    </w:p>
    <w:p w14:paraId="3ADE2247" w14:textId="6DE164FA" w:rsidR="00251308" w:rsidRDefault="00251308" w:rsidP="00251308">
      <w:pPr>
        <w:pStyle w:val="Quote"/>
      </w:pPr>
      <w:r>
        <w:t>(1) a judicial lien; or</w:t>
      </w:r>
    </w:p>
    <w:p w14:paraId="76D5C74B" w14:textId="1A84A602" w:rsidR="00251308" w:rsidRDefault="00251308" w:rsidP="00251308">
      <w:pPr>
        <w:pStyle w:val="Quote"/>
        <w:ind w:left="2160" w:firstLine="0"/>
      </w:pPr>
      <w:r>
        <w:t>(2) a nonpossessory, nonpurchase-money security interest . . . ."</w:t>
      </w:r>
    </w:p>
    <w:p w14:paraId="024B8FB8" w14:textId="54B1CBF2" w:rsidR="00251308" w:rsidRDefault="00251308" w:rsidP="00034B53">
      <w:pPr>
        <w:pStyle w:val="0-NORMAL"/>
      </w:pPr>
      <w:r>
        <w:t xml:space="preserve">The lien in the present </w:t>
      </w:r>
      <w:r w:rsidRPr="00034B53">
        <w:t>case</w:t>
      </w:r>
      <w:r>
        <w:t xml:space="preserve"> is a judicial lien, and we assume without deciding that it fixed "on an interest of the debtor in property." See </w:t>
      </w:r>
      <w:r>
        <w:rPr>
          <w:i/>
          <w:iCs/>
        </w:rPr>
        <w:t>Farrey</w:t>
      </w:r>
      <w:r>
        <w:t> v. </w:t>
      </w:r>
      <w:r>
        <w:rPr>
          <w:i/>
          <w:iCs/>
        </w:rPr>
        <w:t>Sanderfoot</w:t>
      </w:r>
      <w:r>
        <w:t>. The question presented by this case is whether it "impairs an exemption to which [petitioner] would have been entitled under subsection (b)." Since Florida has chosen to opt out of the listed federal exemptions, the only subsection (b) exemption at issue is the Florida homestead exemption described above. Respondent suggests that, to resolve this case, we need only ask whether the judicial lien impairs that exemption. It obviously does not, since the Florida homestead exemption is not assertable against pre-existing judicial liens. To permit avoidance of the lien, respondent urges, would not </w:t>
      </w:r>
      <w:r>
        <w:rPr>
          <w:i/>
          <w:iCs/>
        </w:rPr>
        <w:t>preserve</w:t>
      </w:r>
      <w:r>
        <w:t> the exemption but would </w:t>
      </w:r>
      <w:r>
        <w:rPr>
          <w:i/>
          <w:iCs/>
        </w:rPr>
        <w:t>expand</w:t>
      </w:r>
      <w:r>
        <w:t> it.</w:t>
      </w:r>
    </w:p>
    <w:p w14:paraId="27D548E8" w14:textId="03BF6C9E" w:rsidR="00251308" w:rsidRDefault="00251308" w:rsidP="00034B53">
      <w:pPr>
        <w:pStyle w:val="0-NORMAL"/>
      </w:pPr>
      <w:r>
        <w:t> At first blush, this seems entirely reasonable. Several Courts of Appeals in addition to the Eleventh Circuit here have reached this result with respect to built-in limitations on state exemptions,</w:t>
      </w:r>
      <w:hyperlink r:id="rId123" w:anchor="[1]" w:history="1">
        <w:r>
          <w:rPr>
            <w:rStyle w:val="Hyperlink"/>
            <w:rFonts w:ascii="Arial" w:hAnsi="Arial" w:cs="Arial"/>
            <w:color w:val="1A0DAB"/>
            <w:sz w:val="21"/>
            <w:szCs w:val="21"/>
            <w:vertAlign w:val="superscript"/>
          </w:rPr>
          <w:t>]</w:t>
        </w:r>
      </w:hyperlink>
      <w:r>
        <w:rPr>
          <w:vertAlign w:val="superscript"/>
        </w:rPr>
        <w:t xml:space="preserve"> </w:t>
      </w:r>
      <w:r>
        <w:t xml:space="preserve">though others have </w:t>
      </w:r>
      <w:r w:rsidRPr="00034B53">
        <w:t>rejected</w:t>
      </w:r>
      <w:r>
        <w:t xml:space="preserve"> it</w:t>
      </w:r>
      <w:r w:rsidR="00083725">
        <w:t xml:space="preserve">. </w:t>
      </w:r>
      <w:r>
        <w:t>What must give us pause, however, is that this result has been widely </w:t>
      </w:r>
      <w:r>
        <w:rPr>
          <w:i/>
          <w:iCs/>
        </w:rPr>
        <w:t>and uniformly</w:t>
      </w:r>
      <w:r>
        <w:t> rejected with respect to built-in limitations on the </w:t>
      </w:r>
      <w:r>
        <w:rPr>
          <w:i/>
          <w:iCs/>
        </w:rPr>
        <w:t>federal</w:t>
      </w:r>
      <w:r>
        <w:t> exemptions. Most of the federally listed exemptions (set forth in § 522(d)) are explicitly restricted to the "debtor's aggregate interest" or the "debtor's interest" up to a maximum amount. See §§ 522(d)(1)-(6), (8). If respondent's approach to § 522(f) were applied, all of these exemptions (and perhaps others as well) would be limited by unavoided encumbering liens, see § 522(c). The federal homestead exemption, for example, allows the debtor to exempt from the property of the estate "[t]he debtor's aggregate interest, not to exceed $7,500 in value, in . . . a residence." § 522(d)(1). If respondent's interpretation of § 522(f) were applied to this exemption, a debtor who owned a house worth $10,000 that was subject to a judicial lien for $9,000 would not be entitled to the full homestead exemption of $7,500. The judicial lien would not be avoidable under § 522(f), since it does not "impair" the exemption, which is limited to the debtor's "aggregate interest" of $1,000. The uniform practice of bankruptcy courts, however, is to the contrary. To determine the application of § 522(f) they ask not whether the lien impairs an exemption to which the debtor is in fact entitled, but whether it impairs an exemption to which he </w:t>
      </w:r>
      <w:r>
        <w:rPr>
          <w:i/>
          <w:iCs/>
        </w:rPr>
        <w:t>would have been</w:t>
      </w:r>
      <w:r>
        <w:t xml:space="preserve"> entitled but for the lien itself. </w:t>
      </w:r>
    </w:p>
    <w:p w14:paraId="3C5AB590" w14:textId="77777777" w:rsidR="00251308" w:rsidRDefault="00251308" w:rsidP="00034B53">
      <w:pPr>
        <w:pStyle w:val="0-NORMAL"/>
      </w:pPr>
      <w:r>
        <w:t>As the preceding italicized words suggest, this reading is more consonant with the text of § 522(f)—which establishes as the baseline, against which impairment is to be measured, not an exemption to which the debtor "</w:t>
      </w:r>
      <w:r>
        <w:rPr>
          <w:i/>
          <w:iCs/>
        </w:rPr>
        <w:t>is</w:t>
      </w:r>
      <w:r>
        <w:t> entitled," but one to which he </w:t>
      </w:r>
      <w:r>
        <w:rPr>
          <w:i/>
          <w:iCs/>
        </w:rPr>
        <w:t>"would have been</w:t>
      </w:r>
      <w:r>
        <w:t xml:space="preserve"> entitled." The latter phrase denotes a </w:t>
      </w:r>
      <w:r w:rsidRPr="00034B53">
        <w:t>state</w:t>
      </w:r>
      <w:r>
        <w:t xml:space="preserve"> of affairs that is conceived or hypothetical, rather than actual, and requires the reader to disregard some element of reality. "Would have been" </w:t>
      </w:r>
      <w:r>
        <w:rPr>
          <w:i/>
          <w:iCs/>
        </w:rPr>
        <w:t>but for what?</w:t>
      </w:r>
      <w:r>
        <w:t> The answer given, with respect to the federal exemptions, has been </w:t>
      </w:r>
      <w:r>
        <w:rPr>
          <w:i/>
          <w:iCs/>
        </w:rPr>
        <w:t>but for the lien at issue,</w:t>
      </w:r>
      <w:r>
        <w:t> and that seems to us correct.</w:t>
      </w:r>
    </w:p>
    <w:p w14:paraId="7EF43884" w14:textId="0E9ED54C" w:rsidR="00251308" w:rsidRDefault="00251308" w:rsidP="00034B53">
      <w:pPr>
        <w:pStyle w:val="0-NORMAL"/>
      </w:pPr>
      <w:r>
        <w:t>The only other conceivable possibility is </w:t>
      </w:r>
      <w:r>
        <w:rPr>
          <w:i/>
          <w:iCs/>
        </w:rPr>
        <w:t>but for a waiver</w:t>
      </w:r>
      <w:r>
        <w:t>— harking back to the beginning phrase of § 522(f), "Notwithstanding any waiver of exemptions . . . ." The use of contrary-to-fact construction after a "</w:t>
      </w:r>
      <w:r w:rsidRPr="00034B53">
        <w:t>notwithstanding</w:t>
      </w:r>
      <w:r>
        <w:t>" phrase is not, however, common usage, if even permissible. Moreover, though one might employ it when the "notwithstanding" phrase is the main point of the provision in question ("Notwithstanding any waiver, a debtor shall retain those exemptions to which he would have been entitled under subsection (b)"), it would be most strange to employ it where the "notwithstanding" phrase, as here, is an aside. The point of § 522(f) is not to exclude waivers (though that is done in passing, waivers are addressed directly in § 522(e)) but to provide that the debtor may avoid the fixing of a lien. In that context, for every instance in which "would have been entitled" may be accurate (because the incidentally mentioned waiver occurred) there will be thousands of instances in which "is entitled" should have been used. It seems to us that "would have been entitled" must refer to the generality, if not indeed the universality, of cases covered by the provision; and on that premise the only conceivable fact we are invited to disregard is the existence of the lien.</w:t>
      </w:r>
    </w:p>
    <w:p w14:paraId="7A290CAC" w14:textId="77777777" w:rsidR="00251308" w:rsidRDefault="00251308" w:rsidP="00034B53">
      <w:pPr>
        <w:pStyle w:val="0-NORMAL"/>
      </w:pPr>
      <w:r>
        <w:t xml:space="preserve">This reading must also be accepted, at least with respect to the federal exemptions, if § 522(f) is not to become an </w:t>
      </w:r>
      <w:r w:rsidRPr="00034B53">
        <w:t>irrelevancy</w:t>
      </w:r>
      <w:r>
        <w:t xml:space="preserve"> with respect to the most venerable, most common, and most important exemptions. The federal exemptions for homesteads (§ 522(d)(1)), for motor vehicles (§ 522(d)(2)), for household goods and wearing apparel (§ 522(d)(3)), and for tools of the trade (§ 522(d)(6)), are all defined by reference to the debtor's "interest" or "aggregate interest," so that if respondent's interpretation is accepted, no encumbrances of these could be avoided. Surely § 522(f) promises more than that—and surely it would be bizarre for the federal scheme to prevent the avoidance of liens on those items, but to permit it for the less crucial items (for example, an "unmatured life insurance contract owned by the debtor," § 522(d)(7)) that are not described in such fashion as unquestionably to exclude liens.</w:t>
      </w:r>
    </w:p>
    <w:p w14:paraId="13D811E8" w14:textId="5CA58125" w:rsidR="00251308" w:rsidRDefault="00251308" w:rsidP="00034B53">
      <w:pPr>
        <w:pStyle w:val="0-NORMAL"/>
      </w:pPr>
      <w:r>
        <w:t xml:space="preserve">We have no doubt, then, </w:t>
      </w:r>
      <w:r w:rsidRPr="00034B53">
        <w:t>that</w:t>
      </w:r>
      <w:r>
        <w:t xml:space="preserve"> the lower courts' unanimously agreed-upon manner of applying § 522(f) to federal exemptions—ask first whether avoiding the lien would entitle the debtor to an exemption, and if it would, then avoid  and recover the lien—is correct. The question then becomes whether a different interpretation should be adopted for state exemptions. We do not see how that could be possible. Nothing in the text of § 522(f) remotely justifies treating the two categories of exemptions differently. The provision refers to the impairment of "exemption[s] to which the debtor would have been entitled under subsection (b)," and that includes federal exemptions and state exemptions alike. Nor is there any overwhelmingly clear policy impelling us, if we possessed the power, to create a distinction that the words of the statute do not contain. Respondent asserts that it is inconsistent with the Bankruptcy Code's "opt-out" policy, whereby the States may define their own exemptions, to refuse to take those exemptions with all their built-in limitations. That is plainly not true, however, since there is no doubt that a state exemption which purports to be available "unless waived" will be given full effect, </w:t>
      </w:r>
      <w:r>
        <w:rPr>
          <w:i/>
          <w:iCs/>
        </w:rPr>
        <w:t>even if it has been waived,</w:t>
      </w:r>
      <w:r>
        <w:t> for purposes of § 522(f)—the first phrase of which, as we have noted, recites that it applies "[n]otwithstanding any waiver of exemptions." Just as it is not inconsistent with the policy of permitting state-defined exemptions to have another policy disfavoring waiver of exemptions, whether federal- or state-created; so also it is not inconsistent to have a policy disfavoring the impingement of certain types of liens upon exemptions, whether federal- or state-created. We have no basis for pronouncing the opt-out policy absolute, but must apply it along with whatever other competing or limiting policies the statute contains.</w:t>
      </w:r>
    </w:p>
    <w:p w14:paraId="4FD9F16C" w14:textId="3F8518E1" w:rsidR="00251308" w:rsidRPr="00251308" w:rsidRDefault="00251308" w:rsidP="00034B53">
      <w:pPr>
        <w:pStyle w:val="0-NORMAL"/>
      </w:pPr>
      <w:r>
        <w:t>On the basis of the analysis we have set forth above with respect to federal exemptions, and in light of the equivalency of treatment accorded to federal and state exemptions by § 522(f), we conclude that Florida's exclusion of certain liens from the scope of its homestead protection does not achieve a similar exclusion from the Bankruptcy Code's lien avoidance provision.</w:t>
      </w:r>
      <w:r w:rsidRPr="00251308">
        <w:t xml:space="preserve"> </w:t>
      </w:r>
    </w:p>
    <w:p w14:paraId="770FA581" w14:textId="47FE9056" w:rsidR="00251308" w:rsidRDefault="00251308" w:rsidP="00034B53">
      <w:pPr>
        <w:pStyle w:val="0-NORMAL"/>
      </w:pPr>
      <w:r>
        <w:t xml:space="preserve">The foregoing </w:t>
      </w:r>
      <w:r w:rsidRPr="00034B53">
        <w:t>conclusion</w:t>
      </w:r>
      <w:r>
        <w:t xml:space="preserve"> does not necessarily resolve this case. Section 522(f) permits the avoidance of the "fixing of a lien on an interest of the debtor." Some courts have held it inapplicable to a lien that was already attached to property when the debtor acquired it, since in such a case there never was a "</w:t>
      </w:r>
      <w:r>
        <w:rPr>
          <w:i/>
          <w:iCs/>
        </w:rPr>
        <w:t>fixing</w:t>
      </w:r>
      <w:r>
        <w:t> of a lien" on </w:t>
      </w:r>
      <w:r>
        <w:rPr>
          <w:i/>
          <w:iCs/>
        </w:rPr>
        <w:t>the debtor's</w:t>
      </w:r>
      <w:r>
        <w:t> interest. Under Florida law, the lien may have attached simultaneously with the acquisition of the property interest. If so, it could be argued that the lien did not fix "on an interest of the debtor." See </w:t>
      </w:r>
      <w:r>
        <w:rPr>
          <w:i/>
          <w:iCs/>
        </w:rPr>
        <w:t>Farrey</w:t>
      </w:r>
      <w:r>
        <w:t> v. </w:t>
      </w:r>
      <w:r>
        <w:rPr>
          <w:i/>
          <w:iCs/>
        </w:rPr>
        <w:t>Sanderfoot</w:t>
      </w:r>
      <w:r>
        <w:t>. The Court of Appeals did not pass on this issue, nor on the subsidiary question whether the Florida statute extending the homestead exemption was a taking, We express no opinion on these points, and leave them to be considered by the Court of Appeals on remand.</w:t>
      </w: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BFA2223" w14:textId="748DF69E" w:rsidR="00767070" w:rsidRPr="00672AB5" w:rsidRDefault="00767070" w:rsidP="00E95EE9">
      <w:pPr>
        <w:pStyle w:val="Heading1"/>
        <w:spacing w:line="240" w:lineRule="auto"/>
        <w:rPr>
          <w:rFonts w:ascii="Arial" w:hAnsi="Arial"/>
          <w:szCs w:val="22"/>
        </w:rPr>
      </w:pPr>
      <w:bookmarkStart w:id="2157" w:name="_Toc417380807"/>
      <w:r>
        <w:t xml:space="preserve"> </w:t>
      </w:r>
      <w:bookmarkStart w:id="2158" w:name="_Toc79699152"/>
      <w:bookmarkStart w:id="2159" w:name="_Toc79699478"/>
      <w:bookmarkStart w:id="2160" w:name="_Toc79699816"/>
      <w:bookmarkStart w:id="2161" w:name="_Toc79700136"/>
      <w:bookmarkStart w:id="2162" w:name="_Toc79700458"/>
      <w:bookmarkStart w:id="2163" w:name="_Toc87039236"/>
      <w:bookmarkStart w:id="2164" w:name="_Toc90983632"/>
      <w:r w:rsidR="00AF597A" w:rsidRPr="007A5BBC">
        <w:t>The Automatic Stay</w:t>
      </w:r>
      <w:bookmarkStart w:id="2165" w:name="_Toc417378943"/>
      <w:bookmarkStart w:id="2166" w:name="_Toc417380808"/>
      <w:bookmarkStart w:id="2167" w:name="_Toc417380809"/>
      <w:bookmarkStart w:id="2168" w:name="_Toc438473185"/>
      <w:bookmarkStart w:id="2169" w:name="_Toc438473501"/>
      <w:bookmarkStart w:id="2170" w:name="_Toc438473817"/>
      <w:bookmarkStart w:id="2171" w:name="_Toc438474133"/>
      <w:bookmarkStart w:id="2172" w:name="_Toc438476594"/>
      <w:bookmarkStart w:id="2173" w:name="_Toc438661347"/>
      <w:bookmarkStart w:id="2174" w:name="_Toc438661676"/>
      <w:bookmarkStart w:id="2175" w:name="_Toc438662071"/>
      <w:bookmarkStart w:id="2176" w:name="_Toc438662403"/>
      <w:bookmarkStart w:id="2177" w:name="_Toc438662741"/>
      <w:bookmarkStart w:id="2178" w:name="_Toc438663073"/>
      <w:bookmarkStart w:id="2179" w:name="_Toc438663400"/>
      <w:bookmarkStart w:id="2180" w:name="_Toc438663727"/>
      <w:bookmarkStart w:id="2181" w:name="_Toc438664052"/>
      <w:bookmarkStart w:id="2182" w:name="_Toc438664379"/>
      <w:bookmarkStart w:id="2183" w:name="_Toc438665124"/>
      <w:bookmarkStart w:id="2184" w:name="_Toc450735068"/>
      <w:bookmarkStart w:id="2185" w:name="_Toc450735397"/>
      <w:bookmarkStart w:id="2186" w:name="_Toc450739793"/>
      <w:bookmarkStart w:id="2187" w:name="_Toc457995613"/>
      <w:bookmarkStart w:id="2188" w:name="_Toc457997442"/>
      <w:bookmarkStart w:id="2189" w:name="_Toc458006674"/>
      <w:bookmarkStart w:id="2190" w:name="_Toc458074986"/>
      <w:bookmarkStart w:id="2191" w:name="_Toc485065520"/>
      <w:bookmarkStart w:id="2192" w:name="_Toc438473186"/>
      <w:bookmarkStart w:id="2193" w:name="_Toc438473502"/>
      <w:bookmarkStart w:id="2194" w:name="_Toc438473818"/>
      <w:bookmarkStart w:id="2195" w:name="_Toc438474134"/>
      <w:bookmarkStart w:id="2196" w:name="_Toc438476595"/>
      <w:bookmarkStart w:id="2197" w:name="_Toc438661348"/>
      <w:bookmarkStart w:id="2198" w:name="_Toc438661677"/>
      <w:bookmarkStart w:id="2199" w:name="_Toc438662072"/>
      <w:bookmarkStart w:id="2200" w:name="_Toc438662404"/>
      <w:bookmarkStart w:id="2201" w:name="_Toc438662742"/>
      <w:bookmarkStart w:id="2202" w:name="_Toc438663074"/>
      <w:bookmarkStart w:id="2203" w:name="_Toc438663401"/>
      <w:bookmarkStart w:id="2204" w:name="_Toc438663728"/>
      <w:bookmarkStart w:id="2205" w:name="_Toc438664053"/>
      <w:bookmarkStart w:id="2206" w:name="_Toc438664380"/>
      <w:bookmarkStart w:id="2207" w:name="_Toc438665125"/>
      <w:bookmarkStart w:id="2208" w:name="_Toc450735069"/>
      <w:bookmarkStart w:id="2209" w:name="_Toc450735398"/>
      <w:bookmarkStart w:id="2210" w:name="_Toc450739794"/>
      <w:bookmarkStart w:id="2211" w:name="_Toc457995614"/>
      <w:bookmarkStart w:id="2212" w:name="_Toc457997443"/>
      <w:bookmarkStart w:id="2213" w:name="_Toc458006675"/>
      <w:bookmarkStart w:id="2214" w:name="_Toc458074987"/>
      <w:bookmarkStart w:id="2215" w:name="_Toc485065521"/>
      <w:bookmarkStart w:id="2216" w:name="_Toc79687368"/>
      <w:bookmarkStart w:id="2217" w:name="_Toc79687692"/>
      <w:bookmarkStart w:id="2218" w:name="_Toc79688059"/>
      <w:bookmarkStart w:id="2219" w:name="_Toc79688388"/>
      <w:bookmarkStart w:id="2220" w:name="_Toc79689324"/>
      <w:bookmarkStart w:id="2221" w:name="_Toc79693010"/>
      <w:bookmarkStart w:id="2222" w:name="_Toc79693330"/>
      <w:bookmarkStart w:id="2223" w:name="_Toc79693650"/>
      <w:bookmarkStart w:id="2224" w:name="_Toc79693967"/>
      <w:bookmarkStart w:id="2225" w:name="_Toc79694285"/>
      <w:bookmarkStart w:id="2226" w:name="_Toc79694607"/>
      <w:bookmarkStart w:id="2227" w:name="_Toc79694919"/>
      <w:bookmarkStart w:id="2228" w:name="_Toc79695235"/>
      <w:bookmarkStart w:id="2229" w:name="_Toc79695551"/>
      <w:bookmarkStart w:id="2230" w:name="_Toc79695867"/>
      <w:bookmarkStart w:id="2231" w:name="_Toc79696183"/>
      <w:bookmarkStart w:id="2232" w:name="_Toc79696499"/>
      <w:bookmarkStart w:id="2233" w:name="_Toc79696820"/>
      <w:bookmarkStart w:id="2234" w:name="_Toc79697152"/>
      <w:bookmarkStart w:id="2235" w:name="_Toc79697481"/>
      <w:bookmarkStart w:id="2236" w:name="_Toc417380810"/>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r w:rsidR="00E95EE9">
        <w:br/>
      </w:r>
    </w:p>
    <w:p w14:paraId="412EF3B8" w14:textId="0F1CCA58" w:rsidR="005953CD" w:rsidRPr="007A5BBC" w:rsidRDefault="005953CD" w:rsidP="00E95EE9">
      <w:pPr>
        <w:pStyle w:val="Heading2"/>
        <w:spacing w:line="240" w:lineRule="auto"/>
      </w:pPr>
      <w:bookmarkStart w:id="2237" w:name="_Toc79699153"/>
      <w:bookmarkStart w:id="2238" w:name="_Toc79699479"/>
      <w:bookmarkStart w:id="2239" w:name="_Toc79699817"/>
      <w:bookmarkStart w:id="2240" w:name="_Toc79700137"/>
      <w:bookmarkStart w:id="2241" w:name="_Toc79700459"/>
      <w:bookmarkStart w:id="2242" w:name="_Toc87039237"/>
      <w:bookmarkStart w:id="2243" w:name="_Toc90983633"/>
      <w:r w:rsidRPr="007A5BBC">
        <w:t xml:space="preserve">What is the </w:t>
      </w:r>
      <w:r w:rsidR="00E95EE9">
        <w:t>A</w:t>
      </w:r>
      <w:r w:rsidRPr="007A5BBC">
        <w:t xml:space="preserve">utomatic </w:t>
      </w:r>
      <w:r w:rsidR="00E95EE9">
        <w:t>S</w:t>
      </w:r>
      <w:r w:rsidRPr="007A5BBC">
        <w:t>tay?</w:t>
      </w:r>
      <w:bookmarkStart w:id="2244" w:name="_Toc79693011"/>
      <w:bookmarkStart w:id="2245" w:name="_Toc79693331"/>
      <w:bookmarkStart w:id="2246" w:name="_Toc79693651"/>
      <w:bookmarkStart w:id="2247" w:name="_Toc79693968"/>
      <w:bookmarkStart w:id="2248" w:name="_Toc79694608"/>
      <w:bookmarkStart w:id="2249" w:name="_Toc79695236"/>
      <w:bookmarkStart w:id="2250" w:name="_Toc79697482"/>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00E95EE9">
        <w:br/>
      </w:r>
    </w:p>
    <w:p w14:paraId="412EF3B9" w14:textId="5CA05DBC"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The automatic stay, 11 U.S.C. § 362,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r w:rsidR="00CD5134" w:rsidRPr="007A5BBC">
        <w:rPr>
          <w:rFonts w:ascii="Times New Roman" w:hAnsi="Times New Roman"/>
          <w:szCs w:val="24"/>
        </w:rPr>
        <w:t>11 U.S.C. § 362(a).</w:t>
      </w:r>
    </w:p>
    <w:p w14:paraId="412EF3BA" w14:textId="3002EF4D"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r w:rsidR="004728B6" w:rsidRPr="007A5BBC">
        <w:rPr>
          <w:rFonts w:ascii="Times New Roman" w:hAnsi="Times New Roman"/>
          <w:szCs w:val="24"/>
        </w:rPr>
        <w:t xml:space="preserve">11 U.S.C. § </w:t>
      </w:r>
      <w:r w:rsidRPr="007A5BBC">
        <w:rPr>
          <w:rFonts w:ascii="Times New Roman" w:hAnsi="Times New Roman"/>
          <w:szCs w:val="24"/>
        </w:rPr>
        <w:t>362(b)(1)), certain family law proceedings (</w:t>
      </w:r>
      <w:r w:rsidR="004728B6" w:rsidRPr="007A5BBC">
        <w:rPr>
          <w:rFonts w:ascii="Times New Roman" w:hAnsi="Times New Roman"/>
          <w:szCs w:val="24"/>
        </w:rPr>
        <w:t xml:space="preserve">11 U.S.C. § </w:t>
      </w:r>
      <w:r w:rsidRPr="007A5BBC">
        <w:rPr>
          <w:rFonts w:ascii="Times New Roman" w:hAnsi="Times New Roman"/>
          <w:szCs w:val="24"/>
        </w:rPr>
        <w:t xml:space="preserve">362(b)(2)), so-called “police and regulatory powers” (buried in </w:t>
      </w:r>
      <w:r w:rsidR="004728B6" w:rsidRPr="007A5BBC">
        <w:rPr>
          <w:rFonts w:ascii="Times New Roman" w:hAnsi="Times New Roman"/>
          <w:szCs w:val="24"/>
        </w:rPr>
        <w:t xml:space="preserve">11 U.S.C. § </w:t>
      </w:r>
      <w:r w:rsidRPr="007A5BBC">
        <w:rPr>
          <w:rFonts w:ascii="Times New Roman" w:hAnsi="Times New Roman"/>
          <w:szCs w:val="24"/>
        </w:rPr>
        <w:t>362(b)(4)), and eviction actions against residential tenants in certain situations</w:t>
      </w:r>
      <w:r w:rsidR="00CD5134" w:rsidRPr="007A5BBC">
        <w:rPr>
          <w:rFonts w:ascii="Times New Roman" w:hAnsi="Times New Roman"/>
          <w:szCs w:val="24"/>
        </w:rPr>
        <w:t xml:space="preserve"> (</w:t>
      </w:r>
      <w:r w:rsidR="004728B6" w:rsidRPr="007A5BBC">
        <w:rPr>
          <w:rFonts w:ascii="Times New Roman" w:hAnsi="Times New Roman"/>
          <w:szCs w:val="24"/>
        </w:rPr>
        <w:t xml:space="preserve">11 U.S.C. § </w:t>
      </w:r>
      <w:r w:rsidR="00CD5134" w:rsidRPr="007A5BBC">
        <w:rPr>
          <w:rFonts w:ascii="Times New Roman" w:hAnsi="Times New Roman"/>
          <w:szCs w:val="24"/>
        </w:rPr>
        <w:t>362(b)(22-23)).</w:t>
      </w:r>
    </w:p>
    <w:p w14:paraId="412EF3BB" w14:textId="3D5EEF1A"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r w:rsidR="004728B6" w:rsidRPr="007A5BBC">
        <w:rPr>
          <w:rFonts w:ascii="Times New Roman" w:hAnsi="Times New Roman"/>
          <w:szCs w:val="24"/>
        </w:rPr>
        <w:t xml:space="preserve">11 U.S.C. § </w:t>
      </w:r>
      <w:r w:rsidRPr="007A5BBC">
        <w:rPr>
          <w:rFonts w:ascii="Times New Roman" w:hAnsi="Times New Roman"/>
          <w:szCs w:val="24"/>
        </w:rPr>
        <w:t>362(c)), and there are important provisions for creditors to obtain relief from the automatic stay by motion (</w:t>
      </w:r>
      <w:r w:rsidR="004728B6" w:rsidRPr="007A5BBC">
        <w:rPr>
          <w:rFonts w:ascii="Times New Roman" w:hAnsi="Times New Roman"/>
          <w:szCs w:val="24"/>
        </w:rPr>
        <w:t xml:space="preserve">11 U.S.C. § </w:t>
      </w:r>
      <w:r w:rsidRPr="007A5BBC">
        <w:rPr>
          <w:rFonts w:ascii="Times New Roman" w:hAnsi="Times New Roman"/>
          <w:szCs w:val="24"/>
        </w:rPr>
        <w:t xml:space="preserve">362(d)).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41E04B3B" w:rsidR="000F5128"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065C6">
        <w:rPr>
          <w:rFonts w:ascii="Times New Roman" w:hAnsi="Times New Roman"/>
          <w:i/>
          <w:iCs/>
          <w:szCs w:val="24"/>
        </w:rPr>
        <w:t xml:space="preserve">See </w:t>
      </w:r>
      <w:r w:rsidR="004728B6" w:rsidRPr="007A5BBC">
        <w:rPr>
          <w:rFonts w:ascii="Times New Roman" w:hAnsi="Times New Roman"/>
          <w:szCs w:val="24"/>
        </w:rPr>
        <w:t xml:space="preserve">11 U.S.C. § </w:t>
      </w:r>
      <w:r w:rsidRPr="007A5BBC">
        <w:rPr>
          <w:rFonts w:ascii="Times New Roman" w:hAnsi="Times New Roman"/>
          <w:szCs w:val="24"/>
        </w:rPr>
        <w:t>362(k)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54B2F73D" w14:textId="77777777" w:rsidR="00E95EE9" w:rsidRPr="007A5BBC" w:rsidRDefault="00E95EE9" w:rsidP="00507BA7">
      <w:pPr>
        <w:ind w:firstLine="720"/>
        <w:jc w:val="both"/>
        <w:rPr>
          <w:rFonts w:ascii="Times New Roman" w:hAnsi="Times New Roman"/>
          <w:szCs w:val="24"/>
        </w:rPr>
      </w:pPr>
    </w:p>
    <w:p w14:paraId="214D20F0" w14:textId="0200B315" w:rsidR="003E43A7" w:rsidRPr="007A5BBC" w:rsidRDefault="00043DA5" w:rsidP="00E95EE9">
      <w:pPr>
        <w:pStyle w:val="Heading2"/>
        <w:spacing w:line="240" w:lineRule="auto"/>
      </w:pPr>
      <w:bookmarkStart w:id="2251" w:name="_Toc417380811"/>
      <w:bookmarkStart w:id="2252" w:name="_Toc79699154"/>
      <w:bookmarkStart w:id="2253" w:name="_Toc79699480"/>
      <w:bookmarkStart w:id="2254" w:name="_Toc79699818"/>
      <w:bookmarkStart w:id="2255" w:name="_Toc79700138"/>
      <w:bookmarkStart w:id="2256" w:name="_Toc79700460"/>
      <w:bookmarkStart w:id="2257" w:name="_Toc87039238"/>
      <w:bookmarkStart w:id="2258" w:name="_Toc90983634"/>
      <w:r w:rsidRPr="007A5BBC">
        <w:t>P</w:t>
      </w:r>
      <w:r w:rsidR="00767070">
        <w:t>ractice Problems</w:t>
      </w:r>
      <w:r w:rsidRPr="007A5BBC">
        <w:t xml:space="preserve">: </w:t>
      </w:r>
      <w:r w:rsidR="003E43A7" w:rsidRPr="007A5BBC">
        <w:t>The Automatic Stay</w:t>
      </w:r>
      <w:bookmarkStart w:id="2259" w:name="_Toc79693012"/>
      <w:bookmarkStart w:id="2260" w:name="_Toc79693332"/>
      <w:bookmarkStart w:id="2261" w:name="_Toc79693652"/>
      <w:bookmarkStart w:id="2262" w:name="_Toc79693969"/>
      <w:bookmarkStart w:id="2263" w:name="_Toc79694609"/>
      <w:bookmarkStart w:id="2264" w:name="_Toc79695237"/>
      <w:bookmarkStart w:id="2265" w:name="_Toc79697483"/>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r w:rsidR="00E95EE9">
        <w:br/>
      </w:r>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6AEFB48A" w:rsidR="00D87C6F" w:rsidRDefault="00D87C6F" w:rsidP="00D87C6F">
      <w:pPr>
        <w:pStyle w:val="0-NORMAL"/>
      </w:pPr>
      <w:r w:rsidRPr="00D87C6F">
        <w:rPr>
          <w:b/>
        </w:rPr>
        <w:t>Problem 1</w:t>
      </w:r>
      <w:r w:rsidR="005F6A8B">
        <w:t xml:space="preserve">. </w:t>
      </w:r>
      <w:r w:rsidR="00CD5134" w:rsidRPr="00D87C6F">
        <w:t>Continuing a deposition of the Debtor scheduled before the bankruptcy case was filed in a collection action against the Debtor.</w:t>
      </w:r>
    </w:p>
    <w:p w14:paraId="104297C1" w14:textId="205A62BC" w:rsidR="00D87C6F" w:rsidRDefault="00D87C6F" w:rsidP="00D87C6F">
      <w:pPr>
        <w:pStyle w:val="0-NORMAL"/>
      </w:pPr>
      <w:r w:rsidRPr="00D87C6F">
        <w:rPr>
          <w:b/>
        </w:rPr>
        <w:t>Problem 2</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w:t>
      </w:r>
      <w:r w:rsidR="00522351" w:rsidRPr="007065C6">
        <w:rPr>
          <w:i/>
          <w:iCs/>
        </w:rPr>
        <w:t xml:space="preserve">See </w:t>
      </w:r>
      <w:r w:rsidR="00522351" w:rsidRPr="00D87C6F">
        <w:t>11 U.S.C. § 362(d)(1).</w:t>
      </w:r>
    </w:p>
    <w:p w14:paraId="76BE5E55" w14:textId="28A904B0" w:rsidR="00D87C6F" w:rsidRDefault="00D87C6F" w:rsidP="00D87C6F">
      <w:pPr>
        <w:pStyle w:val="0-NORMAL"/>
      </w:pPr>
      <w:r w:rsidRPr="00D87C6F">
        <w:rPr>
          <w:b/>
        </w:rPr>
        <w:t>Problem 3</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w:t>
      </w:r>
      <w:r w:rsidR="00E053DA">
        <w:t xml:space="preserve">banks and credit unions </w:t>
      </w:r>
      <w:r w:rsidR="0058385F" w:rsidRPr="00D87C6F">
        <w:t xml:space="preserve">a right to setoff money </w:t>
      </w:r>
      <w:r w:rsidR="0058385F" w:rsidRPr="00E053DA">
        <w:rPr>
          <w:u w:val="single"/>
        </w:rPr>
        <w:t>owing to</w:t>
      </w:r>
      <w:r w:rsidR="0058385F" w:rsidRPr="00D87C6F">
        <w:t xml:space="preserve"> the credit union </w:t>
      </w:r>
      <w:r w:rsidR="00522351" w:rsidRPr="00D87C6F">
        <w:t xml:space="preserve">by a customer </w:t>
      </w:r>
      <w:r w:rsidR="0058385F" w:rsidRPr="00D87C6F">
        <w:t xml:space="preserve">against money </w:t>
      </w:r>
      <w:r w:rsidR="0058385F" w:rsidRPr="00E053DA">
        <w:rPr>
          <w:u w:val="single"/>
        </w:rPr>
        <w:t>owing by</w:t>
      </w:r>
      <w:r w:rsidR="0058385F" w:rsidRPr="00D87C6F">
        <w:t xml:space="preserve"> the </w:t>
      </w:r>
      <w:r w:rsidR="00E053DA">
        <w:t xml:space="preserve">bank or </w:t>
      </w:r>
      <w:r w:rsidR="0058385F" w:rsidRPr="00D87C6F">
        <w:t xml:space="preserve">credit union </w:t>
      </w:r>
      <w:r w:rsidR="00522351" w:rsidRPr="00D87C6F">
        <w:t xml:space="preserve">to the customer </w:t>
      </w:r>
      <w:r w:rsidR="0058385F" w:rsidRPr="00D87C6F">
        <w:t>in the form of deposit accounts</w:t>
      </w:r>
      <w:r w:rsidR="005F6A8B">
        <w:t xml:space="preserve">. </w:t>
      </w:r>
      <w:r w:rsidR="0058385F" w:rsidRPr="00D87C6F">
        <w:t xml:space="preserve">May </w:t>
      </w:r>
      <w:r w:rsidR="00E053DA">
        <w:t xml:space="preserve">Syracuse Credit Union </w:t>
      </w:r>
      <w:r w:rsidR="0058385F" w:rsidRPr="00D87C6F">
        <w:t>exercise the right of setoff</w:t>
      </w:r>
      <w:r w:rsidR="00522351" w:rsidRPr="00D87C6F">
        <w:t xml:space="preserve"> after bankruptcy</w:t>
      </w:r>
      <w:r w:rsidR="0058385F" w:rsidRPr="00D87C6F">
        <w:t xml:space="preserve">? </w:t>
      </w:r>
      <w:r w:rsidR="00522351" w:rsidRPr="00D87C6F">
        <w:t>11 U.S.C. § 362(a)(7)</w:t>
      </w:r>
      <w:r w:rsidR="005F6A8B">
        <w:t xml:space="preserve">. </w:t>
      </w:r>
      <w:r w:rsidR="0058385F" w:rsidRPr="00D87C6F">
        <w:t xml:space="preserve">What should be bank do if the debtor asks to withdraw the $1,000 from her checking account after bankruptcy? </w:t>
      </w:r>
      <w:hyperlink r:id="rId124"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067781CC" w:rsidR="00D87C6F" w:rsidRDefault="00D87C6F" w:rsidP="00D87C6F">
      <w:pPr>
        <w:pStyle w:val="0-NORMAL"/>
      </w:pPr>
      <w:r w:rsidRPr="00D87C6F">
        <w:rPr>
          <w:b/>
        </w:rPr>
        <w:t>Problem 4</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7065C6">
        <w:rPr>
          <w:i/>
          <w:iCs/>
        </w:rPr>
        <w:t xml:space="preserve">See </w:t>
      </w:r>
      <w:r w:rsidR="00F80468" w:rsidRPr="00D87C6F">
        <w:t>11 U.S.C. § 362(k)</w:t>
      </w:r>
      <w:r w:rsidR="005F6A8B">
        <w:t xml:space="preserve">. </w:t>
      </w:r>
      <w:r w:rsidR="00E053DA">
        <w:t>Does it matter that on the bac</w:t>
      </w:r>
      <w:r w:rsidR="0058385F" w:rsidRPr="00D87C6F">
        <w:t>k of the invoice, in small print, is the following language: “if the debtor has filed bankruptcy, this is not an attempt to collect a debt but is merely a notice of the balance of the account.”</w:t>
      </w:r>
      <w:r w:rsidR="00F80468" w:rsidRPr="00D87C6F">
        <w:t>?</w:t>
      </w:r>
    </w:p>
    <w:p w14:paraId="586B993F" w14:textId="769F5421" w:rsidR="00D87C6F" w:rsidRDefault="00D87C6F" w:rsidP="00D87C6F">
      <w:pPr>
        <w:pStyle w:val="0-NORMAL"/>
      </w:pPr>
      <w:r w:rsidRPr="00D87C6F">
        <w:rPr>
          <w:b/>
        </w:rPr>
        <w:t>Problem 5</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Did the credit union violate the automatic stay? 11 U.S.C. § 362(a)(6).</w:t>
      </w:r>
    </w:p>
    <w:p w14:paraId="4499E56E" w14:textId="37425CD0" w:rsidR="000C3C1A" w:rsidRDefault="00D87C6F" w:rsidP="000C3C1A">
      <w:pPr>
        <w:pStyle w:val="0-NORMAL"/>
      </w:pPr>
      <w:r w:rsidRPr="00D87C6F">
        <w:rPr>
          <w:b/>
        </w:rPr>
        <w:t>Problem 6</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Is this a violation of the automatic stay</w:t>
      </w:r>
      <w:r w:rsidR="00083725" w:rsidRPr="00D87C6F">
        <w:t xml:space="preserve">? </w:t>
      </w:r>
    </w:p>
    <w:p w14:paraId="412EF3C4" w14:textId="16D99D15" w:rsidR="0058385F" w:rsidRPr="007A5BBC" w:rsidRDefault="00FD73E5" w:rsidP="000C3C1A">
      <w:pPr>
        <w:pStyle w:val="0-NORMAL"/>
        <w:ind w:left="720" w:firstLine="0"/>
      </w:pPr>
      <w:r w:rsidRPr="007A5BBC">
        <w:t xml:space="preserve">Note: as discussed </w:t>
      </w:r>
      <w:r w:rsidR="004728B6" w:rsidRPr="007A5BBC">
        <w:t xml:space="preserve">below in Section </w:t>
      </w:r>
      <w:r w:rsidR="004728B6" w:rsidRPr="007A5BBC">
        <w:fldChar w:fldCharType="begin"/>
      </w:r>
      <w:r w:rsidR="004728B6" w:rsidRPr="007A5BBC">
        <w:instrText xml:space="preserve"> REF _Ref421795153 \r \h </w:instrText>
      </w:r>
      <w:r w:rsidR="00735CCB" w:rsidRPr="007A5BBC">
        <w:instrText xml:space="preserve"> \* MERGEFORMAT </w:instrText>
      </w:r>
      <w:r w:rsidR="004728B6" w:rsidRPr="007A5BBC">
        <w:fldChar w:fldCharType="separate"/>
      </w:r>
      <w:r w:rsidR="003B2FDE">
        <w:t>11.9</w:t>
      </w:r>
      <w:r w:rsidR="004728B6" w:rsidRPr="007A5BBC">
        <w:fldChar w:fldCharType="end"/>
      </w:r>
      <w:r w:rsidRPr="007A5BBC">
        <w:t>, reaffirmation is a process by which the debtor requests that a debt not be discharged</w:t>
      </w:r>
      <w:r w:rsidR="005F6A8B">
        <w:t xml:space="preserve">. </w:t>
      </w:r>
      <w:r w:rsidR="00F413E5" w:rsidRPr="000C3C1A">
        <w:rPr>
          <w:i/>
        </w:rPr>
        <w:t xml:space="preserve">See </w:t>
      </w:r>
      <w:hyperlink r:id="rId125" w:history="1">
        <w:r w:rsidR="00F413E5" w:rsidRPr="000C3C1A">
          <w:rPr>
            <w:rStyle w:val="Hyperlink"/>
            <w:i/>
          </w:rPr>
          <w:t>Jamo v. Katahdin Federal Credit Union</w:t>
        </w:r>
        <w:r w:rsidR="00F413E5" w:rsidRPr="000C3C1A">
          <w:rPr>
            <w:rStyle w:val="Hyperlink"/>
          </w:rPr>
          <w:t>, 283 F.3d 392 (1st Cir.2002)</w:t>
        </w:r>
      </w:hyperlink>
      <w:r w:rsidR="00441979" w:rsidRPr="007A5BBC">
        <w:t xml:space="preserve"> (“A creditor may discuss and negotiate terms for reaffirmation with a debtor without violating the automatic stay as long as the creditor refra</w:t>
      </w:r>
      <w:r w:rsidR="001A75AB">
        <w:t>ins from coercion or harassment</w:t>
      </w:r>
      <w:r w:rsidR="00441979" w:rsidRPr="007A5BBC">
        <w:t xml:space="preserve">”); </w:t>
      </w:r>
      <w:hyperlink r:id="rId126" w:history="1">
        <w:r w:rsidR="00441979" w:rsidRPr="000C3C1A">
          <w:rPr>
            <w:rStyle w:val="Hyperlink"/>
            <w:i/>
          </w:rPr>
          <w:t>Matter of Duke</w:t>
        </w:r>
        <w:r w:rsidR="00441979" w:rsidRPr="000C3C1A">
          <w:rPr>
            <w:rStyle w:val="Hyperlink"/>
          </w:rPr>
          <w:t>, 79 F.3d 43 (7th Cir.1996)</w:t>
        </w:r>
      </w:hyperlink>
      <w:r w:rsidR="00441979" w:rsidRPr="007A5BBC">
        <w:t xml:space="preserve"> (Permissible to send non-threatening offer to provide small additional credit line if debtor will reaffirm dischargeable debt).</w:t>
      </w:r>
    </w:p>
    <w:p w14:paraId="412EF3C5" w14:textId="06F57892" w:rsidR="00F413E5" w:rsidRPr="007A5BBC" w:rsidRDefault="00D87C6F" w:rsidP="00D87C6F">
      <w:pPr>
        <w:pStyle w:val="0-NORMAL"/>
      </w:pPr>
      <w:r w:rsidRPr="00D87C6F">
        <w:rPr>
          <w:b/>
        </w:rPr>
        <w:t>Problem 7</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Who is right</w:t>
      </w:r>
      <w:r w:rsidR="00083725" w:rsidRPr="007A5BBC">
        <w:t xml:space="preserve">? </w:t>
      </w:r>
      <w:r w:rsidR="00F413E5" w:rsidRPr="00F974D7">
        <w:rPr>
          <w:i/>
        </w:rPr>
        <w:t>See</w:t>
      </w:r>
      <w:r w:rsidR="00F413E5" w:rsidRPr="00767070">
        <w:t xml:space="preserve"> </w:t>
      </w:r>
      <w:hyperlink r:id="rId127" w:history="1">
        <w:r w:rsidR="00F413E5" w:rsidRPr="00F974D7">
          <w:rPr>
            <w:rStyle w:val="Hyperlink"/>
            <w:i/>
          </w:rPr>
          <w:t>In re Sucre</w:t>
        </w:r>
        <w:r w:rsidR="00F413E5" w:rsidRPr="00F974D7">
          <w:rPr>
            <w:rStyle w:val="Hyperlink"/>
          </w:rPr>
          <w:t>, 226 B.R. 340, 347 (Bankr.S.D.N.Y.1998)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28"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29"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p>
    <w:p w14:paraId="412EF3C6" w14:textId="4F328A30" w:rsidR="00C93F18" w:rsidRPr="007A5BBC" w:rsidRDefault="00D87C6F" w:rsidP="00D87C6F">
      <w:pPr>
        <w:pStyle w:val="0-NORMAL"/>
      </w:pPr>
      <w:r w:rsidRPr="00D87C6F">
        <w:rPr>
          <w:b/>
        </w:rPr>
        <w:t>Problem 8</w:t>
      </w:r>
      <w:r w:rsidR="005F6A8B">
        <w:t xml:space="preserve">. </w:t>
      </w:r>
      <w:r w:rsidR="00441979" w:rsidRPr="007A5BBC">
        <w:t xml:space="preserve">Debtor’s college refuses to issue a diploma or transcript for the debtor because the debtor </w:t>
      </w:r>
      <w:r w:rsidR="00E053DA">
        <w:t xml:space="preserve">owes </w:t>
      </w:r>
      <w:r w:rsidR="00441979" w:rsidRPr="007A5BBC">
        <w:t>prepetition fees to the college</w:t>
      </w:r>
      <w:r w:rsidR="005F6A8B">
        <w:t xml:space="preserve">. </w:t>
      </w:r>
      <w:r w:rsidR="00E053DA">
        <w:t>Is the refusal to issue a diploma or transcript a violation of the automatic stay</w:t>
      </w:r>
      <w:r w:rsidR="00083725">
        <w:t xml:space="preserve">?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30"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(6th Cir. 1992)</w:t>
        </w:r>
      </w:hyperlink>
      <w:r w:rsidR="00C93F18" w:rsidRPr="007A5BBC">
        <w:t xml:space="preserve"> (holding Andrews University liable for violating the automatic stay even though the debt was </w:t>
      </w:r>
      <w:r w:rsidR="00E053DA">
        <w:t xml:space="preserve">not </w:t>
      </w:r>
      <w:r w:rsidR="00C93F18" w:rsidRPr="007A5BBC">
        <w:t xml:space="preserve">dischargeable); </w:t>
      </w:r>
      <w:r w:rsidR="00C93F18" w:rsidRPr="00522F3C">
        <w:rPr>
          <w:i/>
        </w:rPr>
        <w:t>but see</w:t>
      </w:r>
      <w:r w:rsidR="00C93F18" w:rsidRPr="00767070">
        <w:t xml:space="preserve"> </w:t>
      </w:r>
      <w:hyperlink r:id="rId131" w:history="1">
        <w:r w:rsidR="00C93F18" w:rsidRPr="00F974D7">
          <w:rPr>
            <w:rStyle w:val="Hyperlink"/>
            <w:i/>
          </w:rPr>
          <w:t>In re Watson</w:t>
        </w:r>
        <w:r w:rsidR="00C93F18" w:rsidRPr="00F974D7">
          <w:rPr>
            <w:rStyle w:val="Hyperlink"/>
          </w:rPr>
          <w:t>, 78 B.R. 232 (9th 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p>
    <w:p w14:paraId="412EF3C7" w14:textId="0B4AFECC" w:rsidR="00C93F18" w:rsidRPr="007A5BBC" w:rsidRDefault="00D87C6F" w:rsidP="00D87C6F">
      <w:pPr>
        <w:pStyle w:val="0-NORMAL"/>
      </w:pPr>
      <w:r w:rsidRPr="00D87C6F">
        <w:rPr>
          <w:b/>
        </w:rPr>
        <w:t>Problem 9</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083725" w:rsidRPr="007A5BBC">
        <w:t>?</w:t>
      </w:r>
      <w:r w:rsidR="00083725">
        <w:t xml:space="preserve"> </w:t>
      </w:r>
      <w:r w:rsidR="009F02FE" w:rsidRPr="007065C6">
        <w:rPr>
          <w:i/>
          <w:iCs/>
        </w:rPr>
        <w:t xml:space="preserve">See </w:t>
      </w:r>
      <w:r w:rsidR="009F02FE">
        <w:t>11 U.S.C. § 362(a)(1).</w:t>
      </w:r>
    </w:p>
    <w:p w14:paraId="412EF3C8" w14:textId="23BA4894" w:rsidR="00BD72EE" w:rsidRPr="007A5BBC" w:rsidRDefault="00D87C6F" w:rsidP="00D87C6F">
      <w:pPr>
        <w:pStyle w:val="0-NORMAL"/>
      </w:pPr>
      <w:r w:rsidRPr="00D87C6F">
        <w:rPr>
          <w:b/>
        </w:rPr>
        <w:t>Problem 10</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w:t>
      </w:r>
      <w:r w:rsidR="00E053DA">
        <w:t>’</w:t>
      </w:r>
      <w:r w:rsidR="00BD72EE" w:rsidRPr="007A5BBC">
        <w:t xml:space="preserve">s charges during </w:t>
      </w:r>
      <w:r w:rsidR="00E053DA">
        <w:t xml:space="preserve">the prior </w:t>
      </w:r>
      <w:r w:rsidR="00BD72EE" w:rsidRPr="007A5BBC">
        <w:t>12 months</w:t>
      </w:r>
      <w:r w:rsidR="005F6A8B">
        <w:t xml:space="preserve">. </w:t>
      </w:r>
      <w:r w:rsidR="00BD72EE" w:rsidRPr="007A5BBC">
        <w:t>Can they do that</w:t>
      </w:r>
      <w:r w:rsidR="00083725" w:rsidRPr="007A5BBC">
        <w:t xml:space="preserve">? </w:t>
      </w:r>
      <w:r w:rsidR="00BD72EE" w:rsidRPr="007065C6">
        <w:rPr>
          <w:i/>
          <w:iCs/>
        </w:rPr>
        <w:t xml:space="preserve">See </w:t>
      </w:r>
      <w:r w:rsidR="00BD72EE" w:rsidRPr="007A5BBC">
        <w:t>11 U.S.C. § 366(a) and (b).</w:t>
      </w:r>
    </w:p>
    <w:p w14:paraId="412EF3C9" w14:textId="54299113" w:rsidR="000F5128" w:rsidRPr="007A5BBC" w:rsidRDefault="00D87C6F" w:rsidP="00D87C6F">
      <w:pPr>
        <w:pStyle w:val="0-NORMAL"/>
      </w:pPr>
      <w:r w:rsidRPr="00D87C6F">
        <w:rPr>
          <w:b/>
        </w:rPr>
        <w:t>Problem 11</w:t>
      </w:r>
      <w:r w:rsidR="005F6A8B">
        <w:t xml:space="preserve">. </w:t>
      </w:r>
      <w:r w:rsidR="00BD72EE" w:rsidRPr="007A5BBC">
        <w:t>The debtor filed bankruptcy one hour before the Bank’s scheduled foreclosure sale</w:t>
      </w:r>
      <w:r w:rsidR="005F6A8B">
        <w:t xml:space="preserve">. </w:t>
      </w:r>
      <w:r w:rsidR="00BD72EE" w:rsidRPr="007A5BBC">
        <w:t>The Bank held the foreclosure sale as scheduled and sold the property to a bidder</w:t>
      </w:r>
      <w:r w:rsidR="0063204B" w:rsidRPr="007A5BBC">
        <w:t xml:space="preserve"> who knew nothing of the bankruptcy</w:t>
      </w:r>
      <w:r w:rsidR="005F6A8B">
        <w:t xml:space="preserve">. </w:t>
      </w:r>
      <w:r w:rsidR="00BD72EE" w:rsidRPr="007A5BBC">
        <w:t>Did the Ba</w:t>
      </w:r>
      <w:r w:rsidR="00241F88">
        <w:t xml:space="preserve">nk violate the automatic stay? </w:t>
      </w:r>
      <w:r w:rsidR="0063204B" w:rsidRPr="007A5BBC">
        <w:t>Does it matter whether the Bank knew about the bankruptcy before the sale</w:t>
      </w:r>
      <w:r w:rsidR="00083725" w:rsidRPr="007A5BBC">
        <w:t xml:space="preserve">? </w:t>
      </w:r>
      <w:r w:rsidR="0063204B" w:rsidRPr="007A5BBC">
        <w:t xml:space="preserve">In either case, what </w:t>
      </w:r>
      <w:r w:rsidR="001A75AB">
        <w:t xml:space="preserve">liability would the bank have? </w:t>
      </w:r>
      <w:r w:rsidR="00BD72EE" w:rsidRPr="007065C6">
        <w:rPr>
          <w:i/>
          <w:iCs/>
        </w:rPr>
        <w:t xml:space="preserve">See </w:t>
      </w:r>
      <w:r w:rsidR="00BD72EE" w:rsidRPr="007A5BBC">
        <w:t>11 U.S.C. § 362(k)</w:t>
      </w:r>
      <w:r w:rsidR="005F6A8B">
        <w:t xml:space="preserve">. </w:t>
      </w:r>
      <w:r w:rsidR="00BD72EE" w:rsidRPr="007A5BBC">
        <w:t>Must the Bank do anything after learning of the bankruptcy to avoid liability for punitive damages</w:t>
      </w:r>
      <w:r w:rsidR="00083725" w:rsidRPr="007A5BBC">
        <w:t xml:space="preserve">? </w:t>
      </w:r>
    </w:p>
    <w:p w14:paraId="412EF3CA" w14:textId="39F2B6EF" w:rsidR="0063204B" w:rsidRPr="007A5BBC" w:rsidRDefault="00D87C6F" w:rsidP="00D87C6F">
      <w:pPr>
        <w:pStyle w:val="0-NORMAL"/>
      </w:pPr>
      <w:r w:rsidRPr="00D87C6F">
        <w:rPr>
          <w:b/>
        </w:rPr>
        <w:t>Problem 12</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r w:rsidR="009F02FE">
        <w:t>11 U.S.C. § 362(a)(6)</w:t>
      </w:r>
      <w:r w:rsidR="005F6A8B">
        <w:t xml:space="preserve">. </w:t>
      </w:r>
      <w:r w:rsidR="0063204B" w:rsidRPr="007A5BBC">
        <w:t>What if creditor, without making a threat, simply filed a criminal complaint after receiving the debtor’s bankruptcy notice</w:t>
      </w:r>
      <w:r w:rsidR="00083725" w:rsidRPr="007A5BBC">
        <w:t xml:space="preserve">? </w:t>
      </w:r>
    </w:p>
    <w:p w14:paraId="412EF3CB" w14:textId="03ABA725" w:rsidR="0063204B" w:rsidRPr="00522F3C" w:rsidRDefault="00D87C6F" w:rsidP="00D87C6F">
      <w:pPr>
        <w:pStyle w:val="0-NORMAL"/>
      </w:pPr>
      <w:r w:rsidRPr="00D87C6F">
        <w:rPr>
          <w:b/>
        </w:rPr>
        <w:t>Problem 13</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11 U.S.C. § 362(b)(1); </w:t>
      </w:r>
      <w:hyperlink r:id="rId132"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1E6115A1" w:rsidR="009F02FE" w:rsidRDefault="00D87C6F" w:rsidP="00D87C6F">
      <w:pPr>
        <w:pStyle w:val="0-NORMAL"/>
      </w:pPr>
      <w:r w:rsidRPr="00D87C6F">
        <w:rPr>
          <w:b/>
        </w:rPr>
        <w:t>Problem 14</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rsidRPr="007065C6">
        <w:rPr>
          <w:i/>
          <w:iCs/>
        </w:rPr>
        <w:t xml:space="preserve">See </w:t>
      </w:r>
      <w:r w:rsidR="009F02FE">
        <w:t>11 U.S.C. § 362(b)(4)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Is there a distinction under the statute between public safety and welfare on the one hand and the government’s pecuniary interest on the other</w:t>
      </w:r>
      <w:r w:rsidR="004751D0" w:rsidRPr="007A5BBC">
        <w:t xml:space="preserve">? </w:t>
      </w:r>
    </w:p>
    <w:p w14:paraId="412EF3CC" w14:textId="2CFF90F4" w:rsidR="000379CB" w:rsidRPr="007A5BBC" w:rsidRDefault="009F02FE" w:rsidP="000C3C1A">
      <w:pPr>
        <w:pStyle w:val="0-NORMAL"/>
      </w:pPr>
      <w:r>
        <w:t>The meaning of the “police powers” exception has been fertile ground for litigation. The courts have broadly interpreted the exemption to allow the government to bring actions to obtain a money judgment</w:t>
      </w:r>
      <w:r w:rsidR="005F6A8B">
        <w:t xml:space="preserve">. </w:t>
      </w:r>
      <w:r>
        <w:t>The problem is when the government crosses the line into enforcement of a money judgment</w:t>
      </w:r>
      <w:r w:rsidR="005F6A8B">
        <w:t xml:space="preserve">. </w:t>
      </w:r>
      <w:r>
        <w:t xml:space="preserve">Does a mandatory injunction, ordering the debtor to clean up the site, cross the line? </w:t>
      </w:r>
      <w:r w:rsidRPr="000C3C1A">
        <w:rPr>
          <w:i/>
        </w:rPr>
        <w:t>See</w:t>
      </w:r>
      <w:r>
        <w:t xml:space="preserve"> </w:t>
      </w:r>
      <w:hyperlink r:id="rId133" w:history="1">
        <w:r w:rsidR="00555477" w:rsidRPr="000C3C1A">
          <w:rPr>
            <w:rStyle w:val="Hyperlink"/>
            <w:i/>
          </w:rPr>
          <w:t>Penn Terra, Ltd. V. Department of Env. Resources</w:t>
        </w:r>
      </w:hyperlink>
      <w:r w:rsidR="00555477" w:rsidRPr="007A5BBC">
        <w:t>, 733 F.2d 267 (</w:t>
      </w:r>
      <w:r w:rsidR="001A75AB">
        <w:t>3d</w:t>
      </w:r>
      <w:r w:rsidR="00555477" w:rsidRPr="007A5BBC">
        <w:t xml:space="preserve"> Cir. 1984)</w:t>
      </w:r>
      <w:r>
        <w:t xml:space="preserve"> (no</w:t>
      </w:r>
      <w:r w:rsidR="0010676A">
        <w:t xml:space="preserve"> because environmental policy supersedes bankruptcy policy even if compliance with the injunction would require the payment of money</w:t>
      </w:r>
      <w:r>
        <w:t xml:space="preserve">); </w:t>
      </w:r>
      <w:hyperlink r:id="rId134" w:history="1">
        <w:r w:rsidR="00555477" w:rsidRPr="000C3C1A">
          <w:rPr>
            <w:rStyle w:val="Hyperlink"/>
            <w:i/>
          </w:rPr>
          <w:t>Ohio v. Kovacs</w:t>
        </w:r>
        <w:r w:rsidR="00555477" w:rsidRPr="000C3C1A">
          <w:rPr>
            <w:rStyle w:val="Hyperlink"/>
          </w:rPr>
          <w:t>, 469 U.S. 274 (1985)</w:t>
        </w:r>
      </w:hyperlink>
      <w:r w:rsidR="0010676A">
        <w:t xml:space="preserve"> (yes where debtor no longer in control of property); </w:t>
      </w:r>
      <w:hyperlink r:id="rId135" w:history="1">
        <w:r w:rsidR="00C351C2" w:rsidRPr="000C3C1A">
          <w:rPr>
            <w:rStyle w:val="Hyperlink"/>
            <w:i/>
          </w:rPr>
          <w:t>Board of Governers v. MCorp Financial, Inc.</w:t>
        </w:r>
      </w:hyperlink>
      <w:r w:rsidR="00C351C2" w:rsidRPr="007A5BBC">
        <w:t>, 502 U.S. 32 (1991)</w:t>
      </w:r>
      <w:r w:rsidR="0010676A">
        <w:t xml:space="preserve"> (bankruptcy court has no power to enjoin non-final administrative proceedings); </w:t>
      </w:r>
      <w:hyperlink r:id="rId136" w:history="1">
        <w:r w:rsidR="00555477" w:rsidRPr="000C3C1A">
          <w:rPr>
            <w:rStyle w:val="Hyperlink"/>
            <w:i/>
          </w:rPr>
          <w:t>Berg v. Good Samaritan Hosp. Inc</w:t>
        </w:r>
        <w:r w:rsidR="00555477" w:rsidRPr="000C3C1A">
          <w:rPr>
            <w:rStyle w:val="Hyperlink"/>
          </w:rPr>
          <w:t>.,</w:t>
        </w:r>
        <w:r w:rsidR="0010676A" w:rsidRPr="000C3C1A">
          <w:rPr>
            <w:rStyle w:val="Hyperlink"/>
          </w:rPr>
          <w:t xml:space="preserve"> 230 F.3d. 1165 (9th Cir. 2000)</w:t>
        </w:r>
      </w:hyperlink>
      <w:r w:rsidR="0010676A">
        <w:t xml:space="preserve"> (award of attorney fees against a debtor for engaging in frivolous litigation not stayed)</w:t>
      </w:r>
    </w:p>
    <w:p w14:paraId="412EF3CD" w14:textId="0FF81478" w:rsidR="0063204B" w:rsidRPr="007A5BBC" w:rsidRDefault="00D87C6F" w:rsidP="00D87C6F">
      <w:pPr>
        <w:pStyle w:val="0-NORMAL"/>
      </w:pPr>
      <w:r w:rsidRPr="00D87C6F">
        <w:rPr>
          <w:b/>
        </w:rPr>
        <w:t>Problem 15</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r w:rsidR="0010676A">
        <w:t>11 U.S.C. § 362(a)(1).</w:t>
      </w:r>
    </w:p>
    <w:p w14:paraId="16806400" w14:textId="46791F70" w:rsidR="002D431E" w:rsidRPr="007A5BBC" w:rsidRDefault="00D87C6F" w:rsidP="00D87C6F">
      <w:pPr>
        <w:pStyle w:val="0-NORMAL"/>
      </w:pPr>
      <w:r w:rsidRPr="00D87C6F">
        <w:rPr>
          <w:b/>
        </w:rPr>
        <w:t>Problem 16</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Debtor’s attorney filed an action against the credit union for violating the automatic stay</w:t>
      </w:r>
      <w:r w:rsidR="005F6A8B">
        <w:t xml:space="preserve">. </w:t>
      </w:r>
      <w:r w:rsidR="00ED3D5E" w:rsidRPr="007A5BBC">
        <w:t>Credit union sought to avoid liability for attorney’s fees by offering to pay any actual damages incurred by the debtor</w:t>
      </w:r>
      <w:r w:rsidR="005F6A8B">
        <w:t xml:space="preserve">. </w:t>
      </w:r>
      <w:r w:rsidR="00ED3D5E" w:rsidRPr="007A5BBC">
        <w:t>Debtor 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37" w:history="1">
        <w:r w:rsidR="00ED3D5E" w:rsidRPr="00522F3C">
          <w:rPr>
            <w:rStyle w:val="Hyperlink"/>
            <w:i/>
          </w:rPr>
          <w:t>Sternberg v. Johnson</w:t>
        </w:r>
        <w:r w:rsidR="00ED3D5E" w:rsidRPr="00522F3C">
          <w:rPr>
            <w:rStyle w:val="Hyperlink"/>
          </w:rPr>
          <w:t>, 595 F.3d 937 (9th Cir. 2010)</w:t>
        </w:r>
      </w:hyperlink>
      <w:r w:rsidR="00ED3D5E" w:rsidRPr="007A5BBC">
        <w:t xml:space="preserve"> (“actual damages, including costs and attorneys’ fees” meant to apply only to attorneys’ fees incurred to prevent actual damages); </w:t>
      </w:r>
      <w:hyperlink r:id="rId138" w:history="1">
        <w:r w:rsidR="00ED3D5E" w:rsidRPr="00522F3C">
          <w:rPr>
            <w:rStyle w:val="Hyperlink"/>
            <w:i/>
          </w:rPr>
          <w:t>In re Repine</w:t>
        </w:r>
        <w:r w:rsidR="00ED3D5E" w:rsidRPr="00767070">
          <w:t>, 536 F.3d 512 (5th Cir. 2008)</w:t>
        </w:r>
      </w:hyperlink>
      <w:r w:rsidR="00ED3D5E" w:rsidRPr="007A5BBC">
        <w:t xml:space="preserve"> (successful plaintiff can recover attorneys’ fees incurred in recovering damages and penalties)</w:t>
      </w:r>
      <w:r w:rsidR="005F6A8B">
        <w:t xml:space="preserve">. </w:t>
      </w:r>
      <w:r w:rsidR="00E05018" w:rsidRPr="007A5BBC">
        <w:t>Can credit union defend a request for sanctions on the grounds that it did not “intend” to violate the stay because it was unaware of the law</w:t>
      </w:r>
      <w:r w:rsidR="00083725" w:rsidRPr="007A5BBC">
        <w:t xml:space="preserve">? </w:t>
      </w:r>
      <w:r w:rsidR="00E05018" w:rsidRPr="00522F3C">
        <w:rPr>
          <w:i/>
        </w:rPr>
        <w:t>See e.g</w:t>
      </w:r>
      <w:r w:rsidR="005F6A8B">
        <w:rPr>
          <w:i/>
        </w:rPr>
        <w:t xml:space="preserve">. </w:t>
      </w:r>
      <w:hyperlink r:id="rId139" w:history="1">
        <w:r w:rsidR="00E05018" w:rsidRPr="00522F3C">
          <w:rPr>
            <w:rStyle w:val="Hyperlink"/>
            <w:i/>
          </w:rPr>
          <w:t>In re AP Industries, Inc</w:t>
        </w:r>
        <w:r w:rsidR="00E05018" w:rsidRPr="00522F3C">
          <w:rPr>
            <w:rStyle w:val="Hyperlink"/>
          </w:rPr>
          <w:t>.</w:t>
        </w:r>
        <w:r w:rsidR="00E05018" w:rsidRPr="00767070">
          <w:t>, 117 B.R. 789, 803 (Bankr. S.D.N.Y 1990)</w:t>
        </w:r>
      </w:hyperlink>
      <w:r w:rsidR="00E05018" w:rsidRPr="007A5BBC">
        <w:t xml:space="preserve"> (willful violation if debtor acts deliberately with knowledge of the bankruptcy petition).</w:t>
      </w:r>
    </w:p>
    <w:p w14:paraId="3A02CEEC" w14:textId="2FB6FDBC" w:rsidR="002D431E" w:rsidRDefault="00D87C6F" w:rsidP="00D87C6F">
      <w:pPr>
        <w:pStyle w:val="0-NORMAL"/>
      </w:pPr>
      <w:r w:rsidRPr="00D87C6F">
        <w:rPr>
          <w:b/>
        </w:rPr>
        <w:t>Problem 17</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065C6">
        <w:rPr>
          <w:i/>
          <w:iCs/>
        </w:rPr>
        <w:t xml:space="preserve">See </w:t>
      </w:r>
      <w:r w:rsidR="002D431E" w:rsidRPr="007A5BBC">
        <w:t>11 U.S.C. § 362</w:t>
      </w:r>
      <w:r w:rsidR="00E47F5E" w:rsidRPr="007A5BBC">
        <w:t>(c)(3).</w:t>
      </w:r>
    </w:p>
    <w:p w14:paraId="1A30F176" w14:textId="77777777" w:rsidR="00E95EE9" w:rsidRPr="007A5BBC" w:rsidRDefault="00E95EE9" w:rsidP="00D87C6F">
      <w:pPr>
        <w:pStyle w:val="0-NORMAL"/>
      </w:pPr>
    </w:p>
    <w:p w14:paraId="61F07A97" w14:textId="71A1BF0D" w:rsidR="0083243D" w:rsidRPr="007A5BBC" w:rsidRDefault="00646EC9" w:rsidP="00E95EE9">
      <w:pPr>
        <w:pStyle w:val="Heading2"/>
        <w:spacing w:line="240" w:lineRule="auto"/>
      </w:pPr>
      <w:bookmarkStart w:id="2266" w:name="_Toc417380812"/>
      <w:bookmarkStart w:id="2267" w:name="_Toc79699155"/>
      <w:bookmarkStart w:id="2268" w:name="_Toc79699481"/>
      <w:bookmarkStart w:id="2269" w:name="_Toc79699819"/>
      <w:bookmarkStart w:id="2270" w:name="_Toc79700139"/>
      <w:bookmarkStart w:id="2271" w:name="_Toc79700461"/>
      <w:bookmarkStart w:id="2272" w:name="_Toc87039239"/>
      <w:bookmarkStart w:id="2273" w:name="_Toc90983635"/>
      <w:r>
        <w:t xml:space="preserve">Cases on </w:t>
      </w:r>
      <w:r w:rsidR="003E43A7" w:rsidRPr="007A5BBC">
        <w:t>Using the Automatic Stay as a Sword</w:t>
      </w:r>
      <w:bookmarkStart w:id="2274" w:name="_Toc79693013"/>
      <w:bookmarkStart w:id="2275" w:name="_Toc79693333"/>
      <w:bookmarkStart w:id="2276" w:name="_Toc79693653"/>
      <w:bookmarkStart w:id="2277" w:name="_Toc79693970"/>
      <w:bookmarkStart w:id="2278" w:name="_Toc79694610"/>
      <w:bookmarkStart w:id="2279" w:name="_Toc79695238"/>
      <w:bookmarkStart w:id="2280" w:name="_Toc79697484"/>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r w:rsidR="00E95EE9">
        <w:br/>
      </w:r>
    </w:p>
    <w:p w14:paraId="79B9CF1C" w14:textId="3DD8B3C9" w:rsidR="00B53979" w:rsidRPr="00E95EE9" w:rsidRDefault="007C1024" w:rsidP="00E95EE9">
      <w:pPr>
        <w:pStyle w:val="Heading3"/>
        <w:rPr>
          <w:u w:val="single"/>
        </w:rPr>
      </w:pPr>
      <w:hyperlink r:id="rId140" w:history="1">
        <w:bookmarkStart w:id="2281" w:name="_Toc87039240"/>
        <w:bookmarkStart w:id="2282" w:name="_Toc90983636"/>
        <w:r w:rsidR="00B53979" w:rsidRPr="00E95EE9">
          <w:rPr>
            <w:rStyle w:val="Hyperlink"/>
          </w:rPr>
          <w:t>S</w:t>
        </w:r>
        <w:r w:rsidR="00767070" w:rsidRPr="00E95EE9">
          <w:rPr>
            <w:rStyle w:val="Hyperlink"/>
          </w:rPr>
          <w:t xml:space="preserve">PORTFRAME OF OHIO </w:t>
        </w:r>
        <w:r w:rsidR="007559BB" w:rsidRPr="00E95EE9">
          <w:rPr>
            <w:rStyle w:val="Hyperlink"/>
          </w:rPr>
          <w:t>v</w:t>
        </w:r>
        <w:r w:rsidR="00767070" w:rsidRPr="00E95EE9">
          <w:rPr>
            <w:rStyle w:val="Hyperlink"/>
          </w:rPr>
          <w:t xml:space="preserve">. WILSON SPORTING GOODS, </w:t>
        </w:r>
        <w:r w:rsidR="00B53979" w:rsidRPr="00E95EE9">
          <w:rPr>
            <w:rStyle w:val="Hyperlink"/>
          </w:rPr>
          <w:t>40 B.R. 47 (Bankr. N.D. Ohio 1984)</w:t>
        </w:r>
        <w:bookmarkEnd w:id="2281"/>
        <w:bookmarkEnd w:id="2282"/>
      </w:hyperlink>
      <w:bookmarkStart w:id="2283" w:name="_Toc79693014"/>
      <w:bookmarkStart w:id="2284" w:name="_Toc79693334"/>
      <w:bookmarkStart w:id="2285" w:name="_Toc79693654"/>
      <w:bookmarkStart w:id="2286" w:name="_Toc79693971"/>
      <w:bookmarkStart w:id="2287" w:name="_Toc79694289"/>
      <w:bookmarkStart w:id="2288" w:name="_Toc79694611"/>
      <w:bookmarkStart w:id="2289" w:name="_Toc79694923"/>
      <w:bookmarkStart w:id="2290" w:name="_Toc79695239"/>
      <w:bookmarkStart w:id="2291" w:name="_Toc79695555"/>
      <w:bookmarkStart w:id="2292" w:name="_Toc79695871"/>
      <w:bookmarkStart w:id="2293" w:name="_Toc79696187"/>
      <w:bookmarkStart w:id="2294" w:name="_Toc79696503"/>
      <w:bookmarkStart w:id="2295" w:name="_Toc79696824"/>
      <w:bookmarkStart w:id="2296" w:name="_Toc79697156"/>
      <w:bookmarkStart w:id="2297" w:name="_Toc79697485"/>
      <w:bookmarkStart w:id="2298" w:name="_Toc79699156"/>
      <w:bookmarkStart w:id="2299" w:name="_Toc79699482"/>
      <w:bookmarkStart w:id="2300" w:name="_Toc79699820"/>
      <w:bookmarkStart w:id="2301" w:name="_Toc79700140"/>
      <w:bookmarkStart w:id="2302" w:name="_Toc79700462"/>
      <w:bookmarkStart w:id="2303" w:name="_Toc79700784"/>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00E95EE9" w:rsidRPr="00E95EE9">
        <w:rPr>
          <w:rStyle w:val="Hyperlink"/>
        </w:rPr>
        <w:br/>
      </w:r>
    </w:p>
    <w:p w14:paraId="2C410ADF" w14:textId="66035C1E"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Plaintiff's complaint [seeks] an injunction to require defendant to sell inventory to it on a cash basis, [plus an award of] attorney's fees and costs for an alleged violation of the automatic stay of 11 U.S.C. § 362(a)</w:t>
      </w:r>
      <w:r w:rsidR="005F6A8B">
        <w:rPr>
          <w:rFonts w:ascii="Times New Roman" w:hAnsi="Times New Roman"/>
          <w:szCs w:val="24"/>
        </w:rPr>
        <w:t xml:space="preserve">. </w:t>
      </w:r>
    </w:p>
    <w:p w14:paraId="0D6565F9" w14:textId="40C6B6C4"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11 U.S.C. § 362(a)(6) which stays "any act to collect, assess, or recover a claim against the debtor that arose before the commencement of the case. . . ." Plaintiff seeks an injunction that would require defendant to resume supplying it with inventory on a cash basis and attorney's fees and costs for the present action. </w:t>
      </w:r>
    </w:p>
    <w:p w14:paraId="5F4077DB"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Plaintiff first contends that defendant's refusal to ship goods to it is in violation of § 362(a)(6)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 362 of the Code.</w:t>
      </w:r>
    </w:p>
    <w:p w14:paraId="710E54DD" w14:textId="70E3206A"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Defendant's sole animus in refusing to ship goods to debtor for cash was its desire to coerce debtor's repayment of its prepetition indebtedness and that this act, albeit a passive one, was an "act to collect, assess, or recover a claim against the debtor" in contravention of 11 U.S.C. § 362(a)(6)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 362.04 at 362-27 (15th ed. 1979). Section 362(a)(6),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2304" w:name="OLE_LINK18"/>
      <w:bookmarkStart w:id="2305"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2304"/>
      <w:bookmarkEnd w:id="2305"/>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5652397E"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11 U.S.C. § 525, when motivated by the sole purpose of attempting to collect a prepetition debt, violated § 362(a)(6). </w:t>
      </w:r>
      <w:hyperlink r:id="rId141"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2B746800"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 xml:space="preserve">More directly on point is </w:t>
      </w:r>
      <w:hyperlink r:id="rId142"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 362(a)(6)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E95EE9">
      <w:pPr>
        <w:ind w:firstLine="720"/>
        <w:jc w:val="both"/>
        <w:rPr>
          <w:rFonts w:ascii="Times New Roman" w:hAnsi="Times New Roman"/>
          <w:szCs w:val="24"/>
        </w:rPr>
      </w:pPr>
      <w:r w:rsidRPr="007A5BBC">
        <w:rPr>
          <w:rFonts w:ascii="Times New Roman" w:hAnsi="Times New Roman"/>
          <w:szCs w:val="24"/>
        </w:rPr>
        <w:t>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debt. While 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15000F59" w:rsidR="00B53979" w:rsidRDefault="00B53979" w:rsidP="00E95EE9">
      <w:pPr>
        <w:ind w:firstLine="720"/>
        <w:jc w:val="both"/>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3E599888" w14:textId="77777777" w:rsidR="00E95EE9" w:rsidRDefault="00E95EE9" w:rsidP="00E95EE9">
      <w:pPr>
        <w:ind w:firstLine="720"/>
        <w:jc w:val="both"/>
        <w:rPr>
          <w:rFonts w:ascii="Times New Roman" w:hAnsi="Times New Roman"/>
          <w:szCs w:val="24"/>
        </w:rPr>
      </w:pPr>
    </w:p>
    <w:p w14:paraId="4E574EAB" w14:textId="2C248D82" w:rsidR="00E95EE9" w:rsidRPr="00E95EE9" w:rsidRDefault="007C1024" w:rsidP="00E95EE9">
      <w:pPr>
        <w:pStyle w:val="Heading3"/>
        <w:jc w:val="both"/>
        <w:rPr>
          <w:rStyle w:val="Hyperlink"/>
          <w:color w:val="auto"/>
        </w:rPr>
      </w:pPr>
      <w:hyperlink r:id="rId143" w:history="1">
        <w:bookmarkStart w:id="2306" w:name="_Toc87039241"/>
        <w:bookmarkStart w:id="2307" w:name="_Toc90983637"/>
        <w:r w:rsidR="00FB0EE5" w:rsidRPr="00E95EE9">
          <w:rPr>
            <w:rStyle w:val="Hyperlink"/>
          </w:rPr>
          <w:t>CITY OF CHICAGO v</w:t>
        </w:r>
        <w:r w:rsidR="007559BB" w:rsidRPr="00E95EE9">
          <w:rPr>
            <w:rStyle w:val="Hyperlink"/>
          </w:rPr>
          <w:t>.</w:t>
        </w:r>
        <w:r w:rsidR="00FB0EE5" w:rsidRPr="00E95EE9">
          <w:rPr>
            <w:rStyle w:val="Hyperlink"/>
          </w:rPr>
          <w:t xml:space="preserve"> FULTON, 141 S.Ct. 585 (2021)</w:t>
        </w:r>
        <w:bookmarkEnd w:id="2306"/>
        <w:bookmarkEnd w:id="2307"/>
      </w:hyperlink>
      <w:bookmarkStart w:id="2308" w:name="_Toc79693015"/>
      <w:bookmarkStart w:id="2309" w:name="_Toc79693335"/>
      <w:bookmarkStart w:id="2310" w:name="_Toc79693655"/>
      <w:bookmarkStart w:id="2311" w:name="_Toc79693972"/>
      <w:bookmarkStart w:id="2312" w:name="_Toc79694290"/>
      <w:bookmarkStart w:id="2313" w:name="_Toc79694612"/>
      <w:bookmarkStart w:id="2314" w:name="_Toc79694924"/>
      <w:bookmarkStart w:id="2315" w:name="_Toc79695240"/>
      <w:bookmarkStart w:id="2316" w:name="_Toc79695556"/>
      <w:bookmarkStart w:id="2317" w:name="_Toc79695872"/>
      <w:bookmarkStart w:id="2318" w:name="_Toc79696188"/>
      <w:bookmarkStart w:id="2319" w:name="_Toc79696504"/>
      <w:bookmarkStart w:id="2320" w:name="_Toc79696825"/>
      <w:bookmarkStart w:id="2321" w:name="_Toc79697157"/>
      <w:bookmarkStart w:id="2322" w:name="_Toc79697486"/>
      <w:bookmarkStart w:id="2323" w:name="_Toc79699157"/>
      <w:bookmarkStart w:id="2324" w:name="_Toc79699483"/>
      <w:bookmarkStart w:id="2325" w:name="_Toc79699821"/>
      <w:bookmarkStart w:id="2326" w:name="_Toc79700141"/>
      <w:bookmarkStart w:id="2327" w:name="_Toc79700463"/>
      <w:bookmarkStart w:id="2328" w:name="_Toc79700785"/>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75B46051" w14:textId="0671C33A" w:rsidR="00FB0EE5" w:rsidRPr="00E95EE9" w:rsidRDefault="00FB0EE5" w:rsidP="00E95EE9">
      <w:pPr>
        <w:pStyle w:val="Heading3"/>
        <w:numPr>
          <w:ilvl w:val="0"/>
          <w:numId w:val="0"/>
        </w:numPr>
        <w:ind w:left="1224"/>
        <w:jc w:val="both"/>
        <w:rPr>
          <w:u w:val="single"/>
        </w:rPr>
      </w:pPr>
    </w:p>
    <w:p w14:paraId="65429A70"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When a debtor files a petition for bankruptcy, the Bankruptcy Code protects the debtor's interests by imposing an automatic stay on efforts to collect prepetition debts outside the bankruptcy forum. Those prohibited efforts include "any act ... to exercise control over property" of the bankruptcy estate. 11 U.S.C. § 362(a)(3). The question in this case is whether an entity violates that prohibition by retaining possession of a debtor's property after a bankruptcy petition is filed. We hold that mere retention of property does not violate § 362(a)(3).</w:t>
      </w:r>
    </w:p>
    <w:p w14:paraId="472B9474"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Under the Bankruptcy Code, the filing of a bankruptcy petition has certain immediate consequences. For one thing, a petition "creates an estate" that, with some exceptions, comprises "all legal or equitable interests of the debtor in property as of the commencement of the case." Section 541 "is intended to include in the estate any property made available to the estate by other provisions of the Bankruptcy Code." One such provision, § 542, is important for present purposes. Titled "Turnover of property to the estate," § 542 provides, with just a few exceptions, that an entity (other than a custodian) in possession of property of the bankruptcy estate "shall deliver to the trustee, and account for" that property.</w:t>
      </w:r>
    </w:p>
    <w:p w14:paraId="6DEAF0D7"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 second automatic consequence of the filing of a bankruptcy petition is that, with certain exceptions, the petition "operates as a stay, applicable to all entities," of efforts to collect from the debtor outside of the bankruptcy forum. § 362(a). The automatic stay serves the debtor's interests by protecting the estate from dismemberment, and it also benefits creditors as a group by preventing individual creditors from pursuing their own interests to the detriment of the others. Under the Code, an individual injured by any willful violation of the stay "shall recover actual damages, including costs and attorneys' fees, and in appropriate circumstances, may recover punitive damages." § 362(k)(1).</w:t>
      </w:r>
    </w:p>
    <w:p w14:paraId="69266BF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Among the many collection efforts prohibited by the stay is "any act to obtain possession of property of the estate or of property from the estate or to exercise control over property of the estate." § 362(a)(3). The prohibition against exercising control over estate property is the subject of the present dispute.</w:t>
      </w:r>
    </w:p>
    <w:p w14:paraId="02094A0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In the case before us, the city of Chicago (City) impounded each respondent's vehicle for failure to pay fines for motor vehicle infractions. Each respondent filed a Chapter 13 bankruptcy petition and requested that the City return his or her vehicle. The City refused, and in each case a bankruptcy court held that the City's refusal violated the automatic stay. The Court of Appeals affirmed all of the judgments in a consolidated opinion. The court concluded that "by retaining possession of the debtors' vehicles after they declared bankruptcy," the City had acted "to exercise control over" respondents' property in violation of § 362(a)(3). We granted certiorari to resolve a split in the Courts of Appeals over whether an entity that retains possession of the property of a bankruptcy estate violates § 362(a)(3). We now vacate the judgment below.</w:t>
      </w:r>
    </w:p>
    <w:p w14:paraId="396A0A8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The language used in § 362(a)(3) suggests that merely retaining possession of estate property does not violate the automatic stay. Under that provision, the filing of a bankruptcy petition operates as a "stay" of "any act" to "exercise control" over the property of the estate. Taken together, the most natural reading of these terms—"stay," "act," and "exercise control" —is that § 362(a)(3) prohibits affirmative acts that would disturb the status quo of estate property as of the time when the bankruptcy petition was filed.</w:t>
      </w:r>
    </w:p>
    <w:p w14:paraId="34235715"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Taking the provision's operative words in turn, the term "stay" is commonly used to describe an order that "suspend[s] judicial alteration of the status quo." An "act" is "[s]omething done or performed ...; a deed." To "exercise" in the sense relevant here means "to bring into play" or "make effective in action." And to "exercise" something like control is "to put in practice or carry out in action." The suggestion conveyed by the combination of these terms is that § 362(a)(3) halts any affirmative act that would alter the status quo as of the time of the filing of a bankruptcy petition.</w:t>
      </w:r>
    </w:p>
    <w:p w14:paraId="4AD09047"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We do not maintain that these terms definitively rule out the alternative interpretation adopted by the court below and advocated by respondents. As respondents point out, omissions can qualify as "acts" in certain contexts, and the term "`control'" can mean "`to have power over.'" But saying that a person engages in an "act" to "exercise" his or her power over a thing communicates more than merely "having" that power. Thus the language of § 362(a)(3) implies that something more than merely retaining power is required to violate the disputed provision.</w:t>
      </w:r>
    </w:p>
    <w:p w14:paraId="3E3BD0D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Any ambiguity in the text of § 362(a)(3) is resolved decidedly in the City's favor by the existence of a separate provision, § 542, that expressly governs the turnover of estate property. Section 542(a), with two exceptions, provides as follows:</w:t>
      </w:r>
    </w:p>
    <w:p w14:paraId="754B645D" w14:textId="77777777" w:rsidR="00FB0EE5" w:rsidRPr="00FB0EE5" w:rsidRDefault="00FB0EE5" w:rsidP="00E95EE9">
      <w:pPr>
        <w:pStyle w:val="Quote"/>
        <w:ind w:firstLine="0"/>
      </w:pPr>
      <w:r w:rsidRPr="00FB0EE5">
        <w:t>"[A]n entity, other than a custodian, in possession, custody, or control, during the case, of property that the trustee may use, sell, or lease under section 363 of this title, or that the debtor may exempt under section 522 of this title, shall deliver to the trustee, and account for, such property or the value of such property, unless such property is of inconsequential value or benefit to the estate."</w:t>
      </w:r>
    </w:p>
    <w:p w14:paraId="6856487B"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The exceptions to § 542(a) shield (1) transfers of estate property made from one entity to another in good faith without notice or knowledge of the bankruptcy petition and (2) good-faith transfers to satisfy certain life insurance obligations. Reading § 362(a)(3) to cover mere retention of property, as respondents advocate, would create at least two serious problems.</w:t>
      </w:r>
    </w:p>
    <w:p w14:paraId="51278AE6"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First, it would render the central command of § 542 largely superfluous. Reading "any act ... to exercise control" in § 362(a)(3) to include merely retaining possession of a debtor's property would make that section a blanket turnover provision. But as noted, § 542 expressly governs "[t]urnover of property to the estate," and subsection (a) describes the broad range of property that an entity "shall deliver to the trustee." That mandate would be surplusage if § 362(a)(3) already required an entity affirmatively to relinquish control of the debtor's property at the moment a bankruptcy petition is filed.</w:t>
      </w:r>
    </w:p>
    <w:p w14:paraId="750868D3"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Respondents and their amici contend that § 542(a) would still perform some work by specifying the party to whom the property in question must be turned over and by requiring that an entity "account for ... the value of" the debtor's property if the property is damaged or lost. But that is a small amount of work for a large amount of text in a section that appears to be the Code provision that is designed to govern the turnover of estate property. Under this alternative interpretation, § 362(a)(3), not § 542, would be the chief provision governing turnover —even though § 362(a)(3) says nothing expressly on that question. And § 542 would be reduced to a footnote—even though it appears on its face to be the governing provision. The better account of the two provisions is that § 362(a)(3) prohibits collection efforts outside the bankruptcy proceeding that would change the status quo, while § 542(a) works within the bankruptcy process to draw far-flung estate property back into the hands of the debtor or trustee.</w:t>
      </w:r>
    </w:p>
    <w:p w14:paraId="5EAA6D99"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Second, respondents' reading would render the commands of § 362(a)(3) and § 542 contradictory. Section 542 carves out exceptions to the turnover command, and § 542(a) by its terms does not mandate turnover of property that is "of inconsequential value or benefit to the estate." Under respondents' reading, in cases where those exceptions to turnover under § 542 would apply, § 362(a)(3) would command turnover all the same. But it would be "an odd construction" of § 362(a)(3) to require a creditor to do immediately what § 542 specifically excuses. Respondents would have us resolve the conflicting commands by engrafting § 542's exceptions onto § 362(a)(3), but there is no textual basis for doing so.</w:t>
      </w:r>
    </w:p>
    <w:p w14:paraId="4B3B65AA"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The history of the Bankruptcy Code confirms what its text and structure convey. Both § 362(a)(3) and § 542(a) were included in the original Bankruptcy Code in 1978. At the time, § 362(a)(3) applied the stay only to "any act to obtain possession of property of the estate or of property from the estate." The phrase "or to exercise control over property of the estate" was not added until 1984. </w:t>
      </w:r>
    </w:p>
    <w:p w14:paraId="7177F204" w14:textId="0C044BB2"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Respondents do not seriously dispute that § 362(a)(3) imposed no turnover obligation prior to the 1984 amendment. But transforming the stay in § 362 into an affirmative turnover obligation would have constituted an important change. And it would have been odd for Congress to accomplish that change by simply adding the phrase "exercise control," a phrase that does not naturally comprehend the mere retention of property and that does not admit of the exceptions set out in § 542. Had Congress wanted to make § 362(a)(3) an enforcement arm of sorts for § 542(a), the least one would expect would be a cross-reference to the latter provision, but Congress did not include such a cross-reference or provide any other indication that it was transforming § 362(a)(3). The better account of the statutory history is that the 1984 amendment, by adding the phrase regarding the exercise of control, simply extended the stay to acts that would change the status quo with respect to intangible property and acts that would change the status quo with respect to tangible property without "obtain[ing]" such property.</w:t>
      </w:r>
    </w:p>
    <w:p w14:paraId="218C6BE8"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Though the parties debate the issue at some length, we need not decide how the turnover obligation in § 542 operates. Nor do we settle the meaning of other subsections of § 362(a).[2] We hold only that mere retention of estate property after the filing of a bankruptcy petition does not violate § 362(a)(3) of the Bankruptcy Code. The judgment of the Court of Appeals is vacated, and the case is remanded for further proceedings consistent with this opinion.</w:t>
      </w:r>
    </w:p>
    <w:p w14:paraId="5F87942E"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Sotomayor J, concurring</w:t>
      </w:r>
    </w:p>
    <w:p w14:paraId="67725349"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Although the Court today holds that § 362(a)(3) does not require creditors to turn over impounded vehicles, bankruptcy courts are not powerless to facilitate the return of debtors' vehicles to their owners. Most obviously, the Court leaves open the possibility of relief under § 542(a). That section requires any "entity," subject to some exceptions, to turn over "property" belonging to the bankruptcy estate. 11 U.S.C. § 542(a). The debtor, in turn, must be able to provide the creditor with "adequate protection" of its interest in the returned property, § 363(e); for example, the debtor may need to demonstrate that her car is sufficiently insured. In this way, § 542(a) maximizes value for all parties involved in a bankruptcy: The debtor is able to use her asset, which makes it easier to earn an income; the debtor's unsecured creditors, in turn, receive timely payments from the debtor; and the debtor's secured creditor, for its part, receives "adequate protection [to] replace the protection afforded by possession." Secured creditors cannot opt out of this arrangement. As even the City acknowledges, § 542(a) "impose[s] a duty of turnover that is mandatory when the statute's conditions ... are met." </w:t>
      </w:r>
    </w:p>
    <w:p w14:paraId="0BE6F881"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The trouble with § 542(a), however, is that turnover proceedings can be quite slow. The Federal Rules of Bankruptcy Procedure treat most "proceeding[s] to recover... property" as "adversary proceedings." Rule 7001(1). Such actions are, in simplified terms, "essentially full civil lawsuits carried out under the umbrella of [a] bankruptcy case." Because adversary proceedings require more process, they take more time. Of the turnover proceedings filed after July 2019 and concluding before June 2020, the average case was pending for over 100 days. </w:t>
      </w:r>
    </w:p>
    <w:p w14:paraId="36D831E0"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 xml:space="preserve">One hundred days is a long time to wait for a creditor to return your car, especially when you need that car to get to work so you can earn an income and make your bankruptcy-plan payments. To address this problem, some courts have adopted strategies to hurry things along. At least one bankruptcy court has held that § 542(a)'s turnover obligation is automatic even absent a court order. Other courts apparently will permit debtors to seek turnover by simple motion, in lieu of filing a full adversary proceeding, at least where the creditor has received adequate notice. Similarly, even when a turnover request does take the form of an adversary proceeding, bankruptcy courts may find it prudent to expedite proceedings or order preliminary relief requiring temporary turnover. </w:t>
      </w:r>
    </w:p>
    <w:p w14:paraId="1EFE1D04" w14:textId="77777777" w:rsidR="00FB0EE5" w:rsidRPr="00FB0EE5" w:rsidRDefault="00FB0EE5" w:rsidP="00E95EE9">
      <w:pPr>
        <w:ind w:firstLine="720"/>
        <w:jc w:val="both"/>
        <w:rPr>
          <w:rFonts w:ascii="Times New Roman" w:hAnsi="Times New Roman"/>
          <w:szCs w:val="24"/>
        </w:rPr>
      </w:pPr>
      <w:r w:rsidRPr="00FB0EE5">
        <w:rPr>
          <w:rFonts w:ascii="Times New Roman" w:hAnsi="Times New Roman"/>
          <w:szCs w:val="24"/>
        </w:rPr>
        <w:t>Ultimately, however, any gap left by the Court's ruling today is best addressed by rule drafters and policymakers, not bankruptcy judges. It is up to the Advisory Committee on Rules of Bankruptcy Procedure to consider amendments to the Rules that ensure prompt resolution of debtors' requests for turnover under § 542(a), especially where debtors' vehicles are concerned. Congress, too, could offer a statutory fix, either by ensuring that expedited review is available for § 542(a) proceedings seeking turnover of a vehicle or by enacting entirely new statutory mechanisms that require creditors to return cars to debtors in a timely manner.</w:t>
      </w:r>
    </w:p>
    <w:p w14:paraId="060D7D8E" w14:textId="69195B09" w:rsidR="00886F9A" w:rsidRDefault="00FB0EE5" w:rsidP="00E95EE9">
      <w:pPr>
        <w:ind w:firstLine="720"/>
        <w:jc w:val="both"/>
        <w:rPr>
          <w:rFonts w:ascii="Times New Roman" w:hAnsi="Times New Roman"/>
          <w:szCs w:val="24"/>
        </w:rPr>
      </w:pPr>
      <w:r w:rsidRPr="00FB0EE5">
        <w:rPr>
          <w:rFonts w:ascii="Times New Roman" w:hAnsi="Times New Roman"/>
          <w:szCs w:val="24"/>
        </w:rPr>
        <w:t>Nothing in today's opinion forecloses these alternative solutions. With that understanding, I concur.</w:t>
      </w:r>
    </w:p>
    <w:p w14:paraId="5383246D" w14:textId="77777777" w:rsidR="00FB0EE5" w:rsidRDefault="00886F9A" w:rsidP="00886F9A">
      <w:r>
        <w:br w:type="page"/>
      </w:r>
    </w:p>
    <w:p w14:paraId="7968D7AC" w14:textId="0BBB5ACC" w:rsidR="00FB0EE5" w:rsidRDefault="00FB0EE5" w:rsidP="00E95EE9">
      <w:pPr>
        <w:pStyle w:val="Heading2"/>
        <w:spacing w:line="240" w:lineRule="auto"/>
      </w:pPr>
      <w:bookmarkStart w:id="2329" w:name="_Toc79699158"/>
      <w:bookmarkStart w:id="2330" w:name="_Toc79699484"/>
      <w:bookmarkStart w:id="2331" w:name="_Toc79699822"/>
      <w:bookmarkStart w:id="2332" w:name="_Toc79700142"/>
      <w:bookmarkStart w:id="2333" w:name="_Toc79700464"/>
      <w:bookmarkStart w:id="2334" w:name="_Toc87039242"/>
      <w:bookmarkStart w:id="2335" w:name="_Toc90983638"/>
      <w:r>
        <w:t>Extending The Stay to Non-Debtors</w:t>
      </w:r>
      <w:bookmarkStart w:id="2336" w:name="_Toc79693016"/>
      <w:bookmarkStart w:id="2337" w:name="_Toc79693336"/>
      <w:bookmarkStart w:id="2338" w:name="_Toc79693656"/>
      <w:bookmarkStart w:id="2339" w:name="_Toc79693973"/>
      <w:bookmarkStart w:id="2340" w:name="_Toc79694613"/>
      <w:bookmarkStart w:id="2341" w:name="_Toc79695241"/>
      <w:bookmarkStart w:id="2342" w:name="_Toc79697487"/>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r w:rsidR="00E95EE9">
        <w:br/>
      </w:r>
    </w:p>
    <w:bookmarkStart w:id="2343" w:name="_Toc87039243"/>
    <w:p w14:paraId="0C594B13" w14:textId="02A848DE" w:rsidR="0021560E" w:rsidRPr="00D95675" w:rsidRDefault="00E95EE9" w:rsidP="00E95EE9">
      <w:pPr>
        <w:pStyle w:val="Heading3"/>
      </w:pPr>
      <w:r>
        <w:fldChar w:fldCharType="begin"/>
      </w:r>
      <w:r>
        <w:instrText xml:space="preserve"> HYPERLINK "https://scholar.google.com/scholar_case?case=3097794874081589584&amp;q=788+F.2d+994+&amp;hl=en&amp;as_sdt=6,33" </w:instrText>
      </w:r>
      <w:r>
        <w:fldChar w:fldCharType="separate"/>
      </w:r>
      <w:bookmarkStart w:id="2344" w:name="_Toc90983639"/>
      <w:r w:rsidR="00FB0EE5" w:rsidRPr="00E95EE9">
        <w:rPr>
          <w:rStyle w:val="Hyperlink"/>
        </w:rPr>
        <w:t>AH ROBINS CO, INC. v. PICCININ, 788 F. 2d 994 (4th Cir. 1986)</w:t>
      </w:r>
      <w:bookmarkStart w:id="2345" w:name="_Toc79693017"/>
      <w:bookmarkStart w:id="2346" w:name="_Toc79693337"/>
      <w:bookmarkStart w:id="2347" w:name="_Toc79693657"/>
      <w:bookmarkStart w:id="2348" w:name="_Toc79693974"/>
      <w:bookmarkStart w:id="2349" w:name="_Toc79694292"/>
      <w:bookmarkStart w:id="2350" w:name="_Toc79694614"/>
      <w:bookmarkStart w:id="2351" w:name="_Toc79694926"/>
      <w:bookmarkStart w:id="2352" w:name="_Toc79695242"/>
      <w:bookmarkStart w:id="2353" w:name="_Toc79695558"/>
      <w:bookmarkStart w:id="2354" w:name="_Toc79695874"/>
      <w:bookmarkStart w:id="2355" w:name="_Toc79696190"/>
      <w:bookmarkStart w:id="2356" w:name="_Toc79696506"/>
      <w:bookmarkStart w:id="2357" w:name="_Toc79696827"/>
      <w:bookmarkStart w:id="2358" w:name="_Toc79697159"/>
      <w:bookmarkStart w:id="2359" w:name="_Toc79697488"/>
      <w:bookmarkStart w:id="2360" w:name="_Toc79699159"/>
      <w:bookmarkStart w:id="2361" w:name="_Toc79699485"/>
      <w:bookmarkStart w:id="2362" w:name="_Toc79699823"/>
      <w:bookmarkStart w:id="2363" w:name="_Toc79700143"/>
      <w:bookmarkStart w:id="2364" w:name="_Toc79700465"/>
      <w:bookmarkStart w:id="2365" w:name="_Toc79700787"/>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fldChar w:fldCharType="end"/>
      </w:r>
      <w:r>
        <w:rPr>
          <w:rStyle w:val="Hyperlink"/>
          <w:color w:val="auto"/>
        </w:rPr>
        <w:br/>
      </w:r>
    </w:p>
    <w:p w14:paraId="11086F4C" w14:textId="77777777" w:rsidR="00D02B90" w:rsidRDefault="00D02B90" w:rsidP="00D02B90">
      <w:pPr>
        <w:pStyle w:val="0-NORMAL"/>
      </w:pPr>
      <w:r>
        <w:t>Confronted, if not overwhelmed, with an avalanche of actions filed in various state and federal courts throughout the United States by citizens of this country as well as of foreign countries seeking damages for injuries allegedly sustained by the use of an intrauterine contraceptive device known as a Dalkon Shield, the manufacturer of the device, A.H. Robins Company, Incorporated (Robins) filed its petition under Chapter 11 of the Bankruptcy Code.</w:t>
      </w:r>
    </w:p>
    <w:p w14:paraId="0BA2606C" w14:textId="77777777" w:rsidR="00D02B90" w:rsidRDefault="00D02B90" w:rsidP="00D02B90">
      <w:pPr>
        <w:pStyle w:val="0-NORMAL"/>
      </w:pPr>
      <w:r>
        <w:t>In mid-1970 Robins acquired all patent and marketing rights to the Dalkon Shield and engaged in the manufacture and marketing of the device from early 1971 until 1974, when it discontinued manufacture and sale of the device because of complaints and suits charging injuries arising allegedly out of the use of the device. The institution of Dalkon Shield suits did not, however, moderate with the discontinuance of manufacture of the device, since Robins did not actually recall the device until 1984. By the middle of 1985, when the Chapter 11 petition was filed the number of such suits arising out of the continued sale and use of the Dalkon Shield device earlier put into the stream of commerce by Robins had grown to 5,000. More than half of these pending cases named Robins as the sole defendant; a co-defendant or co-defendants were named in the others. Prior to the filing, a number of suits had been tried and, while Robins had prevailed in some of the actions, judgments in large and burdensome amounts had been recovered in others. Many more had been settled. Moreover, the costs of defending these suits both to Robins and to its insurance carrier had risen into the millions. A large amount of the time and energies of Robins' officers and executives was also being absorbed in preparing material for trial and in attending and testifying at depositions and trials. The problems arising out of this mounting tide of claims and suits precipitated this Chapter 11 proceeding.</w:t>
      </w:r>
    </w:p>
    <w:p w14:paraId="6F59D058" w14:textId="77777777" w:rsidR="00D02B90" w:rsidRDefault="00D02B90" w:rsidP="00D02B90">
      <w:pPr>
        <w:pStyle w:val="0-NORMAL"/>
      </w:pPr>
      <w:r>
        <w:t xml:space="preserve">The filing of the Chapter 11 petition automatically stayed all suits against Robins itself under section 362(a) of the Bankruptcy Code, even though no formal order of stay was immediately entered. But a number of plaintiffs in suits where there were defendants other than Robins, sought to sever their actions against Robins and to proceed with their claims against the co-defendant or co-defendants. Robins responded to the move by filing an adversary proceeding in which it named as defendants the plaintiffs in eight such suits pending in various state and federal courts. In that proceeding, the debtor sought (1) declaratory relief adjudging that the debtor's products liability policy with Aetna Casualty and Insurance Company (Aetna) was an asset of the estate in which all the Dalkon Shield plaintiffs and claimants had an interest and (2) injunctive relief restraining the prosecution of the actions against its co-defendants. </w:t>
      </w:r>
    </w:p>
    <w:p w14:paraId="639ABA40" w14:textId="5AF117EB" w:rsidR="00D02B90" w:rsidRDefault="00D02B90" w:rsidP="00D02B90">
      <w:pPr>
        <w:pStyle w:val="0-NORMAL"/>
      </w:pPr>
      <w:r>
        <w:t>The debtor's application for a temporary restraining order and for the setting of a date for a hearing on the request for preliminary injunction in the adversary proceeding was heard ex parte by the district judge who had jurisdiction over the proceedings.</w:t>
      </w:r>
      <w:r w:rsidR="001D2102">
        <w:t xml:space="preserve"> </w:t>
      </w:r>
      <w:r>
        <w:t xml:space="preserve">The district judge granted at the time a temporary restraining order in the proceedings and set a hearing on the debtor's application for a preliminary injunction. </w:t>
      </w:r>
    </w:p>
    <w:p w14:paraId="41E813E0" w14:textId="77777777" w:rsidR="00D02B90" w:rsidRDefault="00D02B90" w:rsidP="00D02B90">
      <w:pPr>
        <w:pStyle w:val="0-NORMAL"/>
      </w:pPr>
      <w:r>
        <w:t>At the hearing on the motion for a preliminary injunction, a number of defendants as well as the Committee constituted by the court to represent Dalkon Shield Claimants appeared by counsel. At the commencement of the hearing the defendant Piccinin, a plaintiff in one of the Dalkon Shield actions which Robins sought to stay, filed through her attorney a written motion to dismiss as against her. No other defendant filed a motion in response to the motion for a preliminary injunction. After receiving certain testimony, admitting various records, and hearing arguments of parties, the district court granted Robins' request for a preliminary injunction.</w:t>
      </w:r>
    </w:p>
    <w:p w14:paraId="7F4F3E0E" w14:textId="77777777" w:rsidR="00D02B90" w:rsidRDefault="00D02B90" w:rsidP="00D02B90">
      <w:pPr>
        <w:pStyle w:val="0-NORMAL"/>
      </w:pPr>
      <w:r>
        <w:t>In his order granting the preliminary injunction, the district judge found (1) that continuation of litigation in the civil actions threatened property of Robins' estate, burdened and impeded Robins' reorganization effort, contravened the public interest, and rendered any plan of reorganization futile; (2) that this burden on Robins' estate outweighed any burden on the Dalkon claimants caused by enjoining their civil actions; and (3) that all remaining insurance coverage in favor of the debtor under its liability policy issued by Aetna was property of the Robins' Chapter 11 estate. The district judge then held that all actions for damages that might be satisfied from proceeds of the Aetna insurance policy were subject to the stay.</w:t>
      </w:r>
    </w:p>
    <w:p w14:paraId="1E0C9C72" w14:textId="77777777" w:rsidR="00D02B90" w:rsidRDefault="00D02B90" w:rsidP="00D02B90">
      <w:pPr>
        <w:pStyle w:val="0-NORMAL"/>
      </w:pPr>
      <w:r>
        <w:t>Only the defendants Piccinin, the Mosas, and Conrad filed timely notices of appeal from the grant of the preliminary injunction. Their appeals, questioning the propriety of that preliminary injunction as against suits by Robins' co-defendants is the first of the issues now before this Court.</w:t>
      </w:r>
    </w:p>
    <w:p w14:paraId="64DA708B" w14:textId="77777777" w:rsidR="00D02B90" w:rsidRDefault="00D02B90" w:rsidP="00D02B90">
      <w:pPr>
        <w:pStyle w:val="0-NORMAL"/>
      </w:pPr>
      <w:r>
        <w:t xml:space="preserve">Some three weeks after entry of the preliminary injunction, Robins filed a motion for (1) a determination of trial venue of all Dalkon Shield suits, (2) identification of such Dalkon Shield cases as were "related to" the Chapter 11 case, and (3) transfer of such cases to the Eastern District of Virginia for trial. It also requested an expedited hearing on these motions. This request for an expedited hearing was granted and the expedited hearing was set ten days later. </w:t>
      </w:r>
    </w:p>
    <w:p w14:paraId="7BCEAA3A" w14:textId="77777777" w:rsidR="00D02B90" w:rsidRDefault="00D02B90" w:rsidP="00D02B90">
      <w:pPr>
        <w:pStyle w:val="0-NORMAL"/>
      </w:pPr>
      <w:r>
        <w:t>After a hearing on the motions, the district judge entered an order holding that (1) pursuant to 28 U.S.C. § 1334(b), all actions based upon personal injury tort or wrongful death claims arising from the use of the Dalkon Shield were proceedings related to this Chapter 11 case over which this court had jurisdiction; (2) pursuant to 28 U.S.C. §§ 157(b)(5)[7] and 1334(b), all such actions, wherever pending, were to be tried in the Richmond Division of the United States District Court for the Eastern District of Virginia; (3) all actions related to the Robins' Chapter 11 case now pending in any federal district court or subsequently removed to any federal district court, during the pendency of this Chapter 11 case, were to be transferred to this court [the Richmond Division of the United States District Court]; and (4) nothing in the order limited the power of this court [the Richmond Division of the United States District Court] later to abstain from hearing any proceeding under section 1334(c)(1) or remanding under section 1452(b), 28 U.S.C.</w:t>
      </w:r>
    </w:p>
    <w:p w14:paraId="4265784B" w14:textId="77777777" w:rsidR="00D02B90" w:rsidRDefault="00D02B90" w:rsidP="00D02B90">
      <w:pPr>
        <w:pStyle w:val="0-NORMAL"/>
      </w:pPr>
      <w:r>
        <w:t>The initial question in the appeal of the first issue relates to the court's jurisdiction to grant a stay or injunction of suits in other courts against co-defendants of the debtor or of third parties; none of the parties herein contest the jurisdiction of the bankruptcy court to stay actions against the debtor itself in any court. Jurisdiction over suits involving co-defendants or third-parties may be bottomed on two statutory provisions of the Bankruptcy Act itself as well as on the general equitable powers of the court. The first of these statutory grants of jurisdiction is found in section 362. The purpose of this section by its various subsections is to protect the debtor from an uncontrollable scramble for its assets in a number of uncoordinated proceedings in different courts, to preclude one creditor from pursuing a remedy to the disadvantage of other creditors, and to provide the debtor and its executives with a reasonable respite from protracted litigation, during which they may have an opportunity to formulate a plan of reorganization for the debtor. [As one Court put it], "[t]he stay insures that the debtor's affairs will be centralized, initially, in a single forum in order to prevent conflicting judgments from different courts and in order to harmonize all of the creditors' interests with one another."</w:t>
      </w:r>
    </w:p>
    <w:p w14:paraId="49C4AD96" w14:textId="77777777" w:rsidR="00D02B90" w:rsidRDefault="00D02B90" w:rsidP="00D02B90">
      <w:pPr>
        <w:pStyle w:val="0-NORMAL"/>
      </w:pPr>
      <w:r>
        <w:t>Section 362 is broken down into several subsections, only two of which are relevant on this appeal. The first of such subsections is (a)(1), which imposes an automatic stay of any proceeding "commenced or [that] could have been commenced against the debtor" at the time of the filing of the Chapter 11 proceeding; the second is (a)(3), which provides similar relief against suits involving the possession or custody of property of the debtor, irrespective of whether the suits are against the debtor alone or others. We shall discuss the extent of jurisdiction given the bankruptcy court under these two subsections, beginning with (a)(1).</w:t>
      </w:r>
    </w:p>
    <w:p w14:paraId="19443341" w14:textId="77777777" w:rsidR="00D02B90" w:rsidRDefault="00D02B90" w:rsidP="00D02B90">
      <w:pPr>
        <w:pStyle w:val="0-NORMAL"/>
      </w:pPr>
      <w:r>
        <w:t xml:space="preserve">Subsection (a)(1) is generally said to be available only to the debtor, not third party defendants or co-defendants. However, as the Court in Johns-Manville Sales Corp., 26 B.R. 405, 410 (S.D.N.Y .1983) remarked, "there are cases [under 362(a)(1)] where a bankruptcy court may properly stay the proceedings against non-bankrupt co-defendants" but, it adds, that in order for relief for such non-bankrupt defendants to be available under (a)(1), there must be "unusual circumstances" and certainly "`[s]omething more than the mere fact that one of the parties to the lawsuit has filed a Chapter 11 bankruptcy must be shown in order that proceedings be stayed against non-bankrupt parties.'" This "unusual situation," it would seem, </w:t>
      </w:r>
      <w:bookmarkStart w:id="2366" w:name="_Hlk80040894"/>
      <w:r>
        <w:t>arises when there is such identity between the debtor and the third-party defendant that the debtor may be said to be the real party defendant and that a judgment against the third-party defendant will in effect be a judgment or finding against the debtor.</w:t>
      </w:r>
      <w:bookmarkEnd w:id="2366"/>
      <w:r>
        <w:t xml:space="preserve"> An illustration of such a situation would be a suit against a third-party who is entitled to absolute indemnity by the debtor on account of any judgment that might result against them in the case. To refuse application of the statutory stay in that case would defeat the very purpose and intent of the statute. . . .  </w:t>
      </w:r>
      <w:bookmarkStart w:id="2367" w:name="_Hlk80040949"/>
      <w:r>
        <w:t>[I]t is unimportant whether the stay is granted under section 362(a)(1) or on equitable grounds: the result is the same; a stay is proper in such a situation.</w:t>
      </w:r>
    </w:p>
    <w:bookmarkEnd w:id="2367"/>
    <w:p w14:paraId="686EFD55" w14:textId="77777777" w:rsidR="00D02B90" w:rsidRDefault="00D02B90" w:rsidP="00D02B90">
      <w:pPr>
        <w:pStyle w:val="0-NORMAL"/>
      </w:pPr>
      <w:r>
        <w:t>But (a)(1), which stays actions against the debtor and arguably against those whose interests are so intimately intertwined with those of the debtor that the latter may be said to be the real party in interest, is not the only part of section 362 providing for an automatic stay of proceedings. Subsection (a)(3) directs stays of any action, whether against the debtor or third-parties, to obtain possession or to exercise control over property of the debtor. A key phrase in the construction and application of this section is, of course, "property" as that term is used in the Act. Section 541(a)(1) of the Bankruptcy Act defines "property" in the bankruptcy context. It provides that the "estate is comprised of all the following property, wherever located ... all legal or equitable interests of the debtor in property as of the commencement of the case." The Supreme Court in construing this language in United States v. Whiting Pools, Inc., 462 U.S. 198, 205, [made it clear that the] scope of this paragraph [541(a)(1)] is broad. It included all kinds of property including tangible or intangible property, causes of action and all other forms of property currently specified in section 70a of the Bankruptcy Act.”</w:t>
      </w:r>
    </w:p>
    <w:p w14:paraId="04F992FA" w14:textId="77777777" w:rsidR="00D02B90" w:rsidRDefault="00D02B90" w:rsidP="00D02B90">
      <w:pPr>
        <w:pStyle w:val="0-NORMAL"/>
      </w:pPr>
      <w:r>
        <w:t xml:space="preserve">Under the weight of authority, insurance contracts have been said to be embraced in this statutory definition of "property." For example, even the right to cancel an insurance policy issued to the debtor has uniformly been held to be stayed under section 362(a)(3). A products liability policy of the debtor is similarly within the principle: it is a valuable property of a debtor, particularly if the debtor is confronted with substantial liability claims within the coverage of the policy in which case the policy may well be, as one court has remarked in a case like the one under review, "the most important asset of [i.e., the debtor's] estate." Any action in which the judgment may diminish this "important asset" is unquestionably subject to a stay under this subsection. </w:t>
      </w:r>
      <w:bookmarkStart w:id="2368" w:name="_Hlk80041021"/>
      <w:r>
        <w:t xml:space="preserve">Accordingly actions "related to" the bankruptcy proceedings against the insurer or against officers or employees of the debtor who may be entitled to indemnification under such policy or who qualify as additional insureds under the policy are to be stayed under section 362(a)(3). </w:t>
      </w:r>
    </w:p>
    <w:bookmarkEnd w:id="2368"/>
    <w:p w14:paraId="75884647" w14:textId="77777777" w:rsidR="00D02B90" w:rsidRDefault="00D02B90" w:rsidP="00D02B90">
      <w:pPr>
        <w:pStyle w:val="0-NORMAL"/>
      </w:pPr>
      <w:r>
        <w:t xml:space="preserve">The statutory power of the bankruptcy court to stay actions involving the debtor or its property is not, however, limited to section 362(a)(1) and (a)(3). It has been repeatedly held that 11 U.S.C. § 105 which provides that the bankruptcy court "may issue any order, process, or judgment that is necessary or appropriate to carry out the provisions of this title," "empowers the bankruptcy court to enjoin parties other than the bankrupt" from commencing or continuing litigation. </w:t>
      </w:r>
    </w:p>
    <w:p w14:paraId="07FCFA3F" w14:textId="77777777" w:rsidR="00D02B90" w:rsidRDefault="00D02B90" w:rsidP="00D02B90">
      <w:pPr>
        <w:pStyle w:val="0-NORMAL"/>
      </w:pPr>
      <w:r>
        <w:t>Section 105 gives the court “the power to issue any order, process or judgment that is necessary or appropriate to carry out the provisions of this title.”</w:t>
      </w:r>
    </w:p>
    <w:p w14:paraId="0F18FE75" w14:textId="77777777" w:rsidR="00D02B90" w:rsidRDefault="00D02B90" w:rsidP="00D02B90">
      <w:pPr>
        <w:pStyle w:val="0-NORMAL"/>
      </w:pPr>
      <w:r>
        <w:t xml:space="preserve">[T]he exceptions to the automatic stay of § 362(a) which are set forth in § 362(b) are simply exceptions to the stay which protect the estate automatically at the commencement of the case and are not limitations upon the jurisdiction of the bankruptcy court or upon its power to enjoin. That power is generally based upon § 105 of the Code. </w:t>
      </w:r>
      <w:bookmarkStart w:id="2369" w:name="_Hlk80041113"/>
      <w:r>
        <w:t>The court will have ample power to enjoin actions excepted from the automatic stay which might interfere in the rehabilitative process whether in a liquidation or in a reorganization case.</w:t>
      </w:r>
    </w:p>
    <w:bookmarkEnd w:id="2369"/>
    <w:p w14:paraId="4CE6917D" w14:textId="77777777" w:rsidR="00D02B90" w:rsidRDefault="00D02B90" w:rsidP="00D02B90">
      <w:pPr>
        <w:pStyle w:val="0-NORMAL"/>
      </w:pPr>
      <w:r>
        <w:t>Accepting that section 105 confers on the bankruptcy court power . . . to enjoin suits against parties in other courts, whether state or federal, it is necessary to mark out the circumstances under which the power or jurisdiction may be exercised. In Otero Mills, the Court approved a ruling that "[t]o so enjoin a creditor's action against a third party, the court must find that failure to enjoin would effect [sic] the bankruptcy estate and would adversely or detrimentally influence and pressure the debtor through the third party." In Johns-Manville, the Court phrased somewhat fuller the circumstances when section 105 may support a stay:</w:t>
      </w:r>
    </w:p>
    <w:p w14:paraId="70FB8950" w14:textId="77777777" w:rsidR="00D02B90" w:rsidRDefault="00D02B90" w:rsidP="00D02B90">
      <w:pPr>
        <w:pStyle w:val="0-NORMAL"/>
      </w:pPr>
      <w:r>
        <w:t xml:space="preserve">In the exercise of its authority under § 105, the Bankruptcy Court may use its injunctive authority to "protect the integrity of a bankrupt's estate and the Bankruptcy Court's custody thereof and to preserve to that Court the ability to exercise the authority delegated to it by Congress"  Pursuant to the exercise of that authority the Court may issue or extend stays to enjoin a variety of proceedings [including discovery against the debtor or its officers and employees] which will have an adverse impact on the Debtor's ability to formulate a Chapter 11 plan. </w:t>
      </w:r>
    </w:p>
    <w:p w14:paraId="7CCFB779" w14:textId="77777777" w:rsidR="00D02B90" w:rsidRDefault="00D02B90" w:rsidP="00D02B90">
      <w:pPr>
        <w:pStyle w:val="0-NORMAL"/>
      </w:pPr>
      <w:r>
        <w:t xml:space="preserve">Beyond these statutory powers under section 362 and section 105 to enjoin other actions whether against the debtor or third-parties and in whatsoever court, the bankruptcy court under its comprehensive jurisdiction as conferred by </w:t>
      </w:r>
      <w:bookmarkStart w:id="2370" w:name="_Hlk80041199"/>
      <w:r>
        <w:t xml:space="preserve">28 U.S.C. section 1334 has the "inherent power of courts under their general equity powers and in the efficient management of the dockets to grant relief" to grant a stay. In exercising such power the court, however, must "weigh competing interests and maintain an even balance" and must justify the stay "by clear and convincing circumstances outweighing potential harm to the party against whom it is operative." </w:t>
      </w:r>
      <w:bookmarkEnd w:id="2370"/>
    </w:p>
    <w:p w14:paraId="47BE8F13" w14:textId="77777777" w:rsidR="00D02B90" w:rsidRDefault="00D02B90" w:rsidP="00D02B90">
      <w:pPr>
        <w:pStyle w:val="0-NORMAL"/>
      </w:pPr>
      <w:r>
        <w:t xml:space="preserve">There are thus four grounds on which the bankruptcy court may enjoin suits against the bankrupt or its assets and property. In some instances only one of these grounds may be relevant; in an involved and complex case, several or even all of the grounds may require consideration. </w:t>
      </w:r>
    </w:p>
    <w:p w14:paraId="748397F4" w14:textId="77777777" w:rsidR="00D02B90" w:rsidRDefault="00D02B90" w:rsidP="00D02B90">
      <w:pPr>
        <w:pStyle w:val="0-NORMAL"/>
      </w:pPr>
      <w:r>
        <w:t xml:space="preserve">In the three situations in which the defendants have challenged the injunction granted by the district judge [i.e., the Mosa, Conrad and Piccinin cases], the only defendants other than the debtor, are the two Robins, Dr. Frederick A. Clark, Jr., Dr. Hugh J. Davis, and the debtor's insurer Aetna. So far as the suits against the two Robins and Dr. Clark, those defendants were entitled to indemnification by the debtor under the corporate by-laws and the statutes of Virginia, the State of debtor's incorporation, and were, in addition, additional insureds under the debtor's insurance policy. Dr. Davis was the beneficiary of an express contract of indemnification on the part of Robins and was, under a compromise agreement with Robins and Aetna, an additional insured under Robins' insurance policy. The Manville court had granted a preliminary injunction in favor of defendants in the same position as these defendants, as we have seen, on facts similar to those here, finding that the requirements of possible irreparable harm "had been satisfied by the showing ... [that the suits against the defendants would represent] an immediate and irreparable impact on the pool of insurance assets, of the existence of sufficiently serious questions going to the merits," and of the tipping in the defendants' favor in the hardships in a balancing of the debtor's and the plaintiffs'. That court had previously disposed of the public interest being weighted in the debtor's favor: "Indeed, this Court finds the goal of removing all obstacles to plan formulation eminently praiseworthy and supports every lawful effort to foster this goal while protecting the due process rights of all constituencies." </w:t>
      </w:r>
    </w:p>
    <w:p w14:paraId="7769537D" w14:textId="77777777" w:rsidR="00D02B90" w:rsidRDefault="00D02B90" w:rsidP="00D02B90">
      <w:pPr>
        <w:pStyle w:val="0-NORMAL"/>
      </w:pPr>
      <w:r>
        <w:t xml:space="preserve">The district court in this case applied the test for a grant of preliminary injunctive relief. It found that irreparable harm would be suffered by the debtor and by the defendants since any of these suits against these co-defendants, if successful, would reduce and diminish the insurance fund or pool represented in Aetna's policy in favor of Robins and thereby affect the property of the debtor to the detriment of the debtor's creditors as a whole. The likelihood of success by the debtor under these circumstances appeared indisputable. The hardships which would be suffered irreparably by the debtor and by its creditors generally in permitting these plaintiffs to secure as it were a preference in the distribution of the insurance pool herein to which all creditors were entitled, together with the unquestioned public interest in promoting a viable reorganization of the debtor can be said to outweigh any contrary hardship to the plaintiffs. </w:t>
      </w:r>
    </w:p>
    <w:p w14:paraId="1EB4D953" w14:textId="77777777" w:rsidR="00D02B90" w:rsidRDefault="00D02B90" w:rsidP="00D02B90">
      <w:pPr>
        <w:pStyle w:val="0-NORMAL"/>
      </w:pPr>
      <w:r>
        <w:t>The district court entered a ruling bringing for the time being all the pending suits against the debtor before the district court sitting in bankruptcy in order to proceed expeditiously in the reorganization but with the definite condition that any party might object and might petition for abstention in his or her case. It was in our opinion intended as a conditional order, though not clearly stated as such. We are of the opinion, because of this possible want of clarity in the order assailed, that such order must be modified to make it crystal clear that the determination of venue therein is, as we have said, conditional, dependent finally and ultimately on a ruling to be made only after notice to all claimants advising them of their right to enter any objections they may have to such a tentative ruling and to submit a motion for abstention in their particular case.</w:t>
      </w:r>
    </w:p>
    <w:p w14:paraId="7D99B28B" w14:textId="0D0013D7" w:rsidR="00FB0EE5" w:rsidRDefault="00D02B90" w:rsidP="00D02B90">
      <w:pPr>
        <w:pStyle w:val="0-NORMAL"/>
        <w:ind w:firstLine="0"/>
      </w:pPr>
      <w:r>
        <w:t>We do not presume to suggest rigid guidelines for the district judge to follow when considering objections to the transfer. We believe it important, however, to observe that although there may be distinct advantages of the tort claims being transferred to Richmond, those advantages should be balanced against the disadvantages that may be advanced at the hearing. In that regard, some cases may be fully prepared and ready for state trial. Some cases may require substantial numbers of local witnesses. Claimants may be receiving critical medical, physical or psychological care in a local area which would have to be halted or transferred to Richmond. All of these factors are relevant. Moreover, there are issues of state law that may substantially affect the results in individual cases.</w:t>
      </w:r>
    </w:p>
    <w:p w14:paraId="5705D282" w14:textId="77777777" w:rsidR="00E95EE9" w:rsidRDefault="00E95EE9" w:rsidP="00D02B90">
      <w:pPr>
        <w:pStyle w:val="0-NORMAL"/>
        <w:ind w:firstLine="0"/>
      </w:pPr>
    </w:p>
    <w:p w14:paraId="5C8DF267" w14:textId="32979428" w:rsidR="00FB0EE5" w:rsidRDefault="00A023D2" w:rsidP="00D55C96">
      <w:pPr>
        <w:pStyle w:val="Heading3"/>
      </w:pPr>
      <w:bookmarkStart w:id="2371" w:name="_Toc79699160"/>
      <w:bookmarkStart w:id="2372" w:name="_Toc79699486"/>
      <w:bookmarkStart w:id="2373" w:name="_Toc79699824"/>
      <w:bookmarkStart w:id="2374" w:name="_Toc79700144"/>
      <w:bookmarkStart w:id="2375" w:name="_Toc79700466"/>
      <w:bookmarkStart w:id="2376" w:name="_Toc87039244"/>
      <w:bookmarkStart w:id="2377" w:name="_Toc90983640"/>
      <w:r>
        <w:t xml:space="preserve">Note on </w:t>
      </w:r>
      <w:hyperlink r:id="rId144" w:history="1">
        <w:r w:rsidRPr="00E95EE9">
          <w:rPr>
            <w:rStyle w:val="Hyperlink"/>
          </w:rPr>
          <w:t>IN RE QUIGLEY CO, 676 F.3d 45 (2d Cir. 2012)</w:t>
        </w:r>
        <w:bookmarkEnd w:id="2371"/>
        <w:bookmarkEnd w:id="2372"/>
        <w:bookmarkEnd w:id="2373"/>
        <w:bookmarkEnd w:id="2374"/>
        <w:bookmarkEnd w:id="2375"/>
        <w:bookmarkEnd w:id="2376"/>
        <w:bookmarkEnd w:id="2377"/>
      </w:hyperlink>
      <w:bookmarkStart w:id="2378" w:name="_Toc79693018"/>
      <w:bookmarkStart w:id="2379" w:name="_Toc79693338"/>
      <w:bookmarkStart w:id="2380" w:name="_Toc79693658"/>
      <w:bookmarkStart w:id="2381" w:name="_Toc79693975"/>
      <w:bookmarkStart w:id="2382" w:name="_Toc79694615"/>
      <w:bookmarkStart w:id="2383" w:name="_Toc79695243"/>
      <w:bookmarkStart w:id="2384" w:name="_Toc79697489"/>
      <w:bookmarkStart w:id="2385" w:name="_Hlk90562460"/>
      <w:bookmarkEnd w:id="2378"/>
      <w:bookmarkEnd w:id="2379"/>
      <w:bookmarkEnd w:id="2380"/>
      <w:bookmarkEnd w:id="2381"/>
      <w:bookmarkEnd w:id="2382"/>
      <w:bookmarkEnd w:id="2383"/>
      <w:bookmarkEnd w:id="2384"/>
      <w:r w:rsidR="00E95EE9">
        <w:rPr>
          <w:rStyle w:val="Hyperlink"/>
        </w:rPr>
        <w:br/>
      </w:r>
    </w:p>
    <w:p w14:paraId="05E54266" w14:textId="1A0BCD28" w:rsidR="00A023D2" w:rsidRPr="00A023D2" w:rsidRDefault="00A023D2" w:rsidP="000C3C1A">
      <w:pPr>
        <w:pStyle w:val="0-NORMAL"/>
      </w:pPr>
      <w:bookmarkStart w:id="2386" w:name="_Hlk90562790"/>
      <w:bookmarkEnd w:id="2385"/>
      <w:r>
        <w:t xml:space="preserve">Quigley was a wholly owned subsidiary of Pfizer that manufactured an asbestos product. The Bankruptcy Code contains a special provision adopted after the </w:t>
      </w:r>
      <w:r w:rsidRPr="00BC1F47">
        <w:rPr>
          <w:i/>
          <w:iCs/>
        </w:rPr>
        <w:t>Manville</w:t>
      </w:r>
      <w:r>
        <w:t xml:space="preserve"> case which allows as part of a plan for asbestos claims to be “channeled” to an alternative dispute resolution forum for determination and payment. 11 U.S.C. § 524(g). Quigley’s bankruptcy plan provided for the channeling of all claims for which Quigley </w:t>
      </w:r>
      <w:r w:rsidR="007D061B">
        <w:t xml:space="preserve">was liable </w:t>
      </w:r>
      <w:r>
        <w:t xml:space="preserve">to a particular forum for determination. </w:t>
      </w:r>
      <w:bookmarkEnd w:id="2386"/>
      <w:r>
        <w:t xml:space="preserve">Attorney Peter G Angelos brought a number of claims against Pfizer, claiming that it became liable for the asbestos injuries incurred by Quigley customers because Pfizer had allowed Quigley to put Pfizer’s name on the product packaging. The issue was whether the channeling injunction in Quigley’s bankruptcy, which followed the statutory language of Section 524(g), required Angelos’s clients to bring their claims against Pfizer under the Quigley channeling procedures. The Court </w:t>
      </w:r>
      <w:r w:rsidR="00E957D9">
        <w:t xml:space="preserve">of Appeals </w:t>
      </w:r>
      <w:r>
        <w:t>held that</w:t>
      </w:r>
      <w:r w:rsidR="00E957D9">
        <w:t xml:space="preserve"> the statutory channeling language incorporated by Quigley into its plan of reorganization did not apply to the claims against Pfizer which were not based on its ownership of Quigley, but were instead based on Quigley’s permitted use of Pfizer’s name on its packaging.</w:t>
      </w:r>
    </w:p>
    <w:p w14:paraId="19B12ABF" w14:textId="77777777" w:rsidR="0021560E" w:rsidRPr="007A5BBC" w:rsidRDefault="0021560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01ECEA77" w14:textId="33E1F0DD" w:rsidR="00767070" w:rsidRPr="00672AB5" w:rsidRDefault="00767070" w:rsidP="001451F1">
      <w:pPr>
        <w:pStyle w:val="Heading1"/>
        <w:spacing w:line="240" w:lineRule="auto"/>
        <w:rPr>
          <w:rFonts w:ascii="Arial" w:hAnsi="Arial"/>
          <w:szCs w:val="22"/>
        </w:rPr>
      </w:pPr>
      <w:bookmarkStart w:id="2387" w:name="_Toc417380813"/>
      <w:r>
        <w:t xml:space="preserve"> </w:t>
      </w:r>
      <w:r w:rsidR="006A3F30" w:rsidRPr="007A5BBC">
        <w:t xml:space="preserve"> </w:t>
      </w:r>
      <w:bookmarkStart w:id="2388" w:name="_Toc79699161"/>
      <w:bookmarkStart w:id="2389" w:name="_Toc79699487"/>
      <w:bookmarkStart w:id="2390" w:name="_Toc79699825"/>
      <w:bookmarkStart w:id="2391" w:name="_Toc79700145"/>
      <w:bookmarkStart w:id="2392" w:name="_Toc79700467"/>
      <w:bookmarkStart w:id="2393" w:name="_Toc87039245"/>
      <w:bookmarkStart w:id="2394" w:name="_Toc90983641"/>
      <w:r w:rsidR="006A3F30" w:rsidRPr="007A5BBC">
        <w:t>Operating the Estate</w:t>
      </w:r>
      <w:bookmarkStart w:id="2395" w:name="_Toc417378948"/>
      <w:bookmarkStart w:id="2396" w:name="_Toc417380814"/>
      <w:bookmarkStart w:id="2397" w:name="_Toc417380815"/>
      <w:bookmarkStart w:id="2398" w:name="_Toc438473192"/>
      <w:bookmarkStart w:id="2399" w:name="_Toc438473508"/>
      <w:bookmarkStart w:id="2400" w:name="_Toc438473824"/>
      <w:bookmarkStart w:id="2401" w:name="_Toc438474140"/>
      <w:bookmarkStart w:id="2402" w:name="_Toc438476601"/>
      <w:bookmarkStart w:id="2403" w:name="_Toc438661354"/>
      <w:bookmarkStart w:id="2404" w:name="_Toc438661683"/>
      <w:bookmarkStart w:id="2405" w:name="_Toc438662078"/>
      <w:bookmarkStart w:id="2406" w:name="_Toc438662410"/>
      <w:bookmarkStart w:id="2407" w:name="_Toc438662748"/>
      <w:bookmarkStart w:id="2408" w:name="_Toc438663080"/>
      <w:bookmarkStart w:id="2409" w:name="_Toc438663407"/>
      <w:bookmarkStart w:id="2410" w:name="_Toc438663734"/>
      <w:bookmarkStart w:id="2411" w:name="_Toc438664059"/>
      <w:bookmarkStart w:id="2412" w:name="_Toc438664386"/>
      <w:bookmarkStart w:id="2413" w:name="_Toc438665131"/>
      <w:bookmarkStart w:id="2414" w:name="_Toc450735075"/>
      <w:bookmarkStart w:id="2415" w:name="_Toc450735404"/>
      <w:bookmarkStart w:id="2416" w:name="_Toc450739800"/>
      <w:bookmarkStart w:id="2417" w:name="_Toc457995620"/>
      <w:bookmarkStart w:id="2418" w:name="_Toc457997449"/>
      <w:bookmarkStart w:id="2419" w:name="_Toc458006681"/>
      <w:bookmarkStart w:id="2420" w:name="_Toc458074993"/>
      <w:bookmarkStart w:id="2421" w:name="_Toc485065527"/>
      <w:bookmarkStart w:id="2422" w:name="_Toc438473193"/>
      <w:bookmarkStart w:id="2423" w:name="_Toc438473509"/>
      <w:bookmarkStart w:id="2424" w:name="_Toc438473825"/>
      <w:bookmarkStart w:id="2425" w:name="_Toc438474141"/>
      <w:bookmarkStart w:id="2426" w:name="_Toc438476602"/>
      <w:bookmarkStart w:id="2427" w:name="_Toc438661355"/>
      <w:bookmarkStart w:id="2428" w:name="_Toc438661684"/>
      <w:bookmarkStart w:id="2429" w:name="_Toc438662079"/>
      <w:bookmarkStart w:id="2430" w:name="_Toc438662411"/>
      <w:bookmarkStart w:id="2431" w:name="_Toc438662749"/>
      <w:bookmarkStart w:id="2432" w:name="_Toc438663081"/>
      <w:bookmarkStart w:id="2433" w:name="_Toc438663408"/>
      <w:bookmarkStart w:id="2434" w:name="_Toc438663735"/>
      <w:bookmarkStart w:id="2435" w:name="_Toc438664060"/>
      <w:bookmarkStart w:id="2436" w:name="_Toc438664387"/>
      <w:bookmarkStart w:id="2437" w:name="_Toc438665132"/>
      <w:bookmarkStart w:id="2438" w:name="_Toc450735076"/>
      <w:bookmarkStart w:id="2439" w:name="_Toc450735405"/>
      <w:bookmarkStart w:id="2440" w:name="_Toc450739801"/>
      <w:bookmarkStart w:id="2441" w:name="_Toc457995621"/>
      <w:bookmarkStart w:id="2442" w:name="_Toc457997450"/>
      <w:bookmarkStart w:id="2443" w:name="_Toc458006682"/>
      <w:bookmarkStart w:id="2444" w:name="_Toc458074994"/>
      <w:bookmarkStart w:id="2445" w:name="_Toc485065528"/>
      <w:bookmarkStart w:id="2446" w:name="_Toc79687377"/>
      <w:bookmarkStart w:id="2447" w:name="_Toc79687701"/>
      <w:bookmarkStart w:id="2448" w:name="_Toc79688068"/>
      <w:bookmarkStart w:id="2449" w:name="_Toc79688397"/>
      <w:bookmarkStart w:id="2450" w:name="_Toc79689333"/>
      <w:bookmarkStart w:id="2451" w:name="_Toc79693019"/>
      <w:bookmarkStart w:id="2452" w:name="_Toc79693339"/>
      <w:bookmarkStart w:id="2453" w:name="_Toc79693659"/>
      <w:bookmarkStart w:id="2454" w:name="_Toc79693976"/>
      <w:bookmarkStart w:id="2455" w:name="_Toc79694294"/>
      <w:bookmarkStart w:id="2456" w:name="_Toc79694616"/>
      <w:bookmarkStart w:id="2457" w:name="_Toc79694928"/>
      <w:bookmarkStart w:id="2458" w:name="_Toc79695244"/>
      <w:bookmarkStart w:id="2459" w:name="_Toc79695560"/>
      <w:bookmarkStart w:id="2460" w:name="_Toc79695876"/>
      <w:bookmarkStart w:id="2461" w:name="_Toc79696192"/>
      <w:bookmarkStart w:id="2462" w:name="_Toc79696508"/>
      <w:bookmarkStart w:id="2463" w:name="_Toc79696829"/>
      <w:bookmarkStart w:id="2464" w:name="_Toc79697161"/>
      <w:bookmarkStart w:id="2465" w:name="_Toc79697490"/>
      <w:bookmarkStart w:id="2466" w:name="_Toc41738081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r w:rsidR="001451F1">
        <w:br/>
      </w:r>
    </w:p>
    <w:p w14:paraId="412EF3D7" w14:textId="315CF214" w:rsidR="00E4582A" w:rsidRPr="007A5BBC" w:rsidRDefault="000D62EF" w:rsidP="001451F1">
      <w:pPr>
        <w:pStyle w:val="Heading2"/>
        <w:spacing w:line="240" w:lineRule="auto"/>
      </w:pPr>
      <w:bookmarkStart w:id="2467" w:name="_Toc79699162"/>
      <w:bookmarkStart w:id="2468" w:name="_Toc79699488"/>
      <w:bookmarkStart w:id="2469" w:name="_Toc79699826"/>
      <w:bookmarkStart w:id="2470" w:name="_Toc79700146"/>
      <w:bookmarkStart w:id="2471" w:name="_Toc79700468"/>
      <w:bookmarkStart w:id="2472" w:name="_Toc87039246"/>
      <w:bookmarkStart w:id="2473" w:name="_Toc90983642"/>
      <w:r w:rsidRPr="007A5BBC">
        <w:t xml:space="preserve">The </w:t>
      </w:r>
      <w:r w:rsidR="00967C05" w:rsidRPr="007A5BBC">
        <w:t xml:space="preserve">United States </w:t>
      </w:r>
      <w:r w:rsidRPr="007A5BBC">
        <w:t>Trustee</w:t>
      </w:r>
      <w:bookmarkEnd w:id="2466"/>
      <w:bookmarkEnd w:id="2467"/>
      <w:bookmarkEnd w:id="2468"/>
      <w:bookmarkEnd w:id="2469"/>
      <w:bookmarkEnd w:id="2470"/>
      <w:bookmarkEnd w:id="2471"/>
      <w:bookmarkEnd w:id="2472"/>
      <w:bookmarkEnd w:id="2473"/>
      <w:r w:rsidR="005F6A8B">
        <w:t xml:space="preserve"> </w:t>
      </w:r>
      <w:bookmarkStart w:id="2474" w:name="_Toc79693020"/>
      <w:bookmarkStart w:id="2475" w:name="_Toc79693340"/>
      <w:bookmarkStart w:id="2476" w:name="_Toc79693660"/>
      <w:bookmarkStart w:id="2477" w:name="_Toc79693977"/>
      <w:bookmarkStart w:id="2478" w:name="_Toc79694617"/>
      <w:bookmarkStart w:id="2479" w:name="_Toc79695245"/>
      <w:bookmarkStart w:id="2480" w:name="_Toc79697491"/>
      <w:bookmarkEnd w:id="2474"/>
      <w:bookmarkEnd w:id="2475"/>
      <w:bookmarkEnd w:id="2476"/>
      <w:bookmarkEnd w:id="2477"/>
      <w:bookmarkEnd w:id="2478"/>
      <w:bookmarkEnd w:id="2479"/>
      <w:bookmarkEnd w:id="2480"/>
      <w:r w:rsidR="001451F1">
        <w:br/>
      </w:r>
    </w:p>
    <w:p w14:paraId="79A084CF" w14:textId="643652D1" w:rsidR="00F71C11"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2481" w:name="_Toc417380817"/>
    </w:p>
    <w:p w14:paraId="131414A3" w14:textId="77777777" w:rsidR="001451F1" w:rsidRPr="007A5BBC" w:rsidRDefault="001451F1" w:rsidP="00F71C11">
      <w:pPr>
        <w:ind w:firstLine="720"/>
        <w:jc w:val="both"/>
        <w:rPr>
          <w:rFonts w:ascii="Times New Roman" w:hAnsi="Times New Roman"/>
          <w:szCs w:val="24"/>
        </w:rPr>
      </w:pPr>
    </w:p>
    <w:p w14:paraId="087F042C" w14:textId="00C2D703" w:rsidR="00C0340F" w:rsidRPr="007A5BBC" w:rsidRDefault="00C0340F" w:rsidP="001451F1">
      <w:pPr>
        <w:pStyle w:val="Heading2"/>
        <w:spacing w:line="240" w:lineRule="auto"/>
      </w:pPr>
      <w:bookmarkStart w:id="2482" w:name="_Toc79699163"/>
      <w:bookmarkStart w:id="2483" w:name="_Toc79699489"/>
      <w:bookmarkStart w:id="2484" w:name="_Toc79699827"/>
      <w:bookmarkStart w:id="2485" w:name="_Toc79700147"/>
      <w:bookmarkStart w:id="2486" w:name="_Toc79700469"/>
      <w:bookmarkStart w:id="2487" w:name="_Toc87039247"/>
      <w:bookmarkStart w:id="2488" w:name="_Toc90983643"/>
      <w:r w:rsidRPr="007A5BBC">
        <w:t xml:space="preserve">The </w:t>
      </w:r>
      <w:r w:rsidR="005F58DD" w:rsidRPr="007A5BBC">
        <w:t xml:space="preserve">Case </w:t>
      </w:r>
      <w:r w:rsidRPr="007A5BBC">
        <w:t>Trustee</w:t>
      </w:r>
      <w:bookmarkStart w:id="2489" w:name="_Toc79693021"/>
      <w:bookmarkStart w:id="2490" w:name="_Toc79693341"/>
      <w:bookmarkStart w:id="2491" w:name="_Toc79693661"/>
      <w:bookmarkStart w:id="2492" w:name="_Toc79693978"/>
      <w:bookmarkStart w:id="2493" w:name="_Toc79694618"/>
      <w:bookmarkStart w:id="2494" w:name="_Toc79695246"/>
      <w:bookmarkStart w:id="2495" w:name="_Toc79697492"/>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r w:rsidR="001451F1">
        <w:br/>
      </w:r>
    </w:p>
    <w:p w14:paraId="2A74C7E6" w14:textId="531FB563" w:rsidR="00F71C11" w:rsidRPr="007A5BBC" w:rsidRDefault="00C0340F" w:rsidP="001E2B43">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7D8835CE" w:rsidR="005F58DD" w:rsidRPr="007A5BBC" w:rsidRDefault="00C0340F" w:rsidP="00967C05">
      <w:pPr>
        <w:ind w:firstLine="720"/>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065C6">
        <w:rPr>
          <w:rFonts w:ascii="Times New Roman" w:hAnsi="Times New Roman"/>
          <w:i/>
          <w:iCs/>
          <w:szCs w:val="24"/>
        </w:rPr>
        <w:t xml:space="preserve">See </w:t>
      </w:r>
      <w:r w:rsidR="00B25FEA" w:rsidRPr="007A5BBC">
        <w:rPr>
          <w:rFonts w:ascii="Times New Roman" w:hAnsi="Times New Roman"/>
          <w:szCs w:val="24"/>
        </w:rPr>
        <w:t>11 U.S.C. § 701</w:t>
      </w:r>
      <w:r w:rsidR="005F6A8B">
        <w:rPr>
          <w:rFonts w:ascii="Times New Roman" w:hAnsi="Times New Roman"/>
          <w:szCs w:val="24"/>
        </w:rPr>
        <w:t xml:space="preserve">. </w:t>
      </w:r>
    </w:p>
    <w:p w14:paraId="0F16E927" w14:textId="1AC67D70" w:rsidR="00B25FEA" w:rsidRPr="007A5BBC" w:rsidRDefault="00B25FEA" w:rsidP="00967C05">
      <w:pPr>
        <w:ind w:firstLine="720"/>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065C6">
        <w:rPr>
          <w:rFonts w:ascii="Times New Roman" w:hAnsi="Times New Roman"/>
          <w:i/>
          <w:iCs/>
          <w:szCs w:val="24"/>
        </w:rPr>
        <w:t xml:space="preserve">See </w:t>
      </w:r>
      <w:r w:rsidR="005F58DD" w:rsidRPr="007A5BBC">
        <w:rPr>
          <w:rFonts w:ascii="Times New Roman" w:hAnsi="Times New Roman"/>
          <w:szCs w:val="24"/>
        </w:rPr>
        <w:t>11 U.S.C. § 702</w:t>
      </w:r>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3BA58C75" w:rsidR="0073628D" w:rsidRPr="007A5BBC" w:rsidRDefault="00B25FEA" w:rsidP="001E2B43">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065C6">
        <w:rPr>
          <w:rFonts w:ascii="Times New Roman" w:hAnsi="Times New Roman"/>
          <w:i/>
          <w:iCs/>
          <w:szCs w:val="24"/>
        </w:rPr>
        <w:t xml:space="preserve">See </w:t>
      </w:r>
      <w:r w:rsidR="00583922" w:rsidRPr="007A5BBC">
        <w:rPr>
          <w:rFonts w:ascii="Times New Roman" w:hAnsi="Times New Roman"/>
          <w:szCs w:val="24"/>
        </w:rPr>
        <w:t>11 U.S.C</w:t>
      </w:r>
      <w:r w:rsidR="005F6A8B">
        <w:rPr>
          <w:rFonts w:ascii="Times New Roman" w:hAnsi="Times New Roman"/>
          <w:szCs w:val="24"/>
        </w:rPr>
        <w:t xml:space="preserve">. </w:t>
      </w:r>
      <w:r w:rsidR="001F4C8A" w:rsidRPr="007A5BBC">
        <w:rPr>
          <w:rFonts w:ascii="Times New Roman" w:hAnsi="Times New Roman"/>
          <w:szCs w:val="24"/>
        </w:rPr>
        <w:t xml:space="preserve">§§ </w:t>
      </w:r>
      <w:r w:rsidR="00266C56" w:rsidRPr="007A5BBC">
        <w:rPr>
          <w:rFonts w:ascii="Times New Roman" w:hAnsi="Times New Roman"/>
          <w:szCs w:val="24"/>
        </w:rPr>
        <w:t>321, 322, 701</w:t>
      </w:r>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his </w:t>
      </w:r>
      <w:r w:rsidR="004C0622">
        <w:rPr>
          <w:rFonts w:ascii="Times New Roman" w:hAnsi="Times New Roman"/>
          <w:szCs w:val="24"/>
        </w:rPr>
        <w:t xml:space="preserve">or her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4C0622">
        <w:rPr>
          <w:rFonts w:ascii="Times New Roman" w:hAnsi="Times New Roman"/>
          <w:szCs w:val="24"/>
        </w:rPr>
        <w:t xml:space="preserve">A trustee </w:t>
      </w:r>
      <w:r w:rsidR="001F4C8A" w:rsidRPr="007A5BBC">
        <w:rPr>
          <w:rFonts w:ascii="Times New Roman" w:hAnsi="Times New Roman"/>
          <w:szCs w:val="24"/>
        </w:rPr>
        <w:t>receive</w:t>
      </w:r>
      <w:r w:rsidR="004C0622">
        <w:rPr>
          <w:rFonts w:ascii="Times New Roman" w:hAnsi="Times New Roman"/>
          <w:szCs w:val="24"/>
        </w:rPr>
        <w:t>s</w:t>
      </w:r>
      <w:r w:rsidR="001F4C8A" w:rsidRPr="007A5BBC">
        <w:rPr>
          <w:rFonts w:ascii="Times New Roman" w:hAnsi="Times New Roman"/>
          <w:szCs w:val="24"/>
        </w:rPr>
        <w:t xml:space="preser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4C0622">
        <w:rPr>
          <w:rFonts w:ascii="Times New Roman" w:hAnsi="Times New Roman"/>
          <w:szCs w:val="24"/>
        </w:rPr>
        <w:t>In addition, the t</w:t>
      </w:r>
      <w:r w:rsidR="001F4C8A" w:rsidRPr="007A5BBC">
        <w:rPr>
          <w:rFonts w:ascii="Times New Roman" w:hAnsi="Times New Roman"/>
          <w:szCs w:val="24"/>
        </w:rPr>
        <w:t>rustee is entitled to reasonable compensation for services rendered in the case limited to a percentage of the money or property distributed to creditors</w:t>
      </w:r>
      <w:r w:rsidR="005F6A8B">
        <w:rPr>
          <w:rFonts w:ascii="Times New Roman" w:hAnsi="Times New Roman"/>
          <w:szCs w:val="24"/>
        </w:rPr>
        <w:t xml:space="preserve">. </w:t>
      </w:r>
      <w:r w:rsidR="001F4C8A" w:rsidRPr="007A5BBC">
        <w:rPr>
          <w:rFonts w:ascii="Times New Roman" w:hAnsi="Times New Roman"/>
          <w:szCs w:val="24"/>
        </w:rPr>
        <w:t>11 U.S.C. § 326(a)</w:t>
      </w:r>
      <w:r w:rsidR="005F6A8B">
        <w:rPr>
          <w:rFonts w:ascii="Times New Roman" w:hAnsi="Times New Roman"/>
          <w:szCs w:val="24"/>
        </w:rPr>
        <w:t xml:space="preserve">. </w:t>
      </w:r>
      <w:r w:rsidR="004C0622">
        <w:rPr>
          <w:rFonts w:ascii="Times New Roman" w:hAnsi="Times New Roman"/>
          <w:szCs w:val="24"/>
        </w:rPr>
        <w:t>Payment must come from the estate as an administrative claim</w:t>
      </w:r>
      <w:r w:rsidR="00083725">
        <w:rPr>
          <w:rFonts w:ascii="Times New Roman" w:hAnsi="Times New Roman"/>
          <w:szCs w:val="24"/>
        </w:rPr>
        <w:t xml:space="preserve">.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 xml:space="preserve">For significant compensation requests, </w:t>
      </w:r>
      <w:r w:rsidR="004C0622">
        <w:rPr>
          <w:rFonts w:ascii="Times New Roman" w:hAnsi="Times New Roman"/>
          <w:szCs w:val="24"/>
        </w:rPr>
        <w:t>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7F905F30" w:rsidR="0073628D" w:rsidRDefault="0073628D" w:rsidP="001E2B43">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0A0B1A4" w14:textId="77777777" w:rsidR="001451F1" w:rsidRPr="007A5BBC" w:rsidRDefault="001451F1" w:rsidP="001E2B43">
      <w:pPr>
        <w:ind w:firstLine="720"/>
        <w:jc w:val="both"/>
        <w:rPr>
          <w:rFonts w:ascii="Times New Roman" w:hAnsi="Times New Roman"/>
          <w:szCs w:val="24"/>
        </w:rPr>
      </w:pPr>
    </w:p>
    <w:p w14:paraId="68D8C9B1" w14:textId="6927646D" w:rsidR="0073628D" w:rsidRPr="007A5BBC" w:rsidRDefault="0073628D" w:rsidP="001451F1">
      <w:pPr>
        <w:pStyle w:val="Heading2"/>
        <w:spacing w:line="240" w:lineRule="auto"/>
      </w:pPr>
      <w:bookmarkStart w:id="2496" w:name="_Toc417380818"/>
      <w:bookmarkStart w:id="2497" w:name="_Toc79699164"/>
      <w:bookmarkStart w:id="2498" w:name="_Toc79699490"/>
      <w:bookmarkStart w:id="2499" w:name="_Toc79699828"/>
      <w:bookmarkStart w:id="2500" w:name="_Toc79700148"/>
      <w:bookmarkStart w:id="2501" w:name="_Toc79700470"/>
      <w:bookmarkStart w:id="2502" w:name="_Toc87039248"/>
      <w:bookmarkStart w:id="2503" w:name="_Toc90983644"/>
      <w:r w:rsidRPr="007A5BBC">
        <w:t>The Section 341 Meeting</w:t>
      </w:r>
      <w:bookmarkStart w:id="2504" w:name="_Toc79693022"/>
      <w:bookmarkStart w:id="2505" w:name="_Toc79693342"/>
      <w:bookmarkStart w:id="2506" w:name="_Toc79693662"/>
      <w:bookmarkStart w:id="2507" w:name="_Toc79693979"/>
      <w:bookmarkStart w:id="2508" w:name="_Toc79694619"/>
      <w:bookmarkStart w:id="2509" w:name="_Toc79695247"/>
      <w:bookmarkStart w:id="2510" w:name="_Toc79697493"/>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001451F1">
        <w:br/>
      </w:r>
    </w:p>
    <w:p w14:paraId="0A495D4A" w14:textId="7D7FCC6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11 U.S.C. § 341)</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C0322E" w:rsidRDefault="00D27FC2" w:rsidP="007F3399">
      <w:pPr>
        <w:pStyle w:val="ListParagraph"/>
        <w:numPr>
          <w:ilvl w:val="0"/>
          <w:numId w:val="4"/>
        </w:numPr>
      </w:pPr>
      <w:r w:rsidRPr="00C0322E">
        <w:t>Debtor sworn in.</w:t>
      </w:r>
    </w:p>
    <w:p w14:paraId="28A93319" w14:textId="46FCA105" w:rsidR="00D27FC2" w:rsidRPr="00C0322E" w:rsidRDefault="00D27FC2" w:rsidP="007F3399">
      <w:pPr>
        <w:pStyle w:val="ListParagraph"/>
        <w:numPr>
          <w:ilvl w:val="0"/>
          <w:numId w:val="4"/>
        </w:numPr>
      </w:pPr>
      <w:r w:rsidRPr="00C0322E">
        <w:t>Debtor provides driver’s license and social security card to the trustee</w:t>
      </w:r>
      <w:r w:rsidR="005F6A8B" w:rsidRPr="00C0322E">
        <w:t xml:space="preserve">. </w:t>
      </w:r>
      <w:r w:rsidRPr="00C0322E">
        <w:t>Trustee verifies the numbers.</w:t>
      </w:r>
    </w:p>
    <w:p w14:paraId="4684A93E" w14:textId="1B41BB86" w:rsidR="00D27FC2" w:rsidRPr="00C0322E" w:rsidRDefault="00D27FC2" w:rsidP="007F3399">
      <w:pPr>
        <w:pStyle w:val="ListParagraph"/>
        <w:numPr>
          <w:ilvl w:val="0"/>
          <w:numId w:val="4"/>
        </w:numPr>
      </w:pPr>
      <w:r w:rsidRPr="00C0322E">
        <w:t xml:space="preserve">Trustee </w:t>
      </w:r>
      <w:r w:rsidR="00B84D07" w:rsidRPr="00C0322E">
        <w:t xml:space="preserve">gives </w:t>
      </w:r>
      <w:r w:rsidRPr="00C0322E">
        <w:t xml:space="preserve">tax returns </w:t>
      </w:r>
      <w:r w:rsidR="00B84D07" w:rsidRPr="00C0322E">
        <w:t xml:space="preserve">back </w:t>
      </w:r>
      <w:r w:rsidRPr="00C0322E">
        <w:t>to the debtor and asks whether the return</w:t>
      </w:r>
      <w:r w:rsidR="00B84D07" w:rsidRPr="00C0322E">
        <w:t>s correctly reflect what was filed with the tax authorities.</w:t>
      </w:r>
    </w:p>
    <w:p w14:paraId="075A7DD6" w14:textId="50ED293F" w:rsidR="00D27FC2" w:rsidRPr="00C0322E" w:rsidRDefault="00D27FC2" w:rsidP="007F3399">
      <w:pPr>
        <w:pStyle w:val="ListParagraph"/>
        <w:numPr>
          <w:ilvl w:val="0"/>
          <w:numId w:val="4"/>
        </w:numPr>
      </w:pPr>
      <w:r w:rsidRPr="00C0322E">
        <w:t>Debtor is shown signature page from petition and is asked to verify signature</w:t>
      </w:r>
      <w:r w:rsidR="005F6A8B" w:rsidRPr="00C0322E">
        <w:t xml:space="preserve">. </w:t>
      </w:r>
      <w:r w:rsidRPr="00C0322E">
        <w:t xml:space="preserve">Debtor is asked if </w:t>
      </w:r>
      <w:r w:rsidR="005F58DD" w:rsidRPr="00C0322E">
        <w:t xml:space="preserve">he or </w:t>
      </w:r>
      <w:r w:rsidRPr="00C0322E">
        <w:t>she read and reviewed the petition</w:t>
      </w:r>
      <w:r w:rsidR="00B84D07" w:rsidRPr="00C0322E">
        <w:t xml:space="preserve"> before signing it</w:t>
      </w:r>
      <w:r w:rsidRPr="00C0322E">
        <w:t>,</w:t>
      </w:r>
      <w:r w:rsidR="00B84D07" w:rsidRPr="00C0322E">
        <w:t xml:space="preserve"> and if it is true and complete, or if the debtor is aware of any inaccuracies or changes.</w:t>
      </w:r>
    </w:p>
    <w:p w14:paraId="22928A7D" w14:textId="545F7AD7" w:rsidR="00D27FC2" w:rsidRPr="00C0322E" w:rsidRDefault="00D27FC2" w:rsidP="007F3399">
      <w:pPr>
        <w:pStyle w:val="ListParagraph"/>
        <w:numPr>
          <w:ilvl w:val="0"/>
          <w:numId w:val="4"/>
        </w:numPr>
      </w:pPr>
      <w:r w:rsidRPr="00C0322E">
        <w:t xml:space="preserve">Debtor is asked general questions about other possible assets: </w:t>
      </w:r>
      <w:r w:rsidR="00B84D07" w:rsidRPr="00C0322E">
        <w:t xml:space="preserve">does the debtor have </w:t>
      </w:r>
      <w:r w:rsidRPr="00C0322E">
        <w:t>any claims for personal injury or property damage</w:t>
      </w:r>
      <w:r w:rsidR="00B84D07" w:rsidRPr="00C0322E">
        <w:t xml:space="preserve"> against anyone</w:t>
      </w:r>
      <w:r w:rsidR="004C0622" w:rsidRPr="00C0322E">
        <w:t xml:space="preserve">; </w:t>
      </w:r>
      <w:r w:rsidR="00B84D07" w:rsidRPr="00C0322E">
        <w:t xml:space="preserve">did the debtor </w:t>
      </w:r>
      <w:r w:rsidR="005F58DD" w:rsidRPr="00C0322E">
        <w:t xml:space="preserve">own </w:t>
      </w:r>
      <w:r w:rsidRPr="00C0322E">
        <w:t>any real property in the past several years</w:t>
      </w:r>
      <w:r w:rsidR="004C0622" w:rsidRPr="00C0322E">
        <w:t xml:space="preserve"> (and if so, what happened to the property); </w:t>
      </w:r>
      <w:r w:rsidRPr="00C0322E">
        <w:t xml:space="preserve">what is </w:t>
      </w:r>
      <w:r w:rsidR="00B84D07" w:rsidRPr="00C0322E">
        <w:t xml:space="preserve">the debtor’s </w:t>
      </w:r>
      <w:r w:rsidR="004C0622" w:rsidRPr="00C0322E">
        <w:t xml:space="preserve">employment status; </w:t>
      </w:r>
      <w:r w:rsidRPr="00C0322E">
        <w:t xml:space="preserve">does the debtor expect any </w:t>
      </w:r>
      <w:r w:rsidR="004C0622" w:rsidRPr="00C0322E">
        <w:t xml:space="preserve">tax refunds; </w:t>
      </w:r>
      <w:r w:rsidR="00B84D07" w:rsidRPr="00C0322E">
        <w:t>what is the status of the debtor’s secured loans</w:t>
      </w:r>
      <w:r w:rsidR="004C0622" w:rsidRPr="00C0322E">
        <w:t xml:space="preserve">; </w:t>
      </w:r>
      <w:r w:rsidR="00B84D07" w:rsidRPr="00C0322E">
        <w:t xml:space="preserve">does the debtor have </w:t>
      </w:r>
      <w:r w:rsidR="005F58DD" w:rsidRPr="00C0322E">
        <w:t xml:space="preserve">liability </w:t>
      </w:r>
      <w:r w:rsidR="00B84D07" w:rsidRPr="00C0322E">
        <w:t xml:space="preserve">insurance </w:t>
      </w:r>
      <w:r w:rsidR="004C0622" w:rsidRPr="00C0322E">
        <w:t>to protect the public from the debtor’s continued operation of a vehicle</w:t>
      </w:r>
      <w:r w:rsidR="00B84D07" w:rsidRPr="00C0322E">
        <w:t>?</w:t>
      </w:r>
      <w:r w:rsidR="005E2307" w:rsidRPr="00C0322E">
        <w:t xml:space="preserve"> </w:t>
      </w:r>
    </w:p>
    <w:p w14:paraId="6DD36F35" w14:textId="1E6C87E1" w:rsidR="005E2307" w:rsidRPr="00C0322E" w:rsidRDefault="005E2307" w:rsidP="007F3399">
      <w:pPr>
        <w:pStyle w:val="ListParagraph"/>
        <w:numPr>
          <w:ilvl w:val="0"/>
          <w:numId w:val="4"/>
        </w:numPr>
      </w:pPr>
      <w:r w:rsidRPr="00C0322E">
        <w:t>Debtor is asked about valuable property listed in schedules, such as vehicles and collections.</w:t>
      </w:r>
    </w:p>
    <w:p w14:paraId="6FBCAA35" w14:textId="77777777" w:rsidR="005E2307" w:rsidRPr="00C0322E" w:rsidRDefault="005E2307" w:rsidP="007F3399">
      <w:pPr>
        <w:pStyle w:val="ListParagraph"/>
        <w:numPr>
          <w:ilvl w:val="0"/>
          <w:numId w:val="4"/>
        </w:numPr>
      </w:pPr>
      <w:r w:rsidRPr="00C0322E">
        <w:t>If information in the Debtor’s schedules raises suspicions, the trustee will inquire further.</w:t>
      </w:r>
    </w:p>
    <w:p w14:paraId="5271F5BC" w14:textId="7BC8B537" w:rsidR="00466AB4" w:rsidRDefault="005E2307" w:rsidP="00466AB4">
      <w:pPr>
        <w:jc w:val="both"/>
        <w:rPr>
          <w:rFonts w:ascii="Times New Roman" w:hAnsi="Times New Roman"/>
          <w:szCs w:val="24"/>
        </w:rPr>
      </w:pPr>
      <w:r w:rsidRPr="007A5BBC">
        <w:rPr>
          <w:rFonts w:ascii="Times New Roman" w:hAnsi="Times New Roman"/>
          <w:szCs w:val="24"/>
        </w:rPr>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2511" w:name="_Toc417380819"/>
    </w:p>
    <w:p w14:paraId="5DDCFE22" w14:textId="77777777" w:rsidR="00046D07" w:rsidRPr="007A5BBC" w:rsidRDefault="00046D07" w:rsidP="00466AB4">
      <w:pPr>
        <w:jc w:val="both"/>
        <w:rPr>
          <w:rFonts w:ascii="Times New Roman" w:hAnsi="Times New Roman"/>
          <w:szCs w:val="24"/>
        </w:rPr>
      </w:pPr>
    </w:p>
    <w:p w14:paraId="7D5CA785" w14:textId="4D2B972F" w:rsidR="005E2307" w:rsidRPr="007A5BBC" w:rsidRDefault="005E2307" w:rsidP="00046D07">
      <w:pPr>
        <w:pStyle w:val="Heading2"/>
        <w:spacing w:line="240" w:lineRule="auto"/>
      </w:pPr>
      <w:bookmarkStart w:id="2512" w:name="_Toc79699165"/>
      <w:bookmarkStart w:id="2513" w:name="_Toc79699491"/>
      <w:bookmarkStart w:id="2514" w:name="_Toc79699829"/>
      <w:bookmarkStart w:id="2515" w:name="_Toc79700149"/>
      <w:bookmarkStart w:id="2516" w:name="_Toc79700471"/>
      <w:bookmarkStart w:id="2517" w:name="_Toc87039249"/>
      <w:bookmarkStart w:id="2518" w:name="_Toc90983645"/>
      <w:r w:rsidRPr="007A5BBC">
        <w:t>No Asset Cases</w:t>
      </w:r>
      <w:bookmarkStart w:id="2519" w:name="_Toc79693023"/>
      <w:bookmarkStart w:id="2520" w:name="_Toc79693343"/>
      <w:bookmarkStart w:id="2521" w:name="_Toc79693663"/>
      <w:bookmarkStart w:id="2522" w:name="_Toc79693980"/>
      <w:bookmarkStart w:id="2523" w:name="_Toc79694620"/>
      <w:bookmarkStart w:id="2524" w:name="_Toc79695248"/>
      <w:bookmarkStart w:id="2525" w:name="_Toc79697494"/>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r w:rsidR="00046D07">
        <w:br/>
      </w:r>
    </w:p>
    <w:p w14:paraId="7BBAF248" w14:textId="1F437157" w:rsidR="00967C05" w:rsidRDefault="005E2307" w:rsidP="001E2B43">
      <w:pPr>
        <w:ind w:firstLine="720"/>
        <w:jc w:val="both"/>
        <w:rPr>
          <w:rFonts w:ascii="Times New Roman" w:hAnsi="Times New Roman"/>
          <w:szCs w:val="24"/>
        </w:rPr>
      </w:pPr>
      <w:r w:rsidRPr="007A5BBC">
        <w:rPr>
          <w:rFonts w:ascii="Times New Roman" w:hAnsi="Times New Roman"/>
          <w:szCs w:val="24"/>
        </w:rPr>
        <w:t>In many cases, the trustee will determi</w:t>
      </w:r>
      <w:r w:rsidR="00BB497A">
        <w:rPr>
          <w:rFonts w:ascii="Times New Roman" w:hAnsi="Times New Roman"/>
          <w:szCs w:val="24"/>
        </w:rPr>
        <w:t xml:space="preserve">ne at the 341 hearing that all of the debtor’s assets that have any value are exempt, </w:t>
      </w:r>
      <w:r w:rsidRPr="007A5BBC">
        <w:rPr>
          <w:rFonts w:ascii="Times New Roman" w:hAnsi="Times New Roman"/>
          <w:szCs w:val="24"/>
        </w:rPr>
        <w:t xml:space="preserve">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 xml:space="preserve">the discharge will be issued automatically by the </w:t>
      </w:r>
      <w:r w:rsidR="00BB497A">
        <w:rPr>
          <w:rFonts w:ascii="Times New Roman" w:hAnsi="Times New Roman"/>
          <w:szCs w:val="24"/>
        </w:rPr>
        <w:t xml:space="preserve">bankruptcy </w:t>
      </w:r>
      <w:r w:rsidRPr="007A5BBC">
        <w:rPr>
          <w:rFonts w:ascii="Times New Roman" w:hAnsi="Times New Roman"/>
          <w:szCs w:val="24"/>
        </w:rPr>
        <w:t>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 xml:space="preserve">The </w:t>
      </w:r>
      <w:r w:rsidR="00BB497A">
        <w:rPr>
          <w:rFonts w:ascii="Times New Roman" w:hAnsi="Times New Roman"/>
          <w:szCs w:val="24"/>
        </w:rPr>
        <w:t xml:space="preserve">primary job of the debtor’s lawyer in </w:t>
      </w:r>
      <w:r w:rsidR="00466AB4" w:rsidRPr="007A5BBC">
        <w:rPr>
          <w:rFonts w:ascii="Times New Roman" w:hAnsi="Times New Roman"/>
          <w:szCs w:val="24"/>
        </w:rPr>
        <w:t xml:space="preserve">consumer Chapter 7 cases is </w:t>
      </w:r>
      <w:r w:rsidR="00BB497A">
        <w:rPr>
          <w:rFonts w:ascii="Times New Roman" w:hAnsi="Times New Roman"/>
          <w:szCs w:val="24"/>
        </w:rPr>
        <w:t xml:space="preserve">to </w:t>
      </w:r>
      <w:r w:rsidR="00466AB4" w:rsidRPr="007A5BBC">
        <w:rPr>
          <w:rFonts w:ascii="Times New Roman" w:hAnsi="Times New Roman"/>
          <w:szCs w:val="24"/>
        </w:rPr>
        <w:t xml:space="preserve">properly </w:t>
      </w:r>
      <w:r w:rsidR="00BB497A">
        <w:rPr>
          <w:rFonts w:ascii="Times New Roman" w:hAnsi="Times New Roman"/>
          <w:szCs w:val="24"/>
        </w:rPr>
        <w:t xml:space="preserve">complete </w:t>
      </w:r>
      <w:r w:rsidR="00466AB4" w:rsidRPr="007A5BBC">
        <w:rPr>
          <w:rFonts w:ascii="Times New Roman" w:hAnsi="Times New Roman"/>
          <w:szCs w:val="24"/>
        </w:rPr>
        <w:t>the petition and schedules.</w:t>
      </w:r>
    </w:p>
    <w:p w14:paraId="795FD504" w14:textId="77777777" w:rsidR="00046D07" w:rsidRPr="007A5BBC" w:rsidRDefault="00046D07" w:rsidP="001E2B43">
      <w:pPr>
        <w:ind w:firstLine="720"/>
        <w:jc w:val="both"/>
        <w:rPr>
          <w:rFonts w:ascii="Times New Roman" w:hAnsi="Times New Roman"/>
          <w:szCs w:val="24"/>
        </w:rPr>
      </w:pPr>
    </w:p>
    <w:p w14:paraId="1D87DC1F" w14:textId="3A71AAFB" w:rsidR="00967C05" w:rsidRPr="007A5BBC" w:rsidRDefault="005E2307" w:rsidP="00046D07">
      <w:pPr>
        <w:pStyle w:val="Heading2"/>
        <w:spacing w:line="240" w:lineRule="auto"/>
      </w:pPr>
      <w:bookmarkStart w:id="2526" w:name="_Toc417380820"/>
      <w:bookmarkStart w:id="2527" w:name="_Toc79699166"/>
      <w:bookmarkStart w:id="2528" w:name="_Toc79699492"/>
      <w:bookmarkStart w:id="2529" w:name="_Toc79699830"/>
      <w:bookmarkStart w:id="2530" w:name="_Toc79700150"/>
      <w:bookmarkStart w:id="2531" w:name="_Toc79700472"/>
      <w:bookmarkStart w:id="2532" w:name="_Toc87039250"/>
      <w:bookmarkStart w:id="2533" w:name="_Toc90983646"/>
      <w:r w:rsidRPr="007A5BBC">
        <w:t>Use, Sale and Lease of Property</w:t>
      </w:r>
      <w:bookmarkStart w:id="2534" w:name="_Toc79693024"/>
      <w:bookmarkStart w:id="2535" w:name="_Toc79693344"/>
      <w:bookmarkStart w:id="2536" w:name="_Toc79693664"/>
      <w:bookmarkStart w:id="2537" w:name="_Toc79693981"/>
      <w:bookmarkStart w:id="2538" w:name="_Toc79694621"/>
      <w:bookmarkStart w:id="2539" w:name="_Toc79695249"/>
      <w:bookmarkStart w:id="2540" w:name="_Toc7969749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r w:rsidR="00046D07">
        <w:br/>
      </w:r>
    </w:p>
    <w:p w14:paraId="41AFC153" w14:textId="17FA3EAF"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r w:rsidR="005A3AC6" w:rsidRPr="007A5BBC">
        <w:rPr>
          <w:rFonts w:ascii="Times New Roman" w:hAnsi="Times New Roman"/>
          <w:szCs w:val="24"/>
        </w:rPr>
        <w:t xml:space="preserve">11 U.S.C. § 363(c)(1).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A15F955"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7559BB">
        <w:rPr>
          <w:rFonts w:ascii="Times New Roman" w:hAnsi="Times New Roman"/>
          <w:szCs w:val="24"/>
        </w:rPr>
        <w:t>is</w:t>
      </w:r>
      <w:r w:rsidR="002E3181" w:rsidRPr="007A5BBC">
        <w:rPr>
          <w:rFonts w:ascii="Times New Roman" w:hAnsi="Times New Roman"/>
          <w:szCs w:val="24"/>
        </w:rPr>
        <w:t xml:space="preserv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7A5F781E"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 xml:space="preserve">First, under Section 365(b)(1),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w:t>
      </w:r>
      <w:r w:rsidR="00083725" w:rsidRPr="007A5BBC">
        <w:rPr>
          <w:rFonts w:ascii="Times New Roman" w:hAnsi="Times New Roman"/>
          <w:szCs w:val="24"/>
        </w:rPr>
        <w:t xml:space="preserve">? </w:t>
      </w:r>
      <w:r w:rsidRPr="007A5BBC">
        <w:rPr>
          <w:rFonts w:ascii="Times New Roman" w:hAnsi="Times New Roman"/>
          <w:szCs w:val="24"/>
        </w:rPr>
        <w:t>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00BB497A">
        <w:rPr>
          <w:rFonts w:ascii="Times New Roman" w:hAnsi="Times New Roman"/>
          <w:szCs w:val="24"/>
        </w:rPr>
        <w:t xml:space="preserve">, then it will </w:t>
      </w:r>
      <w:r w:rsidRPr="007A5BBC">
        <w:rPr>
          <w:rFonts w:ascii="Times New Roman" w:hAnsi="Times New Roman"/>
          <w:szCs w:val="24"/>
        </w:rPr>
        <w:t xml:space="preserve">generally </w:t>
      </w:r>
      <w:r w:rsidR="00BB497A">
        <w:rPr>
          <w:rFonts w:ascii="Times New Roman" w:hAnsi="Times New Roman"/>
          <w:szCs w:val="24"/>
        </w:rPr>
        <w:t xml:space="preserve">be </w:t>
      </w:r>
      <w:r w:rsidRPr="007A5BBC">
        <w:rPr>
          <w:rFonts w:ascii="Times New Roman" w:hAnsi="Times New Roman"/>
          <w:szCs w:val="24"/>
        </w:rPr>
        <w:t>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debtor, </w:t>
      </w:r>
      <w:r w:rsidRPr="007A5BBC">
        <w:rPr>
          <w:rFonts w:ascii="Times New Roman" w:hAnsi="Times New Roman"/>
          <w:szCs w:val="24"/>
        </w:rPr>
        <w:t xml:space="preserve">the sale of food to ordinary customers at regular prices </w:t>
      </w:r>
      <w:r w:rsidR="00BB497A">
        <w:rPr>
          <w:rFonts w:ascii="Times New Roman" w:hAnsi="Times New Roman"/>
          <w:szCs w:val="24"/>
        </w:rPr>
        <w:t xml:space="preserve">would be </w:t>
      </w:r>
      <w:r w:rsidRPr="007A5BBC">
        <w:rPr>
          <w:rFonts w:ascii="Times New Roman" w:hAnsi="Times New Roman"/>
          <w:szCs w:val="24"/>
        </w:rPr>
        <w:t>in the 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7B0B8726"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r w:rsidRPr="007A5BBC">
        <w:rPr>
          <w:rFonts w:ascii="Times New Roman" w:hAnsi="Times New Roman"/>
          <w:szCs w:val="24"/>
        </w:rPr>
        <w:t>11 U.S.C. § 363</w:t>
      </w:r>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r w:rsidR="004D7CF1" w:rsidRPr="007A5BBC">
        <w:rPr>
          <w:rFonts w:ascii="Times New Roman" w:hAnsi="Times New Roman"/>
          <w:szCs w:val="24"/>
        </w:rPr>
        <w:t>11 U.S.C. § 363(a)(1)</w:t>
      </w:r>
      <w:r w:rsidR="005F6A8B">
        <w:rPr>
          <w:rFonts w:ascii="Times New Roman" w:hAnsi="Times New Roman"/>
          <w:szCs w:val="24"/>
        </w:rPr>
        <w:t xml:space="preserve">. </w:t>
      </w:r>
      <w:r w:rsidR="004D5FA5" w:rsidRPr="007A5BBC">
        <w:rPr>
          <w:rFonts w:ascii="Times New Roman" w:hAnsi="Times New Roman"/>
          <w:szCs w:val="24"/>
        </w:rPr>
        <w:t>Most commonly, cash received as proceeds from the sale of a secured creditor’s collateral will be “cash collateral.”  On the other hand, the Trustee is allowed to use “free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w:t>
      </w:r>
      <w:r w:rsidR="007559BB">
        <w:rPr>
          <w:rFonts w:ascii="Times New Roman" w:hAnsi="Times New Roman"/>
          <w:szCs w:val="24"/>
        </w:rPr>
        <w:t>are</w:t>
      </w:r>
      <w:r w:rsidR="001A5703" w:rsidRPr="007A5BBC">
        <w:rPr>
          <w:rFonts w:ascii="Times New Roman" w:hAnsi="Times New Roman"/>
          <w:szCs w:val="24"/>
        </w:rPr>
        <w:t xml:space="preserve"> required when doing business with a trustee for cash</w:t>
      </w:r>
      <w:r w:rsidR="005F6A8B">
        <w:rPr>
          <w:rFonts w:ascii="Times New Roman" w:hAnsi="Times New Roman"/>
          <w:szCs w:val="24"/>
        </w:rPr>
        <w:t xml:space="preserve">. </w:t>
      </w:r>
    </w:p>
    <w:p w14:paraId="2F05D1AA" w14:textId="07C24C7E"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2541" w:name="OLE_LINK20"/>
      <w:bookmarkStart w:id="2542"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2541"/>
      <w:bookmarkEnd w:id="2542"/>
      <w:r w:rsidR="000C23F4" w:rsidRPr="007A5BBC">
        <w:rPr>
          <w:rFonts w:ascii="Times New Roman" w:hAnsi="Times New Roman"/>
          <w:szCs w:val="24"/>
        </w:rPr>
        <w:t xml:space="preserve">”  11 U.S.C. </w:t>
      </w:r>
      <w:r w:rsidR="00E81AB6" w:rsidRPr="007A5BBC">
        <w:rPr>
          <w:rFonts w:ascii="Times New Roman" w:hAnsi="Times New Roman"/>
          <w:szCs w:val="24"/>
        </w:rPr>
        <w:t>363(e)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3B2FDE">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4EB470A9" w:rsidR="00E81AB6"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r w:rsidR="000C23F4" w:rsidRPr="007A5BBC">
        <w:rPr>
          <w:rFonts w:ascii="Times New Roman" w:hAnsi="Times New Roman"/>
          <w:szCs w:val="24"/>
        </w:rPr>
        <w:t>11 U.S.C. § 549(a)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7B52E89F" w14:textId="77777777" w:rsidR="00046D07" w:rsidRPr="007A5BBC" w:rsidRDefault="00046D07" w:rsidP="00F85E83">
      <w:pPr>
        <w:ind w:firstLine="720"/>
        <w:jc w:val="both"/>
        <w:rPr>
          <w:rFonts w:ascii="Times New Roman" w:hAnsi="Times New Roman"/>
          <w:szCs w:val="24"/>
        </w:rPr>
      </w:pPr>
    </w:p>
    <w:p w14:paraId="33A9B436" w14:textId="1B76D033" w:rsidR="002E3181" w:rsidRPr="007A5BBC" w:rsidRDefault="00F23DB6" w:rsidP="00046D07">
      <w:pPr>
        <w:pStyle w:val="Heading2"/>
        <w:spacing w:line="240" w:lineRule="auto"/>
      </w:pPr>
      <w:bookmarkStart w:id="2543" w:name="_Toc417380821"/>
      <w:bookmarkStart w:id="2544" w:name="_Toc79699167"/>
      <w:bookmarkStart w:id="2545" w:name="_Toc79699493"/>
      <w:bookmarkStart w:id="2546" w:name="_Toc79699831"/>
      <w:bookmarkStart w:id="2547" w:name="_Toc79700151"/>
      <w:bookmarkStart w:id="2548" w:name="_Toc79700473"/>
      <w:bookmarkStart w:id="2549" w:name="_Toc87039251"/>
      <w:bookmarkStart w:id="2550" w:name="_Toc90983647"/>
      <w:r w:rsidRPr="007A5BBC">
        <w:t>P</w:t>
      </w:r>
      <w:r w:rsidR="00767070">
        <w:t>ractice Problems</w:t>
      </w:r>
      <w:r w:rsidRPr="007A5BBC">
        <w:t>: Sale of Property</w:t>
      </w:r>
      <w:bookmarkStart w:id="2551" w:name="_Toc79693025"/>
      <w:bookmarkStart w:id="2552" w:name="_Toc79693345"/>
      <w:bookmarkStart w:id="2553" w:name="_Toc79693665"/>
      <w:bookmarkStart w:id="2554" w:name="_Toc79693982"/>
      <w:bookmarkStart w:id="2555" w:name="_Toc79694622"/>
      <w:bookmarkStart w:id="2556" w:name="_Toc79695250"/>
      <w:bookmarkStart w:id="2557" w:name="_Toc79697496"/>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sidR="00046D07">
        <w:br/>
      </w:r>
    </w:p>
    <w:p w14:paraId="0E1F824F" w14:textId="04CFD699" w:rsidR="00F23DB6" w:rsidRPr="00680A90" w:rsidRDefault="00680A90" w:rsidP="00445B32">
      <w:pPr>
        <w:pStyle w:val="0-NORMAL"/>
      </w:pPr>
      <w:bookmarkStart w:id="2558" w:name="OLE_LINK22"/>
      <w:r w:rsidRPr="00445B32">
        <w:rPr>
          <w:b/>
        </w:rPr>
        <w:t>Problem 1</w:t>
      </w:r>
      <w:r w:rsidR="007559BB">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F23DB6" w:rsidRPr="00680A90">
        <w:t xml:space="preserve">The trustee would only be able to obtain about $10,000 for the Debtor’s interest 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Can the 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fees are $8,000, how much would the husband </w:t>
      </w:r>
      <w:r w:rsidR="00A721C3" w:rsidRPr="00680A90">
        <w:t xml:space="preserve">and the bankruptcy estate </w:t>
      </w:r>
      <w:r w:rsidR="00241F88">
        <w:t xml:space="preserve">get? </w:t>
      </w:r>
      <w:r w:rsidR="00F23DB6" w:rsidRPr="007065C6">
        <w:rPr>
          <w:i/>
          <w:iCs/>
        </w:rPr>
        <w:t xml:space="preserve">See </w:t>
      </w:r>
      <w:r w:rsidR="00F23DB6" w:rsidRPr="00680A90">
        <w:t>11 U.S.C. §§ 363(g)-(j).</w:t>
      </w:r>
    </w:p>
    <w:p w14:paraId="6A559882" w14:textId="3F58FEE9" w:rsidR="00F23DB6" w:rsidRPr="00680A90" w:rsidRDefault="00680A90" w:rsidP="00445B32">
      <w:pPr>
        <w:pStyle w:val="0-NORMAL"/>
      </w:pPr>
      <w:bookmarkStart w:id="2559" w:name="OLE_LINK23"/>
      <w:bookmarkStart w:id="2560" w:name="OLE_LINK24"/>
      <w:bookmarkEnd w:id="2558"/>
      <w:r w:rsidRPr="00445B32">
        <w:rPr>
          <w:b/>
        </w:rPr>
        <w:t>Problem 2</w:t>
      </w:r>
      <w:r w:rsidR="007559BB">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At the husband’s request, the Bank will not consent to a sale of the property</w:t>
      </w:r>
      <w:r w:rsidR="005F6A8B">
        <w:t xml:space="preserve">. </w:t>
      </w:r>
      <w:r w:rsidR="00384769" w:rsidRPr="00680A90">
        <w:t>Can the house be sold free of Bank of Armenia’s $200,000 mortgage without its consent? 11 U.S.C</w:t>
      </w:r>
      <w:r w:rsidR="005F6A8B">
        <w:t xml:space="preserve">. </w:t>
      </w:r>
      <w:r w:rsidR="004F56AB" w:rsidRPr="00680A90">
        <w:t xml:space="preserve">§ </w:t>
      </w:r>
      <w:r w:rsidR="00384769" w:rsidRPr="00680A90">
        <w:t>363(f).</w:t>
      </w:r>
    </w:p>
    <w:p w14:paraId="6CAECD3B" w14:textId="2262CBBA" w:rsidR="00384769" w:rsidRPr="00680A90" w:rsidRDefault="00680A90" w:rsidP="00445B32">
      <w:pPr>
        <w:pStyle w:val="0-NORMAL"/>
      </w:pPr>
      <w:bookmarkStart w:id="2561" w:name="OLE_LINK25"/>
      <w:bookmarkStart w:id="2562" w:name="OLE_LINK26"/>
      <w:bookmarkEnd w:id="2559"/>
      <w:bookmarkEnd w:id="2560"/>
      <w:r w:rsidRPr="00445B32">
        <w:rPr>
          <w:b/>
        </w:rPr>
        <w:t>Problem 3</w:t>
      </w:r>
      <w:r w:rsidR="007559BB">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Is the property no longer property of the estate that can be sold by the trustee</w:t>
      </w:r>
      <w:r w:rsidR="00083725" w:rsidRPr="00680A90">
        <w:t xml:space="preserve">? </w:t>
      </w:r>
      <w:r w:rsidR="00384769" w:rsidRPr="007065C6">
        <w:rPr>
          <w:i/>
          <w:iCs/>
        </w:rPr>
        <w:t xml:space="preserve">See </w:t>
      </w:r>
      <w:r w:rsidR="00384769" w:rsidRPr="00680A90">
        <w:t xml:space="preserve">11 U.S.C. </w:t>
      </w:r>
      <w:r w:rsidR="004F56AB" w:rsidRPr="00680A90">
        <w:t>§</w:t>
      </w:r>
      <w:r w:rsidR="00384769" w:rsidRPr="00680A90">
        <w:t>§ 363(l); 541(C)(1).</w:t>
      </w:r>
    </w:p>
    <w:p w14:paraId="69D6BCFB" w14:textId="67A61323" w:rsidR="00F23DB6" w:rsidRPr="007A5BBC" w:rsidRDefault="00680A90" w:rsidP="00445B32">
      <w:pPr>
        <w:pStyle w:val="0-NORMAL"/>
      </w:pPr>
      <w:bookmarkStart w:id="2563" w:name="OLE_LINK27"/>
      <w:bookmarkStart w:id="2564" w:name="OLE_LINK28"/>
      <w:bookmarkEnd w:id="2561"/>
      <w:bookmarkEnd w:id="2562"/>
      <w:r w:rsidRPr="00445B32">
        <w:rPr>
          <w:b/>
        </w:rPr>
        <w:t>Problem 4</w:t>
      </w:r>
      <w:r w:rsidR="007559BB">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Does the bidder have to give the house back to the husband</w:t>
      </w:r>
      <w:r w:rsidR="00083725" w:rsidRPr="007A5BBC">
        <w:t xml:space="preserve">? </w:t>
      </w:r>
      <w:r w:rsidR="00E60D6F" w:rsidRPr="007065C6">
        <w:rPr>
          <w:i/>
          <w:iCs/>
        </w:rPr>
        <w:t xml:space="preserve">See </w:t>
      </w:r>
      <w:r w:rsidR="00E60D6F" w:rsidRPr="007A5BBC">
        <w:t>11 U.S.C. § 363(m)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01A32FBD" w:rsidR="00CF013F" w:rsidRDefault="00680A90" w:rsidP="00445B32">
      <w:pPr>
        <w:pStyle w:val="0-NORMAL"/>
      </w:pPr>
      <w:r w:rsidRPr="00445B32">
        <w:rPr>
          <w:b/>
        </w:rPr>
        <w:t>Problem 5</w:t>
      </w:r>
      <w:r w:rsidR="007559BB">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065C6">
        <w:rPr>
          <w:i/>
          <w:iCs/>
        </w:rPr>
        <w:t xml:space="preserve">See </w:t>
      </w:r>
      <w:r w:rsidR="00CF013F" w:rsidRPr="007A5BBC">
        <w:t>11 U.S.C. § 1107(a)</w:t>
      </w:r>
      <w:r w:rsidR="005F6A8B">
        <w:t xml:space="preserve">. </w:t>
      </w:r>
      <w:r w:rsidR="00CF013F" w:rsidRPr="007A5BBC">
        <w:t xml:space="preserve">The Debtor needs to use the rents </w:t>
      </w:r>
      <w:r w:rsidR="005C29B1" w:rsidRPr="007A5BBC">
        <w:t xml:space="preserve">from the </w:t>
      </w:r>
      <w:r w:rsidR="00BB497A">
        <w:t xml:space="preserve">hotel </w:t>
      </w:r>
      <w:r w:rsidR="00CF013F" w:rsidRPr="007A5BBC">
        <w:t xml:space="preserve">to pay the continuing expenses of operations, and asks your client to promptly consent to the Debtor’s use of cash collateral so that payroll can be met the day after tomorrow, needed supplies </w:t>
      </w:r>
      <w:r w:rsidR="005C29B1" w:rsidRPr="007A5BBC">
        <w:t xml:space="preserve">can be purchased, </w:t>
      </w:r>
      <w:r w:rsidR="00CF013F" w:rsidRPr="007A5BBC">
        <w:t xml:space="preserve">and the </w:t>
      </w:r>
      <w:r w:rsidR="00BB497A">
        <w:t>D</w:t>
      </w:r>
      <w:r w:rsidR="00CF013F" w:rsidRPr="007A5BBC">
        <w:t>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083725" w:rsidRPr="007A5BBC">
        <w:t xml:space="preserve">? </w:t>
      </w:r>
      <w:r w:rsidR="00CF013F" w:rsidRPr="007A5BBC">
        <w:t xml:space="preserve">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27261FD8" w14:textId="7C176696" w:rsidR="00E35EC8" w:rsidRDefault="00E35EC8" w:rsidP="00046D07">
      <w:pPr>
        <w:pStyle w:val="0-NORMAL"/>
      </w:pPr>
    </w:p>
    <w:p w14:paraId="28C78493" w14:textId="522EBBEC" w:rsidR="00763567" w:rsidRDefault="00763567" w:rsidP="00046D07">
      <w:pPr>
        <w:pStyle w:val="0-NORMAL"/>
      </w:pPr>
    </w:p>
    <w:p w14:paraId="65EC40CC" w14:textId="036B7B72" w:rsidR="00763567" w:rsidRDefault="00763567" w:rsidP="00046D07">
      <w:pPr>
        <w:pStyle w:val="0-NORMAL"/>
      </w:pPr>
    </w:p>
    <w:p w14:paraId="4D6B64DC" w14:textId="77777777" w:rsidR="00763567" w:rsidRPr="007A5BBC" w:rsidRDefault="00763567" w:rsidP="00046D07">
      <w:pPr>
        <w:pStyle w:val="0-NORMAL"/>
      </w:pPr>
    </w:p>
    <w:p w14:paraId="1F8AB2B2" w14:textId="3C6AE1AC" w:rsidR="00E60D6F" w:rsidRPr="007A5BBC" w:rsidRDefault="00646EC9" w:rsidP="00046D07">
      <w:pPr>
        <w:pStyle w:val="Heading2"/>
        <w:spacing w:line="240" w:lineRule="auto"/>
      </w:pPr>
      <w:bookmarkStart w:id="2565" w:name="_Toc417380822"/>
      <w:bookmarkStart w:id="2566" w:name="_Toc79699168"/>
      <w:bookmarkStart w:id="2567" w:name="_Toc79699494"/>
      <w:bookmarkStart w:id="2568" w:name="_Toc79699832"/>
      <w:bookmarkStart w:id="2569" w:name="_Toc79700152"/>
      <w:bookmarkStart w:id="2570" w:name="_Toc79700474"/>
      <w:bookmarkStart w:id="2571" w:name="_Toc87039252"/>
      <w:bookmarkStart w:id="2572" w:name="_Toc90983648"/>
      <w:bookmarkEnd w:id="2563"/>
      <w:bookmarkEnd w:id="2564"/>
      <w:r>
        <w:t xml:space="preserve">Cases on the </w:t>
      </w:r>
      <w:r w:rsidR="00E60D6F" w:rsidRPr="007A5BBC">
        <w:t>Sale of Property</w:t>
      </w:r>
      <w:bookmarkStart w:id="2573" w:name="_Toc79693026"/>
      <w:bookmarkStart w:id="2574" w:name="_Toc79693346"/>
      <w:bookmarkStart w:id="2575" w:name="_Toc79693666"/>
      <w:bookmarkStart w:id="2576" w:name="_Toc79693983"/>
      <w:bookmarkStart w:id="2577" w:name="_Toc79694623"/>
      <w:bookmarkStart w:id="2578" w:name="_Toc79695251"/>
      <w:bookmarkStart w:id="2579" w:name="_Toc79697497"/>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r w:rsidR="00046D07">
        <w:br/>
      </w:r>
    </w:p>
    <w:p w14:paraId="1991E0D1" w14:textId="192A2DD8" w:rsidR="006E39CE" w:rsidRPr="00046D07" w:rsidRDefault="007C1024" w:rsidP="00046D07">
      <w:pPr>
        <w:pStyle w:val="Heading3"/>
        <w:rPr>
          <w:u w:val="single"/>
        </w:rPr>
      </w:pPr>
      <w:hyperlink r:id="rId145" w:history="1">
        <w:bookmarkStart w:id="2580" w:name="_Toc87039253"/>
        <w:bookmarkStart w:id="2581" w:name="_Toc90983649"/>
        <w:r w:rsidR="006E39CE" w:rsidRPr="00046D07">
          <w:rPr>
            <w:rStyle w:val="Hyperlink"/>
          </w:rPr>
          <w:t>M</w:t>
        </w:r>
        <w:r w:rsidR="00680A90" w:rsidRPr="00046D07">
          <w:rPr>
            <w:rStyle w:val="Hyperlink"/>
          </w:rPr>
          <w:t xml:space="preserve">ARATHON PETROLEUM v. COHEN, </w:t>
        </w:r>
        <w:r w:rsidR="006E39CE" w:rsidRPr="00046D07">
          <w:rPr>
            <w:rStyle w:val="Hyperlink"/>
          </w:rPr>
          <w:t>599 F.3d 1255 (11th Cir. 2010)</w:t>
        </w:r>
        <w:bookmarkEnd w:id="2580"/>
        <w:bookmarkEnd w:id="2581"/>
      </w:hyperlink>
      <w:bookmarkStart w:id="2582" w:name="_Toc79693027"/>
      <w:bookmarkStart w:id="2583" w:name="_Toc79693347"/>
      <w:bookmarkStart w:id="2584" w:name="_Toc79693667"/>
      <w:bookmarkStart w:id="2585" w:name="_Toc79693984"/>
      <w:bookmarkStart w:id="2586" w:name="_Toc79694302"/>
      <w:bookmarkStart w:id="2587" w:name="_Toc79694624"/>
      <w:bookmarkStart w:id="2588" w:name="_Toc79694936"/>
      <w:bookmarkStart w:id="2589" w:name="_Toc79695252"/>
      <w:bookmarkStart w:id="2590" w:name="_Toc79695568"/>
      <w:bookmarkStart w:id="2591" w:name="_Toc79695884"/>
      <w:bookmarkStart w:id="2592" w:name="_Toc79696200"/>
      <w:bookmarkStart w:id="2593" w:name="_Toc79696516"/>
      <w:bookmarkStart w:id="2594" w:name="_Toc79696837"/>
      <w:bookmarkStart w:id="2595" w:name="_Toc79697169"/>
      <w:bookmarkStart w:id="2596" w:name="_Toc79697498"/>
      <w:bookmarkStart w:id="2597" w:name="_Toc79699169"/>
      <w:bookmarkStart w:id="2598" w:name="_Toc79699495"/>
      <w:bookmarkStart w:id="2599" w:name="_Toc79699833"/>
      <w:bookmarkStart w:id="2600" w:name="_Toc79700153"/>
      <w:bookmarkStart w:id="2601" w:name="_Toc79700475"/>
      <w:bookmarkStart w:id="2602" w:name="_Toc79700797"/>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r w:rsidR="00046D07" w:rsidRPr="00046D07">
        <w:rPr>
          <w:rStyle w:val="Hyperlink"/>
        </w:rPr>
        <w:br/>
      </w:r>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On October 17, 2006, Debtor filed for Chapter 11 bankruptcy protection and filed an emergency motion with the bankruptcy court requesting authorization to use cash collateral to 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479D1AED"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11 U.S.C. § 1107; 11 U.S.C. § 363(c)(2); 11 U.S.C. § 363(e)</w:t>
      </w:r>
      <w:r w:rsidR="005F6A8B">
        <w:rPr>
          <w:rFonts w:ascii="Times New Roman" w:hAnsi="Times New Roman"/>
          <w:szCs w:val="24"/>
        </w:rPr>
        <w:t xml:space="preserve">. </w:t>
      </w:r>
      <w:r w:rsidRPr="007A5BBC">
        <w:rPr>
          <w:rFonts w:ascii="Times New Roman" w:hAnsi="Times New Roman"/>
          <w:szCs w:val="24"/>
        </w:rPr>
        <w:t>Section 363(c)(2)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At the same time, however, unhindered use of cash collateral, i.e., "secured `property' may result in the dissipation of the estate." Section 363(c)(2)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485AE1F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Section 549(a) of the Bankruptcy Code authorizes a trustee to recover unauthorized post-petition transfers of estate property. To avoid a transfer under Section 549(a) a trustee need only demonstrate: (1) a post-petition transfer (2) of estate property (3) which was not authorized by the Bankruptcy Code or the court</w:t>
      </w:r>
      <w:r w:rsidR="005F6A8B">
        <w:rPr>
          <w:rFonts w:ascii="Times New Roman" w:hAnsi="Times New Roman"/>
          <w:szCs w:val="24"/>
        </w:rPr>
        <w:t xml:space="preserve">. </w:t>
      </w:r>
      <w:r w:rsidRPr="007A5BBC">
        <w:rPr>
          <w:rFonts w:ascii="Times New Roman" w:hAnsi="Times New Roman"/>
          <w:szCs w:val="24"/>
        </w:rPr>
        <w:t xml:space="preserve">After the trustee makes that showing, the party asserting an established transfer's validity bears the burden of proving it valid. Fed. R. Bankr.P. 6001. Once a court finds a transfer avoidable, Section 550(a)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from a deposit account takes the funds free of a security interest in the deposit account unless the transferee acts in collusion with the debtor in violating the rights of the secured party." </w:t>
      </w:r>
    </w:p>
    <w:p w14:paraId="39E29D0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11 U.S.C. § 363(a), and pursuant to 11 U.S.C. § 363(c)(2),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transfers. Marathon does not cite a single case from any circuit to dispute this conclusion, nor are we aware of any.</w:t>
      </w:r>
    </w:p>
    <w:p w14:paraId="65C01623" w14:textId="0279BA1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Lest any confusion exist, Cohen may avoid and recover from Marathon the funds Debtor transferred to it not because CapitalSource continued to have a security interest in the funds once they were in the hands of Marathon, but because Debtor was not authorized to transfer the funds to anyone post-petition without the permission of CapitalSource or the bankruptcy court. Otherwise, a debtor could circumvent Section 363(c)(2)'s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Section 363(a) and, therefore, the transfer would not violate Section 363(c). Such an outcome would render Section 363(c)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Section 363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In addition, Marathon also argues assuming that the funds constituted cash collateral Cohen may not avoid the payments because any violation of Section 363(c)(2)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54AF339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But a "harmless" exception to a trustee's Section 549(a) avoiding powers does not exist</w:t>
      </w:r>
      <w:r w:rsidR="005F6A8B">
        <w:rPr>
          <w:rFonts w:ascii="Times New Roman" w:hAnsi="Times New Roman"/>
          <w:szCs w:val="24"/>
        </w:rPr>
        <w:t xml:space="preserve">. </w:t>
      </w:r>
      <w:r w:rsidRPr="007A5BBC">
        <w:rPr>
          <w:rFonts w:ascii="Times New Roman" w:hAnsi="Times New Roman"/>
          <w:szCs w:val="24"/>
        </w:rPr>
        <w:t>All Cohen needs to demonstrate to avoid the transfers under Section 549(a) is: (1) an unauthorized transfer occurred; (2) the property transferred was property of the estate; and (3) the transfer occurred post-petition. Section 549 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Section 363(c)(2).</w:t>
      </w:r>
    </w:p>
    <w:p w14:paraId="46C976A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Finally, Marathon argues that as a matter of policy an implicit defense exists under Section 549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1B93C28A" w14:textId="022D858C" w:rsidR="006E39CE" w:rsidRDefault="006E39CE" w:rsidP="00672AB5">
      <w:pPr>
        <w:ind w:firstLine="720"/>
        <w:jc w:val="both"/>
        <w:rPr>
          <w:rFonts w:ascii="Times New Roman" w:hAnsi="Times New Roman"/>
          <w:szCs w:val="24"/>
        </w:rPr>
      </w:pPr>
      <w:r w:rsidRPr="007A5BBC">
        <w:rPr>
          <w:rFonts w:ascii="Times New Roman" w:hAnsi="Times New Roman"/>
          <w:szCs w:val="24"/>
        </w:rPr>
        <w:t>As to Marathon's status as an "innocent vendor," Sections 549(a) and 550(a)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initial transferees of post-petition transfers of cash collateral. We will not create such exceptions in Congress's absence</w:t>
      </w:r>
      <w:r w:rsidR="00083725" w:rsidRPr="007A5BBC">
        <w:rPr>
          <w:rFonts w:ascii="Times New Roman" w:hAnsi="Times New Roman"/>
          <w:szCs w:val="24"/>
        </w:rPr>
        <w:t>.</w:t>
      </w:r>
      <w:r w:rsidR="00083725">
        <w:rPr>
          <w:rFonts w:ascii="Times New Roman" w:hAnsi="Times New Roman"/>
          <w:szCs w:val="24"/>
        </w:rPr>
        <w:t xml:space="preserve"> </w:t>
      </w:r>
      <w:r w:rsidRPr="007A5BBC">
        <w:rPr>
          <w:rFonts w:ascii="Times New Roman" w:hAnsi="Times New Roman"/>
          <w:szCs w:val="24"/>
        </w:rPr>
        <w:t>AFFIRMED.</w:t>
      </w:r>
    </w:p>
    <w:p w14:paraId="276909AD" w14:textId="77777777" w:rsidR="00046D07" w:rsidRPr="007A5BBC" w:rsidRDefault="00046D07" w:rsidP="00672AB5">
      <w:pPr>
        <w:ind w:firstLine="720"/>
        <w:jc w:val="both"/>
        <w:rPr>
          <w:rFonts w:ascii="Times New Roman" w:hAnsi="Times New Roman"/>
          <w:szCs w:val="24"/>
        </w:rPr>
      </w:pPr>
    </w:p>
    <w:p w14:paraId="5EDD3EC3" w14:textId="05E6E22A" w:rsidR="00E60D6F" w:rsidRPr="007A5BBC" w:rsidRDefault="001E2B43" w:rsidP="00046D07">
      <w:pPr>
        <w:pStyle w:val="Heading2"/>
        <w:spacing w:line="240" w:lineRule="auto"/>
      </w:pPr>
      <w:bookmarkStart w:id="2603" w:name="_Toc417380823"/>
      <w:bookmarkStart w:id="2604" w:name="_Toc79699170"/>
      <w:bookmarkStart w:id="2605" w:name="_Toc79699496"/>
      <w:bookmarkStart w:id="2606" w:name="_Toc79699834"/>
      <w:bookmarkStart w:id="2607" w:name="_Toc79700154"/>
      <w:bookmarkStart w:id="2608" w:name="_Toc79700476"/>
      <w:bookmarkStart w:id="2609" w:name="_Toc87039254"/>
      <w:bookmarkStart w:id="2610" w:name="_Toc90983650"/>
      <w:r w:rsidRPr="007A5BBC">
        <w:t>Post-Bankruptcy</w:t>
      </w:r>
      <w:r w:rsidR="0075371F" w:rsidRPr="007A5BBC">
        <w:t xml:space="preserve"> Financing</w:t>
      </w:r>
      <w:bookmarkStart w:id="2611" w:name="_Toc79693028"/>
      <w:bookmarkStart w:id="2612" w:name="_Toc79693348"/>
      <w:bookmarkStart w:id="2613" w:name="_Toc79693668"/>
      <w:bookmarkStart w:id="2614" w:name="_Toc79693985"/>
      <w:bookmarkStart w:id="2615" w:name="_Toc79694625"/>
      <w:bookmarkStart w:id="2616" w:name="_Toc79695253"/>
      <w:bookmarkStart w:id="2617" w:name="_Toc79697499"/>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r w:rsidR="00046D07">
        <w:br/>
      </w:r>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3BD625D1" w:rsidR="007039FC" w:rsidRPr="007A5BBC" w:rsidRDefault="0051311B" w:rsidP="001E2B43">
      <w:pPr>
        <w:ind w:firstLine="720"/>
        <w:jc w:val="both"/>
        <w:rPr>
          <w:rFonts w:ascii="Times New Roman" w:hAnsi="Times New Roman"/>
          <w:szCs w:val="24"/>
        </w:rPr>
      </w:pPr>
      <w:r w:rsidRPr="007A5BBC">
        <w:rPr>
          <w:rFonts w:ascii="Times New Roman" w:hAnsi="Times New Roman"/>
          <w:szCs w:val="24"/>
        </w:rPr>
        <w:t>Section 552(a)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6C51E27"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However, Section 552(b)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Therefore, under Section 552, it is imperative to determine whether new collateral is purchased 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249B5632"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The rules of Section 552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Creditors who take unreasonable positions in cash collateral negotiations are often dealt with harshly when a request to use cash collateral comes before the 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7E81FB76"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w:t>
      </w:r>
      <w:r w:rsidR="00BB497A">
        <w:rPr>
          <w:rFonts w:ascii="Times New Roman" w:hAnsi="Times New Roman"/>
          <w:szCs w:val="24"/>
        </w:rPr>
        <w:t xml:space="preserve">post-petition </w:t>
      </w:r>
      <w:r w:rsidR="0029280C">
        <w:rPr>
          <w:rFonts w:ascii="Times New Roman" w:hAnsi="Times New Roman"/>
          <w:szCs w:val="24"/>
        </w:rPr>
        <w:t xml:space="preserve">(often by selling </w:t>
      </w:r>
      <w:r w:rsidRPr="007A5BBC">
        <w:rPr>
          <w:rFonts w:ascii="Times New Roman" w:hAnsi="Times New Roman"/>
          <w:szCs w:val="24"/>
        </w:rPr>
        <w:t xml:space="preserve">goods </w:t>
      </w:r>
      <w:r w:rsidR="00BB497A">
        <w:rPr>
          <w:rFonts w:ascii="Times New Roman" w:hAnsi="Times New Roman"/>
          <w:szCs w:val="24"/>
        </w:rPr>
        <w:t xml:space="preserve">to the trustee based on the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new credit (whether in the form of a money loan or the provision of goods or services to be paid for in the future) is considered an “actual, necessary cost or expense of preserving the estate” under Section 503(b)(1)(A)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Section </w:t>
      </w:r>
      <w:r w:rsidRPr="007A5BBC">
        <w:rPr>
          <w:rFonts w:ascii="Times New Roman" w:hAnsi="Times New Roman"/>
          <w:szCs w:val="24"/>
        </w:rPr>
        <w:t>507(a)(2)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The trustee can borrow money on an administrative priority basis in the ordinary course of business with</w:t>
      </w:r>
      <w:r w:rsidR="00250C1F" w:rsidRPr="007A5BBC">
        <w:rPr>
          <w:rFonts w:ascii="Times New Roman" w:hAnsi="Times New Roman"/>
          <w:szCs w:val="24"/>
        </w:rPr>
        <w:t xml:space="preserve">out bankruptcy court approval. 11 U.S.C. § 364(a).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w:t>
      </w:r>
      <w:r w:rsidR="005F6A8B">
        <w:rPr>
          <w:rFonts w:ascii="Times New Roman" w:hAnsi="Times New Roman"/>
          <w:szCs w:val="24"/>
        </w:rPr>
        <w:t xml:space="preserve">. </w:t>
      </w:r>
      <w:r w:rsidR="00250C1F" w:rsidRPr="007A5BBC">
        <w:rPr>
          <w:rFonts w:ascii="Times New Roman" w:hAnsi="Times New Roman"/>
          <w:szCs w:val="24"/>
        </w:rPr>
        <w:t>11 U.S.C. § 364(b)</w:t>
      </w:r>
      <w:r w:rsidR="00F85E83">
        <w:rPr>
          <w:rFonts w:ascii="Times New Roman" w:hAnsi="Times New Roman"/>
          <w:szCs w:val="24"/>
        </w:rPr>
        <w:t>.</w:t>
      </w:r>
    </w:p>
    <w:p w14:paraId="16C63374" w14:textId="492B9A01"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If creditors want more than an administrative claim in return for their post-petition loan of money or extension of credit, they must obtain court approval and make the showing required by the strictures of Section 364 of the Bankruptcy Code</w:t>
      </w:r>
      <w:r w:rsidR="005F6A8B">
        <w:rPr>
          <w:rFonts w:ascii="Times New Roman" w:hAnsi="Times New Roman"/>
          <w:szCs w:val="24"/>
        </w:rPr>
        <w:t xml:space="preserve">. </w:t>
      </w:r>
      <w:r w:rsidRPr="007A5BBC">
        <w:rPr>
          <w:rFonts w:ascii="Times New Roman" w:hAnsi="Times New Roman"/>
          <w:szCs w:val="24"/>
        </w:rPr>
        <w:t>Section 364 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w:t>
      </w:r>
      <w:r w:rsidR="00BB497A">
        <w:rPr>
          <w:rFonts w:ascii="Times New Roman" w:hAnsi="Times New Roman"/>
          <w:szCs w:val="24"/>
        </w:rPr>
        <w:t xml:space="preserve"> 11 U.S.C. § </w:t>
      </w:r>
      <w:r w:rsidRPr="007A5BBC">
        <w:rPr>
          <w:rFonts w:ascii="Times New Roman" w:hAnsi="Times New Roman"/>
          <w:szCs w:val="24"/>
        </w:rPr>
        <w:t>364(c)</w:t>
      </w:r>
      <w:r w:rsidR="005F6A8B">
        <w:rPr>
          <w:rFonts w:ascii="Times New Roman" w:hAnsi="Times New Roman"/>
          <w:szCs w:val="24"/>
        </w:rPr>
        <w:t xml:space="preserve">. </w:t>
      </w:r>
    </w:p>
    <w:p w14:paraId="2F8D839C" w14:textId="62855F5C" w:rsidR="000E5B80"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on unencumbered or junior lien on encumbered property</w:t>
      </w:r>
      <w:r w:rsidR="005F6A8B">
        <w:rPr>
          <w:rFonts w:ascii="Times New Roman" w:hAnsi="Times New Roman"/>
          <w:szCs w:val="24"/>
        </w:rPr>
        <w:t xml:space="preserve">. </w:t>
      </w:r>
      <w:r w:rsidR="00146858" w:rsidRPr="007A5BBC">
        <w:rPr>
          <w:rFonts w:ascii="Times New Roman" w:hAnsi="Times New Roman"/>
          <w:szCs w:val="24"/>
        </w:rPr>
        <w:t>11 U.S.C. § 364(d)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3B2FDE">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32E9ED4" w14:textId="77777777" w:rsidR="00046D07" w:rsidRPr="007A5BBC" w:rsidRDefault="00046D07" w:rsidP="00033313">
      <w:pPr>
        <w:ind w:firstLine="720"/>
        <w:jc w:val="both"/>
        <w:rPr>
          <w:rFonts w:ascii="Times New Roman" w:hAnsi="Times New Roman"/>
          <w:szCs w:val="24"/>
        </w:rPr>
      </w:pPr>
    </w:p>
    <w:p w14:paraId="518988D0" w14:textId="43985877" w:rsidR="000E5B80" w:rsidRPr="007A5BBC" w:rsidRDefault="000E5B80" w:rsidP="00046D07">
      <w:pPr>
        <w:pStyle w:val="Heading2"/>
        <w:spacing w:line="240" w:lineRule="auto"/>
      </w:pPr>
      <w:bookmarkStart w:id="2618" w:name="_Toc417380824"/>
      <w:bookmarkStart w:id="2619" w:name="_Toc79699171"/>
      <w:bookmarkStart w:id="2620" w:name="_Toc79699497"/>
      <w:bookmarkStart w:id="2621" w:name="_Toc79699835"/>
      <w:bookmarkStart w:id="2622" w:name="_Toc79700155"/>
      <w:bookmarkStart w:id="2623" w:name="_Toc79700477"/>
      <w:bookmarkStart w:id="2624" w:name="_Toc87039255"/>
      <w:bookmarkStart w:id="2625" w:name="_Toc90983651"/>
      <w:r w:rsidRPr="007A5BBC">
        <w:t>P</w:t>
      </w:r>
      <w:r w:rsidR="00680A90">
        <w:t>ractice Problems</w:t>
      </w:r>
      <w:r w:rsidRPr="007A5BBC">
        <w:t>: Post Petition Financing</w:t>
      </w:r>
      <w:bookmarkStart w:id="2626" w:name="_Toc79693029"/>
      <w:bookmarkStart w:id="2627" w:name="_Toc79693349"/>
      <w:bookmarkStart w:id="2628" w:name="_Toc79693669"/>
      <w:bookmarkStart w:id="2629" w:name="_Toc79693986"/>
      <w:bookmarkStart w:id="2630" w:name="_Toc79694626"/>
      <w:bookmarkStart w:id="2631" w:name="_Toc79695254"/>
      <w:bookmarkStart w:id="2632" w:name="_Toc79697500"/>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r w:rsidR="00046D07">
        <w:br/>
      </w:r>
    </w:p>
    <w:p w14:paraId="56DE2399" w14:textId="29FDA149" w:rsidR="00680A90" w:rsidRDefault="00680A90" w:rsidP="00CA016D">
      <w:pPr>
        <w:pStyle w:val="0-NORMAL"/>
      </w:pPr>
      <w:r w:rsidRPr="00CA016D">
        <w:rPr>
          <w:b/>
        </w:rPr>
        <w:t>Problem 1</w:t>
      </w:r>
      <w:r w:rsidR="007559BB">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After filing a petition under Chapter 11 of the Bankruptcy Code, the debtor-in-possession (with the powers of a trustee under Section 1107(a) of the 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Who gets the money</w:t>
      </w:r>
      <w:r w:rsidR="00083725" w:rsidRPr="00680A90">
        <w:t xml:space="preserve">? </w:t>
      </w:r>
      <w:r w:rsidR="00EE5770" w:rsidRPr="007065C6">
        <w:rPr>
          <w:i/>
          <w:iCs/>
        </w:rPr>
        <w:t xml:space="preserve">See </w:t>
      </w:r>
      <w:r w:rsidR="00EE5770" w:rsidRPr="00680A90">
        <w:t>11 U.S.C. § 364(e).</w:t>
      </w:r>
    </w:p>
    <w:p w14:paraId="36C2335F" w14:textId="0ED1244C" w:rsidR="00EE5770" w:rsidRDefault="00680A90" w:rsidP="00CA016D">
      <w:pPr>
        <w:pStyle w:val="0-NORMAL"/>
      </w:pPr>
      <w:r w:rsidRPr="00CA016D">
        <w:rPr>
          <w:b/>
        </w:rPr>
        <w:t>Problem 2</w:t>
      </w:r>
      <w:r w:rsidR="007559BB">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The trustee objected, arguing that the damage caused by the fire was not an “actual, necessary cost or expense of preserving the estate” under Section 503(b)(1)(A)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Is the trustee right</w:t>
      </w:r>
      <w:r w:rsidR="00083725" w:rsidRPr="00680A90">
        <w:t xml:space="preserve">? </w:t>
      </w:r>
      <w:r w:rsidR="00033313" w:rsidRPr="00680A90">
        <w:rPr>
          <w:i/>
        </w:rPr>
        <w:t>See Reading Co. v. Brown</w:t>
      </w:r>
      <w:r w:rsidR="00033313" w:rsidRPr="00680A90">
        <w:t>, reprinted below</w:t>
      </w:r>
      <w:r w:rsidR="0029280C">
        <w:t>.</w:t>
      </w:r>
    </w:p>
    <w:p w14:paraId="086A3BB9" w14:textId="0A251F8E" w:rsidR="00046D07" w:rsidRDefault="00046D07" w:rsidP="00CA016D">
      <w:pPr>
        <w:pStyle w:val="0-NORMAL"/>
      </w:pPr>
    </w:p>
    <w:p w14:paraId="4D383C43" w14:textId="77777777" w:rsidR="00763567" w:rsidRPr="00680A90" w:rsidRDefault="00763567" w:rsidP="00CA016D">
      <w:pPr>
        <w:pStyle w:val="0-NORMAL"/>
      </w:pPr>
    </w:p>
    <w:p w14:paraId="7394F972" w14:textId="0F63DCA0" w:rsidR="00046D07" w:rsidRPr="00046D07" w:rsidRDefault="003C3060" w:rsidP="00046D07">
      <w:pPr>
        <w:pStyle w:val="Heading2"/>
        <w:spacing w:line="240" w:lineRule="auto"/>
      </w:pPr>
      <w:bookmarkStart w:id="2633" w:name="_Toc417380825"/>
      <w:bookmarkStart w:id="2634" w:name="_Toc79699172"/>
      <w:bookmarkStart w:id="2635" w:name="_Toc79699498"/>
      <w:bookmarkStart w:id="2636" w:name="_Toc79699836"/>
      <w:bookmarkStart w:id="2637" w:name="_Toc79700156"/>
      <w:bookmarkStart w:id="2638" w:name="_Toc79700478"/>
      <w:bookmarkStart w:id="2639" w:name="_Toc87039256"/>
      <w:bookmarkStart w:id="2640" w:name="_Toc90983652"/>
      <w:r w:rsidRPr="007A5BBC">
        <w:t>C</w:t>
      </w:r>
      <w:r w:rsidR="00646EC9">
        <w:t xml:space="preserve">ases on </w:t>
      </w:r>
      <w:r w:rsidRPr="007A5BBC">
        <w:t>Post Petition Financing</w:t>
      </w:r>
      <w:bookmarkEnd w:id="2633"/>
      <w:bookmarkEnd w:id="2634"/>
      <w:bookmarkEnd w:id="2635"/>
      <w:bookmarkEnd w:id="2636"/>
      <w:bookmarkEnd w:id="2637"/>
      <w:bookmarkEnd w:id="2638"/>
      <w:bookmarkEnd w:id="2639"/>
      <w:bookmarkEnd w:id="2640"/>
      <w:r w:rsidRPr="007A5BBC">
        <w:t xml:space="preserve"> </w:t>
      </w:r>
      <w:bookmarkStart w:id="2641" w:name="_Toc79693030"/>
      <w:bookmarkStart w:id="2642" w:name="_Toc79693350"/>
      <w:bookmarkStart w:id="2643" w:name="_Toc79693670"/>
      <w:bookmarkStart w:id="2644" w:name="_Toc79693987"/>
      <w:bookmarkStart w:id="2645" w:name="_Toc79694627"/>
      <w:bookmarkStart w:id="2646" w:name="_Toc79695255"/>
      <w:bookmarkStart w:id="2647" w:name="_Toc79697501"/>
      <w:bookmarkEnd w:id="2641"/>
      <w:bookmarkEnd w:id="2642"/>
      <w:bookmarkEnd w:id="2643"/>
      <w:bookmarkEnd w:id="2644"/>
      <w:bookmarkEnd w:id="2645"/>
      <w:bookmarkEnd w:id="2646"/>
      <w:bookmarkEnd w:id="2647"/>
      <w:r w:rsidR="00046D07">
        <w:br/>
      </w:r>
    </w:p>
    <w:p w14:paraId="398F836D" w14:textId="4F04C527" w:rsidR="0042650E" w:rsidRPr="00046D07" w:rsidRDefault="007C1024" w:rsidP="00046D07">
      <w:pPr>
        <w:pStyle w:val="Heading3"/>
        <w:rPr>
          <w:u w:val="single"/>
        </w:rPr>
      </w:pPr>
      <w:hyperlink r:id="rId146" w:history="1">
        <w:bookmarkStart w:id="2648" w:name="_Toc87039257"/>
        <w:bookmarkStart w:id="2649" w:name="_Toc90983653"/>
        <w:r w:rsidR="00F85E83" w:rsidRPr="00046D07">
          <w:rPr>
            <w:rStyle w:val="Hyperlink"/>
          </w:rPr>
          <w:t>I</w:t>
        </w:r>
        <w:r w:rsidR="00680A90" w:rsidRPr="00046D07">
          <w:rPr>
            <w:rStyle w:val="Hyperlink"/>
          </w:rPr>
          <w:t xml:space="preserve">N RE SAYBROOK MANUFACTURING CO., INC., </w:t>
        </w:r>
        <w:r w:rsidR="00F85E83" w:rsidRPr="00046D07">
          <w:rPr>
            <w:rStyle w:val="Hyperlink"/>
          </w:rPr>
          <w:t xml:space="preserve">963 F.2d 1490 (11th </w:t>
        </w:r>
        <w:r w:rsidR="0042650E" w:rsidRPr="00046D07">
          <w:rPr>
            <w:rStyle w:val="Hyperlink"/>
          </w:rPr>
          <w:t>Cir. 1992)</w:t>
        </w:r>
        <w:bookmarkEnd w:id="2648"/>
        <w:bookmarkEnd w:id="2649"/>
      </w:hyperlink>
      <w:bookmarkStart w:id="2650" w:name="_Toc79693031"/>
      <w:bookmarkStart w:id="2651" w:name="_Toc79693351"/>
      <w:bookmarkStart w:id="2652" w:name="_Toc79693671"/>
      <w:bookmarkStart w:id="2653" w:name="_Toc79693988"/>
      <w:bookmarkStart w:id="2654" w:name="_Toc79694306"/>
      <w:bookmarkStart w:id="2655" w:name="_Toc79694628"/>
      <w:bookmarkStart w:id="2656" w:name="_Toc79694940"/>
      <w:bookmarkStart w:id="2657" w:name="_Toc79695256"/>
      <w:bookmarkStart w:id="2658" w:name="_Toc79695572"/>
      <w:bookmarkStart w:id="2659" w:name="_Toc79695888"/>
      <w:bookmarkStart w:id="2660" w:name="_Toc79696204"/>
      <w:bookmarkStart w:id="2661" w:name="_Toc79696520"/>
      <w:bookmarkStart w:id="2662" w:name="_Toc79696841"/>
      <w:bookmarkStart w:id="2663" w:name="_Toc79697173"/>
      <w:bookmarkStart w:id="2664" w:name="_Toc79697502"/>
      <w:bookmarkStart w:id="2665" w:name="_Toc79699173"/>
      <w:bookmarkStart w:id="2666" w:name="_Toc79699499"/>
      <w:bookmarkStart w:id="2667" w:name="_Toc79699837"/>
      <w:bookmarkStart w:id="2668" w:name="_Toc79700157"/>
      <w:bookmarkStart w:id="2669" w:name="_Toc79700479"/>
      <w:bookmarkStart w:id="2670" w:name="_Toc79700801"/>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r w:rsidR="00046D07" w:rsidRPr="00046D07">
        <w:rPr>
          <w:rStyle w:val="Hyperlink"/>
        </w:rPr>
        <w:br/>
      </w:r>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D9ED68C"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pro rata distribution of the debtors' unencumbered assets along with the other unsecured creditors. Under the financing order, however, Manufacturers Hanover's pre-petition debt became fully secured by all of the debtors' assets. If the bankruptcy estate were liquidated, Manufacturers Hanover's entire debt--$34 million pre-petition and $3 million post-petition--would have to be paid in full before any funds could be distributed to the remaining unsecured creditors.</w:t>
      </w:r>
    </w:p>
    <w:p w14:paraId="64D33C4E" w14:textId="088AF5A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47" w:history="1">
        <w:r w:rsidRPr="00017BFF">
          <w:rPr>
            <w:rStyle w:val="Hyperlink"/>
            <w:rFonts w:ascii="Times New Roman" w:hAnsi="Times New Roman"/>
            <w:i/>
            <w:szCs w:val="24"/>
          </w:rPr>
          <w:t>In re Texlon Corp</w:t>
        </w:r>
        <w:r w:rsidRPr="00017BFF">
          <w:rPr>
            <w:rStyle w:val="Hyperlink"/>
            <w:rFonts w:ascii="Times New Roman" w:hAnsi="Times New Roman"/>
            <w:szCs w:val="24"/>
          </w:rPr>
          <w:t>. 596 F.2d 1092, 1094 (2d Cir.1979)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challenge only the cross-collateralization of the lenders' pre-petition debt, not the propriety of collateralizing the post-petition debt. </w:t>
      </w:r>
    </w:p>
    <w:p w14:paraId="7A157D34" w14:textId="6EF035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The Shapiros subsequently moved the district court to stay the bankruptcy court's financing order pending appeal; the court denied the motion on March 7, 1989. On May 20, 1989, the district court dismissed the Shapiros' appeal as moot under 11 U.S.C. § 364(e) because the Shapiros had failed to obtain a stay of the financing order pending appeal, rejecting the argument that cross-collateralization is contrary to the Code. The Shapiros then appealed to this court.</w:t>
      </w:r>
    </w:p>
    <w:p w14:paraId="030ACCE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lenders argue that this appeal is moot under section 364(e) of the Bankruptcy Code. That section provides that a lien or priority granted under section 364 may not be overturned unless it is stayed pending appeal. Even if this appeal were not moot, the Shapiros are not entitled to relief. Cross-collateralization is a legitimate means for debtors to obtain necessary financing and is not prohibited by the Bankruptcy Code.</w:t>
      </w:r>
    </w:p>
    <w:p w14:paraId="27B82C66"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contend that their appeal is not moot. Because cross-collateralization is not authorized under bankruptcy law, section 364(e)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We begin by addressing the lenders' claim that this appeal is moot under section 364(e) of the Bankruptcy Code. The purpose of this provision is to encourage the extension of credit to debtors in bankruptcy by eliminating the risk that any lien securing the loan will be modified on appeal.</w:t>
      </w:r>
    </w:p>
    <w:p w14:paraId="33A1E4DB" w14:textId="55FF5CE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section 364(e). This is similar to the approach adopted by the Ninth Circuit in </w:t>
      </w:r>
      <w:hyperlink r:id="rId148"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(9th Cir.1987)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78BA954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section 364(e) is only applicable if the challenged lien or priority was authorized under section 364. We cannot determine if this appeal is moot under section 364(e) until we decide the central issue in this appeal--whether cross-collateralization is authorized under section 364. Accordingly, we now turn to that question.</w:t>
      </w:r>
    </w:p>
    <w:p w14:paraId="0A862B1B" w14:textId="005260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Cross-collateralization is an extremely controversial form of Chapter 11 financing. Nevertheless, the practice has been approved by several bankruptcy courts. Even the courts that have allowed cross-collateralization, however, were generally reluctant to do so</w:t>
      </w:r>
      <w:r w:rsidR="00083725">
        <w:rPr>
          <w:rFonts w:ascii="Times New Roman" w:hAnsi="Times New Roman"/>
          <w:szCs w:val="24"/>
        </w:rPr>
        <w:t xml:space="preserve">. </w:t>
      </w:r>
      <w:r w:rsidRPr="007A5BBC">
        <w:rPr>
          <w:rFonts w:ascii="Times New Roman" w:hAnsi="Times New Roman"/>
          <w:szCs w:val="24"/>
        </w:rPr>
        <w:t xml:space="preserve">[The bankruptcy court in </w:t>
      </w:r>
      <w:hyperlink r:id="rId149"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(Bankr.E.D.N.Y.1983)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430C49C2"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 364(c)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section 364. Second, cross-collateralization is beyond the scope of the bankruptcy court's inherent equitable power because it is directly contrary to the fundamental priority scheme of the Bankruptcy Code. </w:t>
      </w:r>
    </w:p>
    <w:p w14:paraId="19D525E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Given that cross-collateralization is not authorized by section 364, we now turn to the lenders' argument that bankruptcy courts may permit the practice under their general equitable power. Bankruptcy courts are indeed courts of equity, and they have the power to adjust claims to avoid injustice or unfairness. This equitable power, however, is not unlimited. [T]he bankruptcy court has the ability to deviate from the rules of priority and distribution set forth in the Code in 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507 of the Bankruptcy Code fixes the priority order of claims and expenses against the bankruptcy estate. 11 U.S.C. § 507.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25A333E9" w:rsidR="0042650E"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authorized by section 364. Section 364(e),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010B2C18" w14:textId="77777777" w:rsidR="00AA0203" w:rsidRPr="007A5BBC" w:rsidRDefault="00AA0203" w:rsidP="001E2B43">
      <w:pPr>
        <w:ind w:firstLine="720"/>
        <w:jc w:val="both"/>
        <w:rPr>
          <w:rFonts w:ascii="Times New Roman" w:hAnsi="Times New Roman"/>
          <w:szCs w:val="24"/>
        </w:rPr>
      </w:pPr>
    </w:p>
    <w:p w14:paraId="3214BBC8" w14:textId="24A73BE9" w:rsidR="0042650E" w:rsidRPr="00AA0203" w:rsidRDefault="007C1024" w:rsidP="00D95675">
      <w:pPr>
        <w:pStyle w:val="Heading3"/>
        <w:rPr>
          <w:u w:val="single"/>
        </w:rPr>
      </w:pPr>
      <w:hyperlink r:id="rId150" w:history="1">
        <w:bookmarkStart w:id="2671" w:name="_Toc87039258"/>
        <w:bookmarkStart w:id="2672" w:name="_Toc90983654"/>
        <w:r w:rsidR="0042650E" w:rsidRPr="00AA0203">
          <w:rPr>
            <w:rStyle w:val="Hyperlink"/>
          </w:rPr>
          <w:t>R</w:t>
        </w:r>
        <w:r w:rsidR="00680A90" w:rsidRPr="00AA0203">
          <w:rPr>
            <w:rStyle w:val="Hyperlink"/>
          </w:rPr>
          <w:t xml:space="preserve">EADING v. BROWN, </w:t>
        </w:r>
        <w:r w:rsidR="0042650E" w:rsidRPr="00AA0203">
          <w:rPr>
            <w:rStyle w:val="Hyperlink"/>
          </w:rPr>
          <w:t>391 U.S. 471 (1968)</w:t>
        </w:r>
        <w:bookmarkEnd w:id="2671"/>
        <w:bookmarkEnd w:id="2672"/>
      </w:hyperlink>
      <w:bookmarkStart w:id="2673" w:name="_Toc79693032"/>
      <w:bookmarkStart w:id="2674" w:name="_Toc79693352"/>
      <w:bookmarkStart w:id="2675" w:name="_Toc79693672"/>
      <w:bookmarkStart w:id="2676" w:name="_Toc79693989"/>
      <w:bookmarkStart w:id="2677" w:name="_Toc79694307"/>
      <w:bookmarkStart w:id="2678" w:name="_Toc79694629"/>
      <w:bookmarkStart w:id="2679" w:name="_Toc79694941"/>
      <w:bookmarkStart w:id="2680" w:name="_Toc79695257"/>
      <w:bookmarkStart w:id="2681" w:name="_Toc79695573"/>
      <w:bookmarkStart w:id="2682" w:name="_Toc79695889"/>
      <w:bookmarkStart w:id="2683" w:name="_Toc79696205"/>
      <w:bookmarkStart w:id="2684" w:name="_Toc79696521"/>
      <w:bookmarkStart w:id="2685" w:name="_Toc79696842"/>
      <w:bookmarkStart w:id="2686" w:name="_Toc79697174"/>
      <w:bookmarkStart w:id="2687" w:name="_Toc79697503"/>
      <w:bookmarkStart w:id="2688" w:name="_Toc79699174"/>
      <w:bookmarkStart w:id="2689" w:name="_Toc79699500"/>
      <w:bookmarkStart w:id="2690" w:name="_Toc79699838"/>
      <w:bookmarkStart w:id="2691" w:name="_Toc79700158"/>
      <w:bookmarkStart w:id="2692" w:name="_Toc79700480"/>
      <w:bookmarkStart w:id="2693" w:name="_Toc7970080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r w:rsidR="00AA0203" w:rsidRPr="00AA0203">
        <w:rPr>
          <w:rStyle w:val="Hyperlink"/>
        </w:rPr>
        <w:br/>
      </w:r>
    </w:p>
    <w:p w14:paraId="76F13C2E" w14:textId="77777777" w:rsidR="0042650E" w:rsidRPr="007A5BBC" w:rsidRDefault="0042650E" w:rsidP="0042650E">
      <w:pPr>
        <w:ind w:firstLine="720"/>
        <w:rPr>
          <w:rFonts w:ascii="Times New Roman" w:hAnsi="Times New Roman"/>
          <w:szCs w:val="24"/>
        </w:rPr>
      </w:pPr>
      <w:r w:rsidRPr="007A5BBC">
        <w:rPr>
          <w:rFonts w:ascii="Times New Roman" w:hAnsi="Times New Roman"/>
          <w:szCs w:val="24"/>
        </w:rPr>
        <w:t>MR. JUSTICE HARLAN 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arrangement. Other fire loss claimants filed 146 additional claims of a similar nature. The total of all such claims was in excess of $3,500,000, substantially more than the total assets of the debtor.</w:t>
      </w:r>
    </w:p>
    <w:p w14:paraId="2508070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On May 14, 1963, Knight Realty was voluntarily adjudicated a bankrupt, and respondent receiver was subsequently elected trustee in bankruptcy. The claims of petitioner and others thus became claims for administration expenses in bankruptcy, which are given first priority under § 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6DF87F8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2694" w:name="OLE_LINK29"/>
      <w:bookmarkStart w:id="2695" w:name="OLE_LINK30"/>
      <w:r w:rsidRPr="007A5BBC">
        <w:rPr>
          <w:rFonts w:ascii="Times New Roman" w:hAnsi="Times New Roman"/>
          <w:szCs w:val="24"/>
        </w:rPr>
        <w:t>present petitioner did not merely suffer injury at the hands of an insolvent business: it had an insolvent business thrust upon it by operation of law. That business will, in any event, be unable to pay its fire debts in full. But the question is whether the fire claimants should be subordinated to, should share equally with, or should collect ahead of those creditors for whose benefit the continued operation of the business (which unfortunately led to a fire instead of the hoped-for rehabilitation) was allowed.</w:t>
      </w:r>
      <w:bookmarkEnd w:id="2694"/>
      <w:bookmarkEnd w:id="2695"/>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some cases arising under Chapter XI, it has been recognized that "actual and necessary costs" are not limited to those claims which the business must be able to pay in full if it is to be 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45B496DE" w:rsidR="00AA062A"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7BB7B1B1" w14:textId="77777777" w:rsidR="00E35EC8" w:rsidRPr="007A5BBC" w:rsidRDefault="00E35EC8" w:rsidP="00716DB2">
      <w:pPr>
        <w:jc w:val="both"/>
        <w:rPr>
          <w:rFonts w:ascii="Times New Roman" w:hAnsi="Times New Roman"/>
          <w:szCs w:val="24"/>
        </w:rPr>
      </w:pPr>
    </w:p>
    <w:p w14:paraId="40F2280A" w14:textId="4A0D4265" w:rsidR="008A65AF" w:rsidRPr="000E542A" w:rsidRDefault="007C1024" w:rsidP="00D95675">
      <w:pPr>
        <w:pStyle w:val="Heading3"/>
        <w:rPr>
          <w:u w:val="single"/>
        </w:rPr>
      </w:pPr>
      <w:hyperlink r:id="rId151" w:history="1">
        <w:bookmarkStart w:id="2696" w:name="_Toc87039259"/>
        <w:bookmarkStart w:id="2697" w:name="_Toc90983655"/>
        <w:r w:rsidR="008A65AF" w:rsidRPr="000E542A">
          <w:rPr>
            <w:rStyle w:val="Hyperlink"/>
          </w:rPr>
          <w:t>I</w:t>
        </w:r>
        <w:r w:rsidR="00680A90" w:rsidRPr="000E542A">
          <w:rPr>
            <w:rStyle w:val="Hyperlink"/>
          </w:rPr>
          <w:t xml:space="preserve">N RE RESOURCES TECHNOLOGY CORP., </w:t>
        </w:r>
        <w:r w:rsidR="005944BF" w:rsidRPr="000E542A">
          <w:rPr>
            <w:rStyle w:val="Hyperlink"/>
          </w:rPr>
          <w:t>662 F.3d 472, 474 (7</w:t>
        </w:r>
        <w:r w:rsidR="008A65AF" w:rsidRPr="000E542A">
          <w:rPr>
            <w:rStyle w:val="Hyperlink"/>
          </w:rPr>
          <w:t>th Cir. 2011)</w:t>
        </w:r>
        <w:bookmarkEnd w:id="2696"/>
        <w:bookmarkEnd w:id="2697"/>
      </w:hyperlink>
      <w:bookmarkStart w:id="2698" w:name="_Toc79693033"/>
      <w:bookmarkStart w:id="2699" w:name="_Toc79693353"/>
      <w:bookmarkStart w:id="2700" w:name="_Toc79693673"/>
      <w:bookmarkStart w:id="2701" w:name="_Toc79693990"/>
      <w:bookmarkStart w:id="2702" w:name="_Toc79694308"/>
      <w:bookmarkStart w:id="2703" w:name="_Toc79694630"/>
      <w:bookmarkStart w:id="2704" w:name="_Toc79694942"/>
      <w:bookmarkStart w:id="2705" w:name="_Toc79695258"/>
      <w:bookmarkStart w:id="2706" w:name="_Toc79695574"/>
      <w:bookmarkStart w:id="2707" w:name="_Toc79695890"/>
      <w:bookmarkStart w:id="2708" w:name="_Toc79696206"/>
      <w:bookmarkStart w:id="2709" w:name="_Toc79696522"/>
      <w:bookmarkStart w:id="2710" w:name="_Toc79696843"/>
      <w:bookmarkStart w:id="2711" w:name="_Toc79697175"/>
      <w:bookmarkStart w:id="2712" w:name="_Toc79697504"/>
      <w:bookmarkStart w:id="2713" w:name="_Toc79699175"/>
      <w:bookmarkStart w:id="2714" w:name="_Toc79699501"/>
      <w:bookmarkStart w:id="2715" w:name="_Toc79699839"/>
      <w:bookmarkStart w:id="2716" w:name="_Toc79700159"/>
      <w:bookmarkStart w:id="2717" w:name="_Toc79700481"/>
      <w:bookmarkStart w:id="2718" w:name="_Toc79700803"/>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r w:rsidR="000E542A" w:rsidRPr="000E542A">
        <w:rPr>
          <w:rStyle w:val="Hyperlink"/>
        </w:rPr>
        <w:br/>
      </w:r>
    </w:p>
    <w:p w14:paraId="2C351EA7" w14:textId="77777777" w:rsidR="008A65AF" w:rsidRPr="007A5BBC" w:rsidRDefault="008A65AF" w:rsidP="00680A90">
      <w:pPr>
        <w:ind w:firstLine="720"/>
        <w:rPr>
          <w:rFonts w:ascii="Times New Roman" w:hAnsi="Times New Roman"/>
          <w:szCs w:val="24"/>
        </w:rPr>
      </w:pPr>
      <w:r w:rsidRPr="007A5BBC">
        <w:rPr>
          <w:rFonts w:ascii="Times New Roman" w:hAnsi="Times New Roman"/>
          <w:szCs w:val="24"/>
        </w:rPr>
        <w:t>POSNER,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In 1999 RTC was forced into bankruptcy under Chapter 11 (reorganization). Roti bought the Holiday Inn three years later, and in 2005 it followed RTC into Chapter 11, though for 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the bankruptcy court is for the difference. (The reason it is his claim, rather than the claim of the LLC that owned the Holiday Inn, is that Roti, the sole member of the LLC, caused the company's claim to be assigned to him.) </w:t>
      </w:r>
    </w:p>
    <w:p w14:paraId="78854EF5"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11 U.S.C. §§ 503(b)(1)(A), 507(a)(2).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282F5091"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52"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2719" w:name="OLE_LINK31"/>
      <w:bookmarkStart w:id="2720"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2719"/>
      <w:bookmarkEnd w:id="2720"/>
      <w:r w:rsidRPr="007A5BBC">
        <w:rPr>
          <w:rFonts w:ascii="Times New Roman" w:hAnsi="Times New Roman"/>
          <w:szCs w:val="24"/>
        </w:rPr>
        <w:t xml:space="preserve">The policy that 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79B8EBE3" w:rsidR="008A65AF"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2721" w:name="OLE_LINK33"/>
      <w:bookmarkStart w:id="2722"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2721"/>
      <w:bookmarkEnd w:id="2722"/>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63E6371" w14:textId="77777777" w:rsidR="000E542A" w:rsidRPr="007A5BBC" w:rsidRDefault="000E542A" w:rsidP="001E2B43">
      <w:pPr>
        <w:ind w:firstLine="720"/>
        <w:jc w:val="both"/>
        <w:rPr>
          <w:rFonts w:ascii="Times New Roman" w:hAnsi="Times New Roman"/>
          <w:szCs w:val="24"/>
        </w:rPr>
      </w:pPr>
    </w:p>
    <w:p w14:paraId="424FBBD4" w14:textId="20BF2F6E" w:rsidR="008A65AF" w:rsidRPr="007A5BBC" w:rsidRDefault="00D961CB" w:rsidP="000E542A">
      <w:pPr>
        <w:pStyle w:val="Heading2"/>
        <w:spacing w:line="240" w:lineRule="auto"/>
      </w:pPr>
      <w:bookmarkStart w:id="2723" w:name="_Toc417380826"/>
      <w:bookmarkStart w:id="2724" w:name="_Toc79699176"/>
      <w:bookmarkStart w:id="2725" w:name="_Toc79699502"/>
      <w:bookmarkStart w:id="2726" w:name="_Toc79699840"/>
      <w:bookmarkStart w:id="2727" w:name="_Toc79700160"/>
      <w:bookmarkStart w:id="2728" w:name="_Toc79700482"/>
      <w:bookmarkStart w:id="2729" w:name="_Toc87039260"/>
      <w:bookmarkStart w:id="2730" w:name="_Toc90983656"/>
      <w:r w:rsidRPr="007A5BBC">
        <w:t>Executory Contracts and Unexpired Leases</w:t>
      </w:r>
      <w:r w:rsidR="00F72629" w:rsidRPr="007A5BBC">
        <w:t xml:space="preserve"> – Assumption and Rejection</w:t>
      </w:r>
      <w:bookmarkStart w:id="2731" w:name="_Toc79693034"/>
      <w:bookmarkStart w:id="2732" w:name="_Toc79693354"/>
      <w:bookmarkStart w:id="2733" w:name="_Toc79693674"/>
      <w:bookmarkStart w:id="2734" w:name="_Toc79693991"/>
      <w:bookmarkStart w:id="2735" w:name="_Toc79694631"/>
      <w:bookmarkStart w:id="2736" w:name="_Toc79695259"/>
      <w:bookmarkStart w:id="2737" w:name="_Toc79697505"/>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r w:rsidR="000E542A">
        <w:br/>
      </w:r>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7140DCFE"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has not been accepted by all courts</w:t>
      </w:r>
      <w:r w:rsidR="005F6A8B">
        <w:rPr>
          <w:rFonts w:ascii="Times New Roman" w:hAnsi="Times New Roman"/>
          <w:szCs w:val="24"/>
        </w:rPr>
        <w:t xml:space="preserve">. </w:t>
      </w:r>
      <w:bookmarkStart w:id="2738"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53"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2738"/>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0C3F8E78"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The basic concept underlying Section 365 of the Bankruptcy Code is that the trustee should be able to choose whether the estate will assume the contract (and thus be administratively liable for performance – breach will result in an administrative claim), or whether the estate should reject the contract (and thus limit the other party to a general unsecured claim for damages for breach)</w:t>
      </w:r>
      <w:r w:rsidR="005F6A8B">
        <w:rPr>
          <w:rFonts w:ascii="Times New Roman" w:hAnsi="Times New Roman"/>
          <w:szCs w:val="24"/>
        </w:rPr>
        <w:t xml:space="preserve">. </w:t>
      </w:r>
      <w:r w:rsidR="00C00AD0" w:rsidRPr="007065C6">
        <w:rPr>
          <w:rFonts w:ascii="Times New Roman" w:hAnsi="Times New Roman"/>
          <w:i/>
          <w:iCs/>
          <w:szCs w:val="24"/>
        </w:rPr>
        <w:t xml:space="preserve">See </w:t>
      </w:r>
      <w:r w:rsidR="00C00AD0" w:rsidRPr="007A5BBC">
        <w:rPr>
          <w:rFonts w:ascii="Times New Roman" w:hAnsi="Times New Roman"/>
          <w:szCs w:val="24"/>
        </w:rPr>
        <w:t>11 U.S.C. § 365(g) (rejection constitutes breach immediately before bankruptcy, resulting in prepetition claim).</w:t>
      </w:r>
    </w:p>
    <w:p w14:paraId="4315C877" w14:textId="43FAEC55" w:rsidR="00160D37" w:rsidRPr="007A5BBC" w:rsidRDefault="001E315A" w:rsidP="002E3CD9">
      <w:pPr>
        <w:ind w:firstLine="720"/>
        <w:jc w:val="both"/>
        <w:rPr>
          <w:rFonts w:ascii="Times New Roman" w:hAnsi="Times New Roman"/>
          <w:szCs w:val="24"/>
        </w:rPr>
      </w:pPr>
      <w:r w:rsidRPr="007A5BBC">
        <w:rPr>
          <w:rFonts w:ascii="Times New Roman" w:hAnsi="Times New Roman"/>
          <w:szCs w:val="24"/>
        </w:rPr>
        <w:t xml:space="preserve">Section 365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54"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74E75AED"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w:t>
      </w:r>
      <w:r w:rsidR="00CA5FA4">
        <w:rPr>
          <w:rFonts w:ascii="Times New Roman" w:hAnsi="Times New Roman"/>
          <w:szCs w:val="24"/>
        </w:rPr>
        <w:t xml:space="preserve">automatic stay requires the </w:t>
      </w:r>
      <w:r w:rsidRPr="007A5BBC">
        <w:rPr>
          <w:rFonts w:ascii="Times New Roman" w:hAnsi="Times New Roman"/>
          <w:szCs w:val="24"/>
        </w:rPr>
        <w:t xml:space="preserve">other party to the </w:t>
      </w:r>
      <w:r w:rsidR="00CA5FA4">
        <w:rPr>
          <w:rFonts w:ascii="Times New Roman" w:hAnsi="Times New Roman"/>
          <w:szCs w:val="24"/>
        </w:rPr>
        <w:t xml:space="preserve">executory </w:t>
      </w:r>
      <w:r w:rsidRPr="007A5BBC">
        <w:rPr>
          <w:rFonts w:ascii="Times New Roman" w:hAnsi="Times New Roman"/>
          <w:szCs w:val="24"/>
        </w:rPr>
        <w:t xml:space="preserve">contract </w:t>
      </w:r>
      <w:r w:rsidR="001E315A" w:rsidRPr="007A5BBC">
        <w:rPr>
          <w:rFonts w:ascii="Times New Roman" w:hAnsi="Times New Roman"/>
          <w:szCs w:val="24"/>
        </w:rPr>
        <w:t>to continue</w:t>
      </w:r>
      <w:r w:rsidR="00F23F11" w:rsidRPr="007A5BBC">
        <w:rPr>
          <w:rFonts w:ascii="Times New Roman" w:hAnsi="Times New Roman"/>
          <w:szCs w:val="24"/>
        </w:rPr>
        <w:t xml:space="preserve"> performing </w:t>
      </w:r>
      <w:r w:rsidR="00CA5FA4">
        <w:rPr>
          <w:rFonts w:ascii="Times New Roman" w:hAnsi="Times New Roman"/>
          <w:szCs w:val="24"/>
        </w:rPr>
        <w:t>while awaiting the trustee’s decision to assume or reject</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parties to fend for themselves (by asking the bankruptcy court for protection, to be granted in the bankruptcy court’s discretion)</w:t>
      </w:r>
      <w:r w:rsidR="005F6A8B">
        <w:rPr>
          <w:rFonts w:ascii="Times New Roman" w:hAnsi="Times New Roman"/>
          <w:szCs w:val="24"/>
        </w:rPr>
        <w:t xml:space="preserve">. </w:t>
      </w:r>
      <w:r w:rsidRPr="007065C6">
        <w:rPr>
          <w:rFonts w:ascii="Times New Roman" w:hAnsi="Times New Roman"/>
          <w:i/>
          <w:iCs/>
          <w:szCs w:val="24"/>
        </w:rPr>
        <w:t xml:space="preserve">See </w:t>
      </w:r>
      <w:r w:rsidR="00120C74" w:rsidRPr="007A5BBC">
        <w:rPr>
          <w:rFonts w:ascii="Times New Roman" w:hAnsi="Times New Roman"/>
          <w:szCs w:val="24"/>
        </w:rPr>
        <w:t xml:space="preserve">11 U.S.C. § </w:t>
      </w:r>
      <w:r w:rsidRPr="007A5BBC">
        <w:rPr>
          <w:rFonts w:ascii="Times New Roman" w:hAnsi="Times New Roman"/>
          <w:szCs w:val="24"/>
        </w:rPr>
        <w:t>365(d) (setting time periods for assump</w:t>
      </w:r>
      <w:r w:rsidR="00CA5FA4">
        <w:rPr>
          <w:rFonts w:ascii="Times New Roman" w:hAnsi="Times New Roman"/>
          <w:szCs w:val="24"/>
        </w:rPr>
        <w:t>tion in certain circumstances), and 365(d)(2) (</w:t>
      </w:r>
      <w:r w:rsidR="00BB497A">
        <w:rPr>
          <w:rFonts w:ascii="Times New Roman" w:hAnsi="Times New Roman"/>
          <w:szCs w:val="24"/>
        </w:rPr>
        <w:t>court “may order the trustee to determine within a specified period of time whether to assume or reject”)</w:t>
      </w:r>
      <w:r w:rsidR="00083725">
        <w:rPr>
          <w:rFonts w:ascii="Times New Roman" w:hAnsi="Times New Roman"/>
          <w:szCs w:val="24"/>
        </w:rPr>
        <w:t xml:space="preserve">. </w:t>
      </w:r>
    </w:p>
    <w:p w14:paraId="2166F09D" w14:textId="778B7ACC"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083725"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065C6">
        <w:rPr>
          <w:rFonts w:ascii="Times New Roman" w:hAnsi="Times New Roman"/>
          <w:i/>
          <w:iCs/>
          <w:szCs w:val="24"/>
        </w:rPr>
        <w:t xml:space="preserve">See </w:t>
      </w:r>
      <w:r w:rsidR="00726632" w:rsidRPr="007A5BBC">
        <w:rPr>
          <w:rFonts w:ascii="Times New Roman" w:hAnsi="Times New Roman"/>
          <w:szCs w:val="24"/>
        </w:rPr>
        <w:t>11 U.S.C. § 365(h),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55"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065C6">
        <w:rPr>
          <w:rFonts w:ascii="Times New Roman" w:hAnsi="Times New Roman"/>
          <w:i/>
          <w:iCs/>
          <w:szCs w:val="24"/>
        </w:rPr>
        <w:t xml:space="preserve">See </w:t>
      </w:r>
      <w:r w:rsidR="00726632" w:rsidRPr="007A5BBC">
        <w:rPr>
          <w:rFonts w:ascii="Times New Roman" w:hAnsi="Times New Roman"/>
          <w:szCs w:val="24"/>
        </w:rPr>
        <w:t>11 U.S.C. § 365(n)</w:t>
      </w:r>
      <w:r w:rsidR="005F6A8B">
        <w:rPr>
          <w:rFonts w:ascii="Times New Roman" w:hAnsi="Times New Roman"/>
          <w:szCs w:val="24"/>
        </w:rPr>
        <w:t xml:space="preserve">. </w:t>
      </w:r>
      <w:r w:rsidR="00726632" w:rsidRPr="007A5BBC">
        <w:rPr>
          <w:rFonts w:ascii="Times New Roman" w:hAnsi="Times New Roman"/>
          <w:szCs w:val="24"/>
        </w:rPr>
        <w:t>However, the definition of “intellectual property” in Section 101(35A)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49E64892" w:rsidR="00160D37" w:rsidRPr="007A5BBC" w:rsidRDefault="00672AB5" w:rsidP="00120C74">
      <w:pPr>
        <w:ind w:firstLine="720"/>
        <w:jc w:val="both"/>
        <w:rPr>
          <w:rFonts w:ascii="Times New Roman" w:hAnsi="Times New Roman"/>
          <w:szCs w:val="24"/>
        </w:rPr>
      </w:pPr>
      <w:r>
        <w:rPr>
          <w:rFonts w:ascii="Times New Roman" w:hAnsi="Times New Roman"/>
          <w:szCs w:val="24"/>
        </w:rPr>
        <w:t xml:space="preserve">Prior to the decision in </w:t>
      </w:r>
      <w:r w:rsidRPr="00672AB5">
        <w:rPr>
          <w:rFonts w:ascii="Times New Roman" w:hAnsi="Times New Roman"/>
          <w:i/>
          <w:iCs/>
          <w:szCs w:val="24"/>
        </w:rPr>
        <w:t>Exide Technologies</w:t>
      </w:r>
      <w:r>
        <w:rPr>
          <w:rFonts w:ascii="Times New Roman" w:hAnsi="Times New Roman"/>
          <w:szCs w:val="24"/>
        </w:rPr>
        <w:t>, reprinted below, t</w:t>
      </w:r>
      <w:r w:rsidR="00160D37" w:rsidRPr="007A5BBC">
        <w:rPr>
          <w:rFonts w:ascii="Times New Roman" w:hAnsi="Times New Roman"/>
          <w:szCs w:val="24"/>
        </w:rPr>
        <w:t xml:space="preserve">here </w:t>
      </w:r>
      <w:r>
        <w:rPr>
          <w:rFonts w:ascii="Times New Roman" w:hAnsi="Times New Roman"/>
          <w:szCs w:val="24"/>
        </w:rPr>
        <w:t xml:space="preserve">was </w:t>
      </w:r>
      <w:r w:rsidR="00160D37" w:rsidRPr="007A5BBC">
        <w:rPr>
          <w:rFonts w:ascii="Times New Roman" w:hAnsi="Times New Roman"/>
          <w:szCs w:val="24"/>
        </w:rPr>
        <w:t xml:space="preserve">great disagreement about whether rejection terminates the other </w:t>
      </w:r>
      <w:r w:rsidR="00294E12" w:rsidRPr="007A5BBC">
        <w:rPr>
          <w:rFonts w:ascii="Times New Roman" w:hAnsi="Times New Roman"/>
          <w:szCs w:val="24"/>
        </w:rPr>
        <w:t>counter-</w:t>
      </w:r>
      <w:r w:rsidR="00160D37"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00160D37"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00160D37" w:rsidRPr="007A5BBC">
        <w:rPr>
          <w:rFonts w:ascii="Times New Roman" w:hAnsi="Times New Roman"/>
          <w:i/>
          <w:szCs w:val="24"/>
        </w:rPr>
        <w:t>Compare</w:t>
      </w:r>
      <w:r w:rsidR="00160D37" w:rsidRPr="007A5BBC">
        <w:rPr>
          <w:rFonts w:ascii="Times New Roman" w:hAnsi="Times New Roman"/>
          <w:szCs w:val="24"/>
        </w:rPr>
        <w:t xml:space="preserve"> </w:t>
      </w:r>
      <w:r w:rsidR="00160D37" w:rsidRPr="007A5BBC">
        <w:rPr>
          <w:rFonts w:ascii="Times New Roman" w:hAnsi="Times New Roman"/>
          <w:i/>
          <w:szCs w:val="24"/>
        </w:rPr>
        <w:t>In re Lavigne</w:t>
      </w:r>
      <w:r w:rsidR="00160D37" w:rsidRPr="007A5BBC">
        <w:rPr>
          <w:rFonts w:ascii="Times New Roman" w:hAnsi="Times New Roman"/>
          <w:szCs w:val="24"/>
        </w:rPr>
        <w:t xml:space="preserve">, 114 F.3d 379, 386- 88 (2d Cir. 1997); Michael T. Andrew, </w:t>
      </w:r>
      <w:r w:rsidR="00160D37" w:rsidRPr="007A5BBC">
        <w:rPr>
          <w:rFonts w:ascii="Times New Roman" w:hAnsi="Times New Roman"/>
          <w:smallCaps/>
          <w:szCs w:val="24"/>
        </w:rPr>
        <w:t>Executory Contracts in Bankruptcy: Understanding "Rejection,"</w:t>
      </w:r>
      <w:r w:rsidR="00160D37" w:rsidRPr="007A5BBC">
        <w:rPr>
          <w:rFonts w:ascii="Times New Roman" w:hAnsi="Times New Roman"/>
          <w:szCs w:val="24"/>
        </w:rPr>
        <w:t xml:space="preserve"> 59 U.Colo.L.Rev. 845 (1988); </w:t>
      </w:r>
      <w:hyperlink r:id="rId156"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w:t>
        </w:r>
        <w:r w:rsidR="001D2102">
          <w:rPr>
            <w:rStyle w:val="Hyperlink"/>
            <w:rFonts w:ascii="Times New Roman" w:hAnsi="Times New Roman"/>
            <w:szCs w:val="24"/>
          </w:rPr>
          <w:t xml:space="preserve"> </w:t>
        </w:r>
        <w:r w:rsidR="002E3CD9" w:rsidRPr="00017BFF">
          <w:rPr>
            <w:rStyle w:val="Hyperlink"/>
            <w:rFonts w:ascii="Times New Roman" w:hAnsi="Times New Roman"/>
            <w:szCs w:val="24"/>
          </w:rPr>
          <w:t>S.D.N.Y. 1992)</w:t>
        </w:r>
      </w:hyperlink>
      <w:r w:rsidR="002E3CD9" w:rsidRPr="007A5BBC">
        <w:rPr>
          <w:rFonts w:ascii="Times New Roman" w:hAnsi="Times New Roman"/>
          <w:szCs w:val="24"/>
        </w:rPr>
        <w:t xml:space="preserve"> (</w:t>
      </w:r>
      <w:r w:rsidR="00160D37"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57"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Pr>
          <w:rFonts w:ascii="Times New Roman" w:hAnsi="Times New Roman"/>
          <w:szCs w:val="24"/>
        </w:rPr>
        <w:t>That question has now been settled by the Supreme Court</w:t>
      </w:r>
      <w:r w:rsidR="00083725">
        <w:rPr>
          <w:rFonts w:ascii="Times New Roman" w:hAnsi="Times New Roman"/>
          <w:szCs w:val="24"/>
        </w:rPr>
        <w:t xml:space="preserve">. </w:t>
      </w:r>
    </w:p>
    <w:p w14:paraId="3FC676AD" w14:textId="525AF445" w:rsidR="00093ECD" w:rsidRDefault="00294E12" w:rsidP="001E2B43">
      <w:pPr>
        <w:ind w:firstLine="720"/>
        <w:jc w:val="both"/>
        <w:rPr>
          <w:rFonts w:ascii="Times New Roman" w:hAnsi="Times New Roman"/>
          <w:szCs w:val="24"/>
        </w:rPr>
      </w:pPr>
      <w:r w:rsidRPr="007A5BBC">
        <w:rPr>
          <w:rFonts w:ascii="Times New Roman" w:hAnsi="Times New Roman"/>
          <w:szCs w:val="24"/>
        </w:rPr>
        <w:t>Section 365 deals with both executory contracts and unexpired leases</w:t>
      </w:r>
      <w:r w:rsidR="005F6A8B">
        <w:rPr>
          <w:rFonts w:ascii="Times New Roman" w:hAnsi="Times New Roman"/>
          <w:szCs w:val="24"/>
        </w:rPr>
        <w:t xml:space="preserve">. </w:t>
      </w:r>
      <w:r w:rsidRPr="007A5BBC">
        <w:rPr>
          <w:rFonts w:ascii="Times New Roman" w:hAnsi="Times New Roman"/>
          <w:szCs w:val="24"/>
        </w:rPr>
        <w:t xml:space="preserve">Not all documents called leases are </w:t>
      </w:r>
      <w:r w:rsidR="00093ECD" w:rsidRPr="007A5BBC">
        <w:rPr>
          <w:rFonts w:ascii="Times New Roman" w:hAnsi="Times New Roman"/>
          <w:szCs w:val="24"/>
        </w:rPr>
        <w:t>subject to Section 365</w:t>
      </w:r>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 xml:space="preserve">sale and not a true lease subject to </w:t>
      </w:r>
      <w:r w:rsidR="00C0322E">
        <w:rPr>
          <w:rFonts w:ascii="Times New Roman" w:hAnsi="Times New Roman"/>
          <w:szCs w:val="24"/>
        </w:rPr>
        <w:t>S</w:t>
      </w:r>
      <w:r w:rsidR="00093ECD" w:rsidRPr="007A5BBC">
        <w:rPr>
          <w:rFonts w:ascii="Times New Roman" w:hAnsi="Times New Roman"/>
          <w:szCs w:val="24"/>
        </w:rPr>
        <w:t>ection 365</w:t>
      </w:r>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58"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are governed by Section 365.</w:t>
      </w:r>
    </w:p>
    <w:p w14:paraId="0659E578" w14:textId="77777777" w:rsidR="000E542A" w:rsidRPr="007A5BBC" w:rsidRDefault="000E542A" w:rsidP="001E2B43">
      <w:pPr>
        <w:ind w:firstLine="720"/>
        <w:jc w:val="both"/>
        <w:rPr>
          <w:rFonts w:ascii="Times New Roman" w:hAnsi="Times New Roman"/>
          <w:szCs w:val="24"/>
        </w:rPr>
      </w:pPr>
    </w:p>
    <w:p w14:paraId="32FD0372" w14:textId="7BD4C554" w:rsidR="00F44FF9" w:rsidRDefault="00A81F9F" w:rsidP="000E542A">
      <w:pPr>
        <w:pStyle w:val="Heading2"/>
        <w:spacing w:line="240" w:lineRule="auto"/>
      </w:pPr>
      <w:bookmarkStart w:id="2739" w:name="_Toc417380828"/>
      <w:bookmarkStart w:id="2740" w:name="_Toc79699177"/>
      <w:bookmarkStart w:id="2741" w:name="_Toc79699503"/>
      <w:bookmarkStart w:id="2742" w:name="_Toc79699841"/>
      <w:bookmarkStart w:id="2743" w:name="_Toc79700161"/>
      <w:bookmarkStart w:id="2744" w:name="_Toc79700483"/>
      <w:bookmarkStart w:id="2745" w:name="_Toc87039261"/>
      <w:bookmarkStart w:id="2746" w:name="_Toc90983657"/>
      <w:r>
        <w:t xml:space="preserve">What is an Executory </w:t>
      </w:r>
      <w:r w:rsidR="009A59CC" w:rsidRPr="007A5BBC">
        <w:t>Contract</w:t>
      </w:r>
      <w:bookmarkEnd w:id="2739"/>
      <w:r>
        <w:t>?</w:t>
      </w:r>
      <w:bookmarkStart w:id="2747" w:name="_Toc79693035"/>
      <w:bookmarkStart w:id="2748" w:name="_Toc79693355"/>
      <w:bookmarkStart w:id="2749" w:name="_Toc79693675"/>
      <w:bookmarkStart w:id="2750" w:name="_Toc79693992"/>
      <w:bookmarkStart w:id="2751" w:name="_Toc79694632"/>
      <w:bookmarkStart w:id="2752" w:name="_Toc79695260"/>
      <w:bookmarkStart w:id="2753" w:name="_Toc79697506"/>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r w:rsidR="000E542A">
        <w:br/>
      </w:r>
    </w:p>
    <w:p w14:paraId="02240835" w14:textId="7E2E64A6" w:rsidR="0004179E" w:rsidRPr="000E542A" w:rsidRDefault="007C1024" w:rsidP="000E542A">
      <w:pPr>
        <w:pStyle w:val="Heading3"/>
        <w:rPr>
          <w:u w:val="single"/>
        </w:rPr>
      </w:pPr>
      <w:hyperlink r:id="rId159" w:history="1">
        <w:bookmarkStart w:id="2754" w:name="_Toc87039262"/>
        <w:bookmarkStart w:id="2755" w:name="_Toc90983658"/>
        <w:r w:rsidR="0004179E" w:rsidRPr="000E542A">
          <w:rPr>
            <w:rStyle w:val="Hyperlink"/>
          </w:rPr>
          <w:t>I</w:t>
        </w:r>
        <w:r w:rsidR="00406B5E" w:rsidRPr="000E542A">
          <w:rPr>
            <w:rStyle w:val="Hyperlink"/>
          </w:rPr>
          <w:t>N RE</w:t>
        </w:r>
        <w:r w:rsidR="0004179E" w:rsidRPr="000E542A">
          <w:rPr>
            <w:rStyle w:val="Hyperlink"/>
          </w:rPr>
          <w:t xml:space="preserve"> EXIDE TECHNOLOGIES, 607 F.3d 957 (3d Cir. 2010)</w:t>
        </w:r>
        <w:bookmarkEnd w:id="2754"/>
        <w:bookmarkEnd w:id="2755"/>
      </w:hyperlink>
      <w:bookmarkStart w:id="2756" w:name="_Toc79693036"/>
      <w:bookmarkStart w:id="2757" w:name="_Toc79693356"/>
      <w:bookmarkStart w:id="2758" w:name="_Toc79693676"/>
      <w:bookmarkStart w:id="2759" w:name="_Toc79693993"/>
      <w:bookmarkStart w:id="2760" w:name="_Toc79694311"/>
      <w:bookmarkStart w:id="2761" w:name="_Toc79694633"/>
      <w:bookmarkStart w:id="2762" w:name="_Toc79694945"/>
      <w:bookmarkStart w:id="2763" w:name="_Toc79695261"/>
      <w:bookmarkStart w:id="2764" w:name="_Toc79695577"/>
      <w:bookmarkStart w:id="2765" w:name="_Toc79695893"/>
      <w:bookmarkStart w:id="2766" w:name="_Toc79696209"/>
      <w:bookmarkStart w:id="2767" w:name="_Toc79696525"/>
      <w:bookmarkStart w:id="2768" w:name="_Toc79696846"/>
      <w:bookmarkStart w:id="2769" w:name="_Toc79697178"/>
      <w:bookmarkStart w:id="2770" w:name="_Toc79697507"/>
      <w:bookmarkStart w:id="2771" w:name="_Toc79699178"/>
      <w:bookmarkStart w:id="2772" w:name="_Toc79699504"/>
      <w:bookmarkStart w:id="2773" w:name="_Toc79699842"/>
      <w:bookmarkStart w:id="2774" w:name="_Toc79700162"/>
      <w:bookmarkStart w:id="2775" w:name="_Toc79700484"/>
      <w:bookmarkStart w:id="2776" w:name="_Toc79700806"/>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r w:rsidR="000E542A" w:rsidRPr="000E542A">
        <w:rPr>
          <w:rStyle w:val="Hyperlink"/>
        </w:rPr>
        <w:br/>
      </w:r>
    </w:p>
    <w:p w14:paraId="75ED6CAD" w14:textId="2A8D7A4C" w:rsidR="00752DD4" w:rsidRDefault="0004179E" w:rsidP="0004179E">
      <w:pPr>
        <w:pStyle w:val="0-NORMAL"/>
      </w:pPr>
      <w:r>
        <w:t xml:space="preserve">[This case was decided before the Supreme Court held in the </w:t>
      </w:r>
      <w:r w:rsidRPr="0004179E">
        <w:rPr>
          <w:i/>
          <w:iCs/>
        </w:rPr>
        <w:t>Mission Products Holding</w:t>
      </w:r>
      <w:r>
        <w:t xml:space="preserve"> case that rejection of a trademark licensing agreement </w:t>
      </w:r>
      <w:r w:rsidR="009D6685">
        <w:t xml:space="preserve">does </w:t>
      </w:r>
      <w:r>
        <w:t>not terminate the licensee’s rights to use the mark.]</w:t>
      </w:r>
    </w:p>
    <w:p w14:paraId="7B5F0D8E" w14:textId="259A2974" w:rsidR="0004179E" w:rsidRDefault="0004179E" w:rsidP="0004179E">
      <w:pPr>
        <w:pStyle w:val="0-NORMAL"/>
      </w:pPr>
      <w:r>
        <w:t>After filing for bankruptcy, Exide sought to reject various agreements that it had with EnerSys arising from their June 1991 transaction. In June 1991, Exide sold substantially all of its industrial battery business to EnerSys for about $135 million. The assets that Exide sold to EnerSys included physical manufacturing plants, equipment, inventory, and certain items of intellectual property. To formalize the sale, Exide and EnerSys entered into over twenty-three agreements. The Bankruptcy Court held that the four agreements constituted a single integrated Agreement (the Agreement). Neither Exide nor EnerSys have challenged this determination. We therefore take the next step of determining whether the Agreement is an executory contract.</w:t>
      </w:r>
    </w:p>
    <w:p w14:paraId="47BCB5A6" w14:textId="77777777" w:rsidR="0004179E" w:rsidRDefault="0004179E" w:rsidP="0004179E">
      <w:pPr>
        <w:pStyle w:val="0-NORMAL"/>
      </w:pPr>
      <w:r>
        <w:t>Under the Agreement, Exide licensed its "Exide" trademark to EnerSys for use in the industrial battery business. Exide wanted to continue to use the Exide mark outside of the industrial battery business. To accommodate the needs of both parties, Exide granted EnerSys a perpetual, exclusive, royalty-free license to use the Exide trademark in the industrial battery business. This division worked, and, for almost ten years, each party appeared satisfied with the results of the transaction.</w:t>
      </w:r>
    </w:p>
    <w:p w14:paraId="442D8995" w14:textId="77777777" w:rsidR="0004179E" w:rsidRDefault="0004179E" w:rsidP="0004179E">
      <w:pPr>
        <w:pStyle w:val="0-NORMAL"/>
      </w:pPr>
      <w:r>
        <w:t>In 2000, however, Exide expressed a desire to return to the North American industrial battery market. After the parties agreed to the early termination of a ten-year noncompetition Agreement (thus granting Exide permission to reenter the market), Exide made several attempts to regain the trademark from EnerSys, but EnerSys refused. Exide wanted to regain the mark as a part of its strategic goal to unify its corporate image. Exide hoped to use a single name and trademark on all the products that it produced; this single name and trademark were, naturally, "Exide."</w:t>
      </w:r>
    </w:p>
    <w:p w14:paraId="27F77F18" w14:textId="26351B10" w:rsidR="0004179E" w:rsidRDefault="0004179E" w:rsidP="0004179E">
      <w:pPr>
        <w:pStyle w:val="0-NORMAL"/>
      </w:pPr>
      <w:r>
        <w:t>Exide reentered the industrial battery business by purchasing GNB Industrial Battery Company. Exide, however, remained bound by the ongoing obligation to forbear from using the Exide trademark in that business for as long as the license continued in effect. Thus, from 2000 until Exide filed for bankruptcy protection in 2002, Exide was forced to compete directly against EnerSys, which was selling batteries under the name "Exide." Then, when Exide filed for bankruptcy under Chapter 11, Exide was presented the opportunity to try to regain the Exide trademark by rejecting the Agreement. Exide sought the Bankruptcy Court's approval to do so.</w:t>
      </w:r>
    </w:p>
    <w:p w14:paraId="729445B2" w14:textId="6E1860D6" w:rsidR="0004179E" w:rsidRDefault="0004179E" w:rsidP="0004179E">
      <w:pPr>
        <w:pStyle w:val="0-NORMAL"/>
      </w:pPr>
      <w:r>
        <w:t xml:space="preserve">The policy behind Chapter 11 of the Bankruptcy Code is the "ultimate rehabilitation of the debtor." The Code therefore allows debtors in possession, "subject to the court's approval, ... [to] reject any executory contract or unexpired lease of the debtor." 11 U.S.C. § 365(a). But the Bankruptcy Code does not define "executory contract." Relevant legislative history demonstrates that Congress intended the term to mean a contract "on which performance is due to some extent on both sides." </w:t>
      </w:r>
    </w:p>
    <w:p w14:paraId="44528135" w14:textId="4F78DA6B" w:rsidR="0004179E" w:rsidRDefault="0004179E" w:rsidP="009D6685">
      <w:pPr>
        <w:pStyle w:val="0-NORMAL"/>
      </w:pPr>
      <w:r>
        <w:t>With congressional intent in mind, this Court has adopted the following definition: "`</w:t>
      </w:r>
      <w:bookmarkStart w:id="2777" w:name="_Hlk80042039"/>
      <w:r>
        <w:t>An executory contract is a contract under which the obligation of both the bankrupt and the other party to the contract are so far underperformed that the failure of either to complete performance would constitute a material breach excusing the performance of the other.'" "Thus, unless both parties have unperformed obligations that would constitute a material breach if not performed, the contract is not executory under § 365</w:t>
      </w:r>
      <w:bookmarkEnd w:id="2777"/>
      <w:r>
        <w:t>." The party seeking to reject a contract bears the burden of demonstrating that it is executory. And "[t]he time for testing whether there are material unperformed obligations on both sides is when the bankruptcy petition is filed." Finally, to conduct this determination, we "consider contract principles under relevant nonbankruptcy law." New York, because it is the forum selected in the Agreement's choice-of-law provision, provides the relevant nonbankruptcy law.</w:t>
      </w:r>
    </w:p>
    <w:p w14:paraId="52E467FD" w14:textId="0357D82C" w:rsidR="0004179E" w:rsidRDefault="0004179E" w:rsidP="0004179E">
      <w:pPr>
        <w:pStyle w:val="0-NORMAL"/>
      </w:pPr>
      <w:r>
        <w:t>Accordingly, our inquiry is to determine whether the Agreement, on April 15, 2002, contained at least one obligation for both Exide and EnerSys that would constitute a material breach under New York law if not performed. If not, then the Agreement is not an executory contract.</w:t>
      </w:r>
    </w:p>
    <w:p w14:paraId="1381F236" w14:textId="5C0CC2B6" w:rsidR="0004179E" w:rsidRDefault="0004179E" w:rsidP="0004179E">
      <w:pPr>
        <w:pStyle w:val="0-NORMAL"/>
      </w:pPr>
      <w:r>
        <w:t xml:space="preserve">Under New York law, a material breach, which "justif[ies] the other party to suspend his own performance," is "a breach which is so substantial as to defeat the purpose of the entire transaction." </w:t>
      </w:r>
    </w:p>
    <w:p w14:paraId="7B35B3AA" w14:textId="77777777" w:rsidR="0004179E" w:rsidRDefault="0004179E" w:rsidP="0004179E">
      <w:pPr>
        <w:pStyle w:val="0-NORMAL"/>
      </w:pPr>
      <w:r>
        <w:t>[U]nder New York law, only a breach in a contract which substantially defeats the purpose of that contract can be grounds for rescission. The non-breaching party will be discharged from the further performance of its obligations under the contract when the breach goes to the root of the contract.</w:t>
      </w:r>
    </w:p>
    <w:p w14:paraId="32603D2C" w14:textId="709698D4" w:rsidR="0004179E" w:rsidRDefault="0004179E" w:rsidP="0004179E">
      <w:pPr>
        <w:pStyle w:val="0-NORMAL"/>
      </w:pPr>
      <w:r>
        <w:t xml:space="preserve">But when a breaching party "has substantially performed" before breaching, "the other party's performance is not excused." </w:t>
      </w:r>
    </w:p>
    <w:p w14:paraId="31179534" w14:textId="77777777" w:rsidR="0004179E" w:rsidRDefault="0004179E" w:rsidP="0004179E">
      <w:pPr>
        <w:pStyle w:val="0-NORMAL"/>
      </w:pPr>
      <w:r>
        <w:t>New York's high court has instructed how to determine when a party has rendered substantial performance:</w:t>
      </w:r>
    </w:p>
    <w:p w14:paraId="2276DDBF" w14:textId="77777777" w:rsidR="0004179E" w:rsidRDefault="0004179E" w:rsidP="009D6685">
      <w:pPr>
        <w:pStyle w:val="Quote"/>
        <w:ind w:firstLine="0"/>
      </w:pPr>
      <w:r>
        <w:t>There is no simple test for determining whether substantial performance has been rendered and several factors must be considered, including the ratio of the performance already rendered to that unperformed, the quantitative character of the default, the degree to which the purpose behind the contract has been frustrated, the willfulness of the default, and the extent to which the aggrieved party has already received the substantial benefit of the promised performance.</w:t>
      </w:r>
    </w:p>
    <w:p w14:paraId="4EAB4107" w14:textId="1CCE2158" w:rsidR="0004179E" w:rsidRDefault="0004179E" w:rsidP="009D6685">
      <w:pPr>
        <w:pStyle w:val="0-NORMAL"/>
        <w:ind w:firstLine="0"/>
      </w:pPr>
      <w:r>
        <w:t xml:space="preserve">Hadden, 356 N.Y.S.2d 249, 312 N.E.2d at 449. "The issue of whether a party has substantially performed is usually a question of fact and should be decided as a matter of law only where the inferences are certain." </w:t>
      </w:r>
    </w:p>
    <w:p w14:paraId="1AEA7825" w14:textId="77777777" w:rsidR="0004179E" w:rsidRDefault="0004179E" w:rsidP="0004179E">
      <w:pPr>
        <w:pStyle w:val="0-NORMAL"/>
      </w:pPr>
      <w:r>
        <w:t>The Bankruptcy Court here failed to properly measure whether either party had substantially performed. Our inspection of the record, however, reveals that the inferences are clear that EnerSys has substantially performed. Applying Hadden's balancing test, EnerSys's performance rendered outweighs its performance remaining and the extent to which the parties have benefitted is substantial. Specifically, EnerSys has substantially performed by paying the full $135 million purchase price and operating under the Agreement for over ten years. EnerSys has been producing industrial batteries since 1991, using all the assets transferred under the Agreement, including real estate, real-estate leases, inventory, equipment and the right to use the trademark "Exide." Moreover, EnerSys has provided Exide with the substantial benefit of assuming the latter's liabilities, including numerous contracts and accounts receivable, within the business EnerSys purchased.</w:t>
      </w:r>
    </w:p>
    <w:p w14:paraId="6DD10338" w14:textId="77777777" w:rsidR="0004179E" w:rsidRDefault="0004179E" w:rsidP="0004179E">
      <w:pPr>
        <w:pStyle w:val="0-NORMAL"/>
      </w:pPr>
      <w:r>
        <w:t>Exide argues that EnerSys's ongoing, unperformed obligations outweigh its performance. It relies on the following four obligations of EnerSys: (1) an obligation to satisfy the Quality Standards Provision, and obligations to observe (2) the Use Restriction, (3) the Indemnity Obligations, and (4) the Further Assurances Obligations.[4] We reject Exide's argument; these four obligations do not outweigh the substantial performance rendered and benefits received by EnerSys.</w:t>
      </w:r>
    </w:p>
    <w:p w14:paraId="5FA7CE81" w14:textId="4EF548D9" w:rsidR="0004179E" w:rsidRDefault="009D6685" w:rsidP="0004179E">
      <w:pPr>
        <w:pStyle w:val="0-NORMAL"/>
      </w:pPr>
      <w:r>
        <w:t>F</w:t>
      </w:r>
      <w:r w:rsidR="0004179E">
        <w:t xml:space="preserve">irst, EnerSys's obligation to observe the Use Restriction, i.e., not to use the Trademark outside the industrial battery business, is not a material obligation because it is a condition subsequent that requires EnerSys to use the mark in accordance with the terms of the Trademark </w:t>
      </w:r>
      <w:r w:rsidR="001D2102">
        <w:t>License</w:t>
      </w:r>
      <w:r w:rsidR="0004179E">
        <w:t>. A condition subsequent is not a material obligation. Moreover, the Use Restriction does not relate to the purpose of the Agreement — which is that Exide would transfer its industrial battery business and the concomitant assets and liabilities to EnerSys and EnerSys in exchange would pay Exide about $135 million. Therefore, even if the obligation were not a condition subsequent, it nevertheless would not affect the substantial performance of the Agreement.</w:t>
      </w:r>
    </w:p>
    <w:p w14:paraId="5C218062" w14:textId="0194FC5D" w:rsidR="0004179E" w:rsidRDefault="0004179E" w:rsidP="0004179E">
      <w:pPr>
        <w:pStyle w:val="0-NORMAL"/>
      </w:pPr>
      <w:r>
        <w:t xml:space="preserve">Second, EnerSys's obligation to observe the Quality Standards Provision is minor because it requires meeting the standards of the mark for each battery produced; it does not relate to the transfer of the industrial battery business. </w:t>
      </w:r>
    </w:p>
    <w:p w14:paraId="0C471E20" w14:textId="77777777" w:rsidR="0004179E" w:rsidRDefault="0004179E" w:rsidP="0004179E">
      <w:pPr>
        <w:pStyle w:val="0-NORMAL"/>
      </w:pPr>
      <w:r>
        <w:t>Finally, the other two obligations that Exide argues are substantial, the Indemnity Obligation and the Further Assurances Obligation, do not outweigh the factors supporting substantial performance. In regard to the Indemnity Obligation, under the Asset Purchase Agreement, all representations and warranties arising from it expired in 1994, on the third anniversary of the closing and Exide did not present any evidence that any liability assumed by EnerSys was still pending. Similarly, under the Further Assurances Obligation, EnerSys agreed to cooperate to facilitate the 1991 transaction. Exide has identified no remaining required cooperation.</w:t>
      </w:r>
    </w:p>
    <w:p w14:paraId="6CB1B090" w14:textId="0CFAFC78" w:rsidR="0004179E" w:rsidRDefault="0004179E" w:rsidP="0004179E">
      <w:pPr>
        <w:pStyle w:val="0-NORMAL"/>
      </w:pPr>
      <w:r>
        <w:t xml:space="preserve">Exide argues, however, citing </w:t>
      </w:r>
      <w:r w:rsidRPr="009D6685">
        <w:rPr>
          <w:i/>
          <w:iCs/>
        </w:rPr>
        <w:t>Hadden</w:t>
      </w:r>
      <w:r>
        <w:t>, that the substantial-performance doctrine is "irrelevant here" because it applies only in cases involving construction or employment contracts. Our review of New York law reveals that no New York court has held (or even intimated) that the doctrine should be confined to the construction/employment contract areas. Indeed, the Second Circuit Court of Appeals, applying New York law, recently applied Hadden's substantial-performance doctrine in a $490 million asset-purchase contract that formalized the sale of an energy trading commodities business to a larger energy business. That contract was neither a construction nor employment contract. We also now conclude that we will not confine the doctrine to construction and employment contract cases.</w:t>
      </w:r>
    </w:p>
    <w:p w14:paraId="53EEEA3C" w14:textId="77777777" w:rsidR="009D2972" w:rsidRDefault="009D6685" w:rsidP="00A81F9F">
      <w:pPr>
        <w:pStyle w:val="0-NORMAL"/>
      </w:pPr>
      <w:r w:rsidRPr="009D6685">
        <w:t>For the reasons stated above, we have determined that the Agreement is not an executory contract because it does not contain at least one ongoing material obligation for EnerSys. Because the Agreement is not an executory contract, Exide cannot reject it. We will vacate the District Court's order and remand this case to it for remand to the Bankruptcy Court for further proceedings consistent with this opinion.</w:t>
      </w:r>
    </w:p>
    <w:p w14:paraId="6669E09D" w14:textId="0F9CD61E" w:rsidR="00A81F9F" w:rsidRPr="007A5BBC" w:rsidRDefault="00A81F9F" w:rsidP="00A81F9F">
      <w:pPr>
        <w:pStyle w:val="0-NORMAL"/>
      </w:pPr>
    </w:p>
    <w:p w14:paraId="06DACF57" w14:textId="0ECEF9F8" w:rsidR="00A81F9F" w:rsidRPr="009D2972" w:rsidRDefault="007C1024" w:rsidP="00D95675">
      <w:pPr>
        <w:pStyle w:val="Heading3"/>
        <w:rPr>
          <w:u w:val="single"/>
        </w:rPr>
      </w:pPr>
      <w:hyperlink r:id="rId160" w:history="1">
        <w:bookmarkStart w:id="2778" w:name="_Toc87039263"/>
        <w:bookmarkStart w:id="2779" w:name="_Toc90983659"/>
        <w:r w:rsidR="00A81F9F" w:rsidRPr="009D2972">
          <w:rPr>
            <w:rStyle w:val="Hyperlink"/>
          </w:rPr>
          <w:t>RIESER v. DAYTON COUNTRY CLUB CO., 972 F.2d 689 (6th Cir</w:t>
        </w:r>
        <w:r w:rsidR="007559BB" w:rsidRPr="009D2972">
          <w:rPr>
            <w:rStyle w:val="Hyperlink"/>
          </w:rPr>
          <w:t>.</w:t>
        </w:r>
        <w:r w:rsidR="00A81F9F" w:rsidRPr="009D2972">
          <w:rPr>
            <w:rStyle w:val="Hyperlink"/>
          </w:rPr>
          <w:t xml:space="preserve"> 1992)</w:t>
        </w:r>
        <w:bookmarkEnd w:id="2778"/>
        <w:bookmarkEnd w:id="2779"/>
      </w:hyperlink>
      <w:bookmarkStart w:id="2780" w:name="_Toc79693037"/>
      <w:bookmarkStart w:id="2781" w:name="_Toc79693357"/>
      <w:bookmarkStart w:id="2782" w:name="_Toc79693677"/>
      <w:bookmarkStart w:id="2783" w:name="_Toc79693994"/>
      <w:bookmarkStart w:id="2784" w:name="_Toc79694312"/>
      <w:bookmarkStart w:id="2785" w:name="_Toc79694634"/>
      <w:bookmarkStart w:id="2786" w:name="_Toc79694946"/>
      <w:bookmarkStart w:id="2787" w:name="_Toc79695262"/>
      <w:bookmarkStart w:id="2788" w:name="_Toc79695578"/>
      <w:bookmarkStart w:id="2789" w:name="_Toc79695894"/>
      <w:bookmarkStart w:id="2790" w:name="_Toc79696210"/>
      <w:bookmarkStart w:id="2791" w:name="_Toc79696526"/>
      <w:bookmarkStart w:id="2792" w:name="_Toc79696847"/>
      <w:bookmarkStart w:id="2793" w:name="_Toc79697179"/>
      <w:bookmarkStart w:id="2794" w:name="_Toc79697508"/>
      <w:bookmarkStart w:id="2795" w:name="_Toc79699179"/>
      <w:bookmarkStart w:id="2796" w:name="_Toc79699505"/>
      <w:bookmarkStart w:id="2797" w:name="_Toc79699843"/>
      <w:bookmarkStart w:id="2798" w:name="_Toc79700163"/>
      <w:bookmarkStart w:id="2799" w:name="_Toc79700485"/>
      <w:bookmarkStart w:id="2800" w:name="_Toc79700807"/>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r w:rsidR="009D2972" w:rsidRPr="009D2972">
        <w:rPr>
          <w:rStyle w:val="Hyperlink"/>
        </w:rPr>
        <w:br/>
      </w:r>
    </w:p>
    <w:p w14:paraId="1350EA1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this case we are asked to review an order barring a trustee in bankruptcy under Chapter 7 from assuming and assigning a golf membership in a country club as an executory contract, pursuant to section 365 of the Bankruptcy Code. 11 U.S.C. § 365.</w:t>
      </w:r>
    </w:p>
    <w:p w14:paraId="223131A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544A771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47C843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68DD7552"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12EABBE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52387DF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5C44504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bankruptcy courts found, and the district court affirmed, that the full golf memberships are executory contracts under § 365 of the Bankruptcy Code. Section 365(f)(1) of the Bankruptcy Code provides that executory contracts may be assigned notwithstanding non-assignment provisions in the contract or the law: Section 365(c)(1) contains an exception to section 365(f)'s bar to enforcement of non-assignment provisions:</w:t>
      </w:r>
    </w:p>
    <w:p w14:paraId="43C8A9CE"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(c) The trustee may not assume or assign any executory contract or unexpired lease of the debtor, whether or not such contract or lease prohibits or restricts assignment of rights or delegation of duties, if —</w:t>
      </w:r>
    </w:p>
    <w:p w14:paraId="042720E7"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6C25E1F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(B) </w:t>
      </w:r>
      <w:r>
        <w:rPr>
          <w:rFonts w:ascii="Times New Roman" w:hAnsi="Times New Roman"/>
          <w:szCs w:val="24"/>
        </w:rPr>
        <w:t>s</w:t>
      </w:r>
      <w:r w:rsidRPr="007A5BBC">
        <w:rPr>
          <w:rFonts w:ascii="Times New Roman" w:hAnsi="Times New Roman"/>
          <w:szCs w:val="24"/>
        </w:rPr>
        <w:t>uch party does not consent to such assump</w:t>
      </w:r>
      <w:r>
        <w:rPr>
          <w:rFonts w:ascii="Times New Roman" w:hAnsi="Times New Roman"/>
          <w:szCs w:val="24"/>
        </w:rPr>
        <w:t>tion or assignment.</w:t>
      </w:r>
    </w:p>
    <w:p w14:paraId="045A5C02"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11 U.S.C. § 365(c)(1).</w:t>
      </w:r>
    </w:p>
    <w:p w14:paraId="198870B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bankruptcy courts found that the trustee was barred from assigning the full golf memberships by Ohio law under § 365(c). The courts concluded that the club's rules were, in effect, anti-assignment provisions, and that Ohio law excused the club from accepting performance by others. The court thus gave effect to the provisions</w:t>
      </w:r>
      <w:r>
        <w:rPr>
          <w:rFonts w:ascii="Times New Roman" w:hAnsi="Times New Roman"/>
          <w:szCs w:val="24"/>
        </w:rPr>
        <w:t xml:space="preserve">. </w:t>
      </w:r>
      <w:r w:rsidRPr="007A5BBC">
        <w:rPr>
          <w:rFonts w:ascii="Times New Roman" w:hAnsi="Times New Roman"/>
          <w:szCs w:val="24"/>
        </w:rPr>
        <w:t>[The district court affirmed]</w:t>
      </w:r>
    </w:p>
    <w:p w14:paraId="225850CE"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then appealed to this court</w:t>
      </w:r>
      <w:r>
        <w:rPr>
          <w:rFonts w:ascii="Times New Roman" w:hAnsi="Times New Roman"/>
          <w:szCs w:val="24"/>
        </w:rPr>
        <w:t xml:space="preserve">. </w:t>
      </w:r>
      <w:r w:rsidRPr="007A5BBC">
        <w:rPr>
          <w:rFonts w:ascii="Times New Roman" w:hAnsi="Times New Roman"/>
          <w:szCs w:val="24"/>
        </w:rPr>
        <w:t xml:space="preserve">We conclude that the decision of the district court was correct for two reasons. First, as the district court found, the trustee had no power under § 365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 363(e) of the Code. </w:t>
      </w:r>
    </w:p>
    <w:p w14:paraId="3120B72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4F1EC4C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A700B4A" w14:textId="55CB4F83"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Several courts have addressed the scope of § 365(c), although the decisions are not persuasive. A seminal decision was </w:t>
      </w:r>
      <w:hyperlink r:id="rId161"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Pr>
            <w:rStyle w:val="Hyperlink"/>
            <w:rFonts w:ascii="Times New Roman" w:hAnsi="Times New Roman"/>
            <w:szCs w:val="24"/>
          </w:rPr>
          <w:t xml:space="preserve"> </w:t>
        </w:r>
        <w:r w:rsidRPr="00FE779C">
          <w:rPr>
            <w:rStyle w:val="Hyperlink"/>
            <w:rFonts w:ascii="Times New Roman" w:hAnsi="Times New Roman"/>
            <w:szCs w:val="24"/>
          </w:rPr>
          <w:t>N.D.</w:t>
        </w:r>
        <w:r>
          <w:rPr>
            <w:rStyle w:val="Hyperlink"/>
            <w:rFonts w:ascii="Times New Roman" w:hAnsi="Times New Roman"/>
            <w:szCs w:val="24"/>
          </w:rPr>
          <w:t xml:space="preserve"> </w:t>
        </w:r>
        <w:r w:rsidRPr="00FE779C">
          <w:rPr>
            <w:rStyle w:val="Hyperlink"/>
            <w:rFonts w:ascii="Times New Roman" w:hAnsi="Times New Roman"/>
            <w:szCs w:val="24"/>
          </w:rPr>
          <w:t>Ga.</w:t>
        </w:r>
        <w:r>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xml:space="preserve">. That court concluded that § 365(c) was intended "to be applied narrowly and to such circumstances as contracts for the performance of non-delegable duties." </w:t>
      </w:r>
    </w:p>
    <w:p w14:paraId="676DFF88"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 365(c) applied only to personal service contracts (a construction which, as the Taylor court noted, actually originated with Collier on Bankruptcy). </w:t>
      </w:r>
    </w:p>
    <w:p w14:paraId="01F0E298" w14:textId="73B62D74"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Court of Appeals for the First Circuit attempted to harmonize sections 365(f) and (c) in the case of </w:t>
      </w:r>
      <w:hyperlink r:id="rId162"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(1st Cir.</w:t>
        </w:r>
        <w:r>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That court also held that no personal service contract limitation appeared in the language of § 365(c). In attempting to reach a rational explanation of the interplay of sections 365(f) and (c), however, the court proceeded to read additional language into § 365(f):</w:t>
      </w:r>
    </w:p>
    <w:p w14:paraId="1131A110"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37FC8D00" w14:textId="77777777" w:rsidR="00A81F9F" w:rsidRPr="007A5BBC" w:rsidRDefault="00A81F9F" w:rsidP="00A81F9F">
      <w:pPr>
        <w:jc w:val="both"/>
        <w:rPr>
          <w:rFonts w:ascii="Times New Roman" w:hAnsi="Times New Roman"/>
          <w:szCs w:val="24"/>
        </w:rPr>
      </w:pPr>
      <w:r w:rsidRPr="007A5BBC">
        <w:rPr>
          <w:rFonts w:ascii="Times New Roman" w:hAnsi="Times New Roman"/>
          <w:szCs w:val="24"/>
        </w:rPr>
        <w:t>Id. at 29</w:t>
      </w:r>
      <w:r>
        <w:rPr>
          <w:rFonts w:ascii="Times New Roman" w:hAnsi="Times New Roman"/>
          <w:szCs w:val="24"/>
        </w:rPr>
        <w:t xml:space="preserve">. </w:t>
      </w:r>
      <w:r w:rsidRPr="007A5BBC">
        <w:rPr>
          <w:rFonts w:ascii="Times New Roman" w:hAnsi="Times New Roman"/>
          <w:szCs w:val="24"/>
        </w:rPr>
        <w:t xml:space="preserve">There is simply nothing in the language of § 365(f) which supports the limitation read into it by that court. In addition, it is at least equally as plausible that the phrase "whether or not such contract ... prohibits ... assignment" in § 365(c) was intended merely to emphasize that § 365(c) should not be construed to apply only to applicable law barring assignment, irrespective of the contract's provisions (as opposed to applicable law enforcing anti-assignment provisions in certain contracts), a construction which might otherwise seem logical in light of § 365(f)'s explicit override of contractual anti-assignment provisions. Neither </w:t>
      </w:r>
      <w:r w:rsidRPr="00FE779C">
        <w:rPr>
          <w:rFonts w:ascii="Times New Roman" w:hAnsi="Times New Roman"/>
          <w:i/>
          <w:szCs w:val="24"/>
        </w:rPr>
        <w:t xml:space="preserve">Pioneer Ford </w:t>
      </w:r>
      <w:r w:rsidRPr="007A5BBC">
        <w:rPr>
          <w:rFonts w:ascii="Times New Roman" w:hAnsi="Times New Roman"/>
          <w:szCs w:val="24"/>
        </w:rPr>
        <w:t xml:space="preserve">nor any other decision to date provides a defensible explication of the parameters of the § 365(c) exception. </w:t>
      </w:r>
    </w:p>
    <w:p w14:paraId="6EBA0D9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We must read sections 365(f) and (c) together. At first, it might seem that they are not consistent, but a careful parsing of the provisions suggests that § 365(f) contains the broad rule and § 365(c) contains a carefully crafted exception to the broad rule made necessary by general principles of the common law and our constitutions.</w:t>
      </w:r>
    </w:p>
    <w:p w14:paraId="72A85CD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 365(a).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2801" w:name="OLE_LINK40"/>
      <w:bookmarkStart w:id="2802"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refuse to accept from or render performance to an assignee will prohibit assignment by the trustee. </w:t>
      </w:r>
      <w:bookmarkEnd w:id="2801"/>
      <w:bookmarkEnd w:id="2802"/>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 of markedly different scope.</w:t>
      </w:r>
    </w:p>
    <w:p w14:paraId="3FFE1E56"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Thus, in application to this case, § 365(f) permits the executory contract between the plaintiffs and the club regarding full golf membership to be assigned by the trustee even though the arrangements between the club and its members clearly do not permit them to assign such contracts, unless there is something in § 365(c) that indicates to the contrary. </w:t>
      </w:r>
    </w:p>
    <w:p w14:paraId="12DEA3AF"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Section 365(c) requires us to look at the rights and duties of the club as the other party to the contract and the "applicable law" regarding whether the club must accept performance from the assignee member chosen by the trustee or render performance to that member. As required in § 365(c), the applicable law of controlling significance to the solution of this problem addresses the interests of the non-debtor third parties, rather than law relating to general prohibitions or restrictions on assignment of executory contracts covered by § 365(f).</w:t>
      </w:r>
    </w:p>
    <w:p w14:paraId="023A2D4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0CE7687E"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24A054A3"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35DBB7C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49268F05"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674991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A second reason exists for denial of the trustee's motion to assume and assign these full golf memberships. Section 363(e) of the Code directs that "use, sale, or lease" of property by the trustee may be "prohibited[ed] or condition[ed]" in light of interests held by others in the subject property. In this instance, auctioning the full golf membership, although couched in terms of assignment, is a sale of a property interest and cannot be reconciled with the rights of persons on the waiting list, the club itself, or other members of the club.</w:t>
      </w:r>
    </w:p>
    <w:p w14:paraId="0C66720B"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5131BB74"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Section 363(e) of the Code directs that when property is to be sold by the trustee, notwithstanding other provisions of § 363, the court shall prohibit or make conditions necessary to protect other persons having an interest in the property to be sold. Since the trustee is attempting not only to sell the debtor's right to play golf but also the rights of those on the waiting list to fill the next vacancy, the court was correct in denying the trustee's motion. The interest of the persons presently involved in this orderly succession cannot adequately be protected in any manner except by prohibiting the sale and assignment of the membership.</w:t>
      </w:r>
    </w:p>
    <w:p w14:paraId="7BF13877"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70101993" w14:textId="77777777" w:rsidR="00A81F9F" w:rsidRPr="007A5BBC" w:rsidRDefault="00A81F9F" w:rsidP="00A81F9F">
      <w:pPr>
        <w:ind w:left="720"/>
        <w:jc w:val="both"/>
        <w:rPr>
          <w:rFonts w:ascii="Times New Roman" w:hAnsi="Times New Roman"/>
          <w:szCs w:val="24"/>
        </w:rPr>
      </w:pPr>
      <w:r w:rsidRPr="007A5BBC">
        <w:rPr>
          <w:rFonts w:ascii="Times New Roman" w:hAnsi="Times New Roman"/>
          <w:szCs w:val="24"/>
        </w:rPr>
        <w:t>AFFIRMED.</w:t>
      </w:r>
    </w:p>
    <w:p w14:paraId="34B20F6B"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b/>
          <w:szCs w:val="24"/>
        </w:rPr>
        <w:t>RALPH B. GUY, JR., Circuit Judge, concurring in result</w:t>
      </w:r>
      <w:r w:rsidRPr="007A5BBC">
        <w:rPr>
          <w:rFonts w:ascii="Times New Roman" w:hAnsi="Times New Roman"/>
          <w:szCs w:val="24"/>
        </w:rPr>
        <w:t>.</w:t>
      </w:r>
    </w:p>
    <w:p w14:paraId="2E064ED1"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Pr>
          <w:rFonts w:ascii="Times New Roman" w:hAnsi="Times New Roman"/>
          <w:szCs w:val="24"/>
        </w:rPr>
        <w:t xml:space="preserve">. </w:t>
      </w:r>
      <w:r w:rsidRPr="007A5BBC">
        <w:rPr>
          <w:rFonts w:ascii="Times New Roman" w:hAnsi="Times New Roman"/>
          <w:szCs w:val="24"/>
        </w:rPr>
        <w:t>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section 365(c). And, in compliance with section 365(f), I do not rest my analysis on the fact that Ohio law makes such contracts non-assignable, but rather on the reason behind that legal conclusion.</w:t>
      </w:r>
    </w:p>
    <w:p w14:paraId="430A84B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Ohio courts have long recognized that</w:t>
      </w:r>
    </w:p>
    <w:p w14:paraId="059128D6" w14:textId="77777777" w:rsidR="00A81F9F" w:rsidRPr="007A5BBC" w:rsidRDefault="00A81F9F" w:rsidP="00A81F9F">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060A36A" w14:textId="04EDFB84" w:rsidR="00A81F9F" w:rsidRDefault="00A81F9F" w:rsidP="00A81F9F">
      <w:pPr>
        <w:pStyle w:val="0-NORMAL"/>
      </w:pPr>
      <w:r w:rsidRPr="007A5BBC">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t xml:space="preserve">. </w:t>
      </w:r>
      <w:r w:rsidRPr="007A5BBC">
        <w:t xml:space="preserve">It makes no difference that the proposed offerees of Mr. Magness's full golf membership have already joined the association, or would be required to do so under the club's traditional procedures. "[T]he nature of the contract" is not affected by "the fact that the particular person [whom the would-be assignor] attempted to designate was personally unexceptionable." </w:t>
      </w:r>
      <w:r w:rsidRPr="00572B4D">
        <w:rPr>
          <w:i/>
        </w:rPr>
        <w:t>Id</w:t>
      </w:r>
      <w:r w:rsidRPr="007A5BBC">
        <w:t>.</w:t>
      </w:r>
      <w:bookmarkStart w:id="2803" w:name="_Hlk80042282"/>
    </w:p>
    <w:p w14:paraId="38D6B6CB" w14:textId="77777777" w:rsidR="00D72D96" w:rsidRDefault="00D72D96" w:rsidP="00A81F9F">
      <w:pPr>
        <w:pStyle w:val="0-NORMAL"/>
      </w:pPr>
    </w:p>
    <w:p w14:paraId="3BDEF598" w14:textId="783E9A3D" w:rsidR="00A81F9F" w:rsidRPr="007A5BBC" w:rsidRDefault="00A81F9F" w:rsidP="00D72D96">
      <w:pPr>
        <w:pStyle w:val="Heading2"/>
        <w:spacing w:line="240" w:lineRule="auto"/>
      </w:pPr>
      <w:bookmarkStart w:id="2804" w:name="_Toc79699180"/>
      <w:bookmarkStart w:id="2805" w:name="_Toc79699506"/>
      <w:bookmarkStart w:id="2806" w:name="_Toc79699844"/>
      <w:bookmarkStart w:id="2807" w:name="_Toc79700164"/>
      <w:bookmarkStart w:id="2808" w:name="_Toc79700486"/>
      <w:bookmarkStart w:id="2809" w:name="_Toc87039264"/>
      <w:bookmarkStart w:id="2810" w:name="_Toc90983660"/>
      <w:r>
        <w:t>What is the Effect of Assumption or Rejection of Executory Contracts?</w:t>
      </w:r>
      <w:bookmarkStart w:id="2811" w:name="_Toc79693038"/>
      <w:bookmarkStart w:id="2812" w:name="_Toc79693358"/>
      <w:bookmarkStart w:id="2813" w:name="_Toc79693678"/>
      <w:bookmarkStart w:id="2814" w:name="_Toc79693995"/>
      <w:bookmarkStart w:id="2815" w:name="_Toc79694635"/>
      <w:bookmarkStart w:id="2816" w:name="_Toc79695263"/>
      <w:bookmarkStart w:id="2817" w:name="_Toc79697509"/>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r w:rsidR="00D72D96">
        <w:br/>
      </w:r>
    </w:p>
    <w:p w14:paraId="738093E5" w14:textId="3597CDE3" w:rsidR="00A81F9F" w:rsidRPr="00D72D96" w:rsidRDefault="007C1024" w:rsidP="00D72D96">
      <w:pPr>
        <w:pStyle w:val="Heading3"/>
        <w:rPr>
          <w:u w:val="single"/>
        </w:rPr>
      </w:pPr>
      <w:hyperlink r:id="rId163" w:history="1">
        <w:bookmarkStart w:id="2818" w:name="_Toc87039265"/>
        <w:bookmarkStart w:id="2819" w:name="_Toc90983661"/>
        <w:r w:rsidR="00A81F9F" w:rsidRPr="00D72D96">
          <w:rPr>
            <w:rStyle w:val="Hyperlink"/>
          </w:rPr>
          <w:t>MISSION PRODUCT HOLDINGS, INC., v. TEMPNOLOGY, LLC, 139 S.Ct. 1652 (2019)</w:t>
        </w:r>
        <w:bookmarkEnd w:id="2818"/>
        <w:bookmarkEnd w:id="2819"/>
      </w:hyperlink>
      <w:bookmarkStart w:id="2820" w:name="_Toc79693039"/>
      <w:bookmarkStart w:id="2821" w:name="_Toc79693359"/>
      <w:bookmarkStart w:id="2822" w:name="_Toc79693679"/>
      <w:bookmarkStart w:id="2823" w:name="_Toc79693996"/>
      <w:bookmarkStart w:id="2824" w:name="_Toc79694314"/>
      <w:bookmarkStart w:id="2825" w:name="_Toc79694636"/>
      <w:bookmarkStart w:id="2826" w:name="_Toc79694948"/>
      <w:bookmarkStart w:id="2827" w:name="_Toc79695264"/>
      <w:bookmarkStart w:id="2828" w:name="_Toc79695580"/>
      <w:bookmarkStart w:id="2829" w:name="_Toc79695896"/>
      <w:bookmarkStart w:id="2830" w:name="_Toc79696212"/>
      <w:bookmarkStart w:id="2831" w:name="_Toc79696528"/>
      <w:bookmarkStart w:id="2832" w:name="_Toc79696849"/>
      <w:bookmarkStart w:id="2833" w:name="_Toc79697181"/>
      <w:bookmarkStart w:id="2834" w:name="_Toc79697510"/>
      <w:bookmarkStart w:id="2835" w:name="_Toc79699181"/>
      <w:bookmarkStart w:id="2836" w:name="_Toc79699507"/>
      <w:bookmarkStart w:id="2837" w:name="_Toc79699845"/>
      <w:bookmarkStart w:id="2838" w:name="_Toc79700165"/>
      <w:bookmarkStart w:id="2839" w:name="_Toc79700487"/>
      <w:bookmarkStart w:id="2840" w:name="_Toc7970080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r w:rsidR="00D72D96" w:rsidRPr="00D72D96">
        <w:rPr>
          <w:rStyle w:val="Hyperlink"/>
        </w:rPr>
        <w:br/>
      </w:r>
    </w:p>
    <w:bookmarkEnd w:id="2803"/>
    <w:p w14:paraId="26B6A391" w14:textId="77777777" w:rsidR="00A81F9F" w:rsidRDefault="00A81F9F" w:rsidP="00A81F9F">
      <w:pPr>
        <w:pStyle w:val="0-NORMAL"/>
      </w:pPr>
      <w:r>
        <w:t>Section 365 of the Bankruptcy Code enables a debtor to "reject any executory contract"—meaning a contract that neither party has finished performing. 11 U.S.C. § 365(a). The section further provides that a debtor's rejection of a contract under that authority "constitutes a breach of such contract." § 365(g).</w:t>
      </w:r>
    </w:p>
    <w:p w14:paraId="47ADB064" w14:textId="77777777" w:rsidR="00A81F9F" w:rsidRDefault="00A81F9F" w:rsidP="00A81F9F">
      <w:pPr>
        <w:pStyle w:val="0-NORMAL"/>
      </w:pPr>
      <w:r>
        <w:t>Today we consider the meaning of those provisions in the context of a trademark licensing agreement. The question is whether the debtor-licensor's rejection of that contract deprives the licensee of its rights to use the trademark. We hold it does not. A rejection breaches a contract but does not rescind it. And that means all the rights that would ordinarily survive a contract breach, including those conveyed here, remain in place.</w:t>
      </w:r>
    </w:p>
    <w:p w14:paraId="6D54C770" w14:textId="77777777" w:rsidR="00A81F9F" w:rsidRDefault="00A81F9F" w:rsidP="00A81F9F">
      <w:pPr>
        <w:pStyle w:val="0-NORMAL"/>
      </w:pPr>
      <w:r>
        <w:t>This case arises from a licensing agreement gone wrong. Respondent Tempnology, LLC, manufactured clothing and accessories designed to stay cool when used in exercise. It marketed those products under the brand name "Coolcore," using trademarks (e.g., logos and labels) to distinguish the gear from other athletic apparel. In 2012, Tempnology entered into a contract with petitioner Mission. The agreement gave Mission an exclusive license to distribute certain Coolcore products in the United States. And more important here, it granted Mission a non-exclusive license to use the Coolcore trademarks, both in the United States and around the world. The agreement was set to expire in July 2016. But in September 2015, Tempnology filed a petition for Chapter 11 bankruptcy. And it soon afterward asked the Bankruptcy Court to allow it to "reject" the licensing agreement. § 365(a).</w:t>
      </w:r>
    </w:p>
    <w:p w14:paraId="68740F18" w14:textId="77777777" w:rsidR="00A81F9F" w:rsidRDefault="00A81F9F" w:rsidP="00A81F9F">
      <w:pPr>
        <w:pStyle w:val="0-NORMAL"/>
      </w:pPr>
      <w:r>
        <w:t xml:space="preserve">Section 365(a) of the Code provides that a "trustee [or debtor], subject to the court's approval, may assume or reject any executory contract." § 365(a). A contract is executory if "performance remains due to some extent on both sides." Such an agreement represents both an asset (the debtor's right to the counterparty's future performance) and a liability (the debtor's own obligations to perform). Section 365(a) enables the debtor (or its trustee), upon entering bankruptcy, to decide whether the contract is a good deal for the estate going forward. If so, the debtor will want to assume the contract, fulfilling its obligations while benefiting from the counterparty's performance. But if not, the debtor will want to reject the contract, repudiating any further performance of its duties. The bankruptcy court will generally approve that choice, under the deferential "business judgment" rule. </w:t>
      </w:r>
    </w:p>
    <w:p w14:paraId="4773EBDA" w14:textId="77777777" w:rsidR="00A81F9F" w:rsidRDefault="00A81F9F" w:rsidP="00A81F9F">
      <w:pPr>
        <w:pStyle w:val="0-NORMAL"/>
      </w:pPr>
      <w:r>
        <w:t>According to Section 365(g), "the rejection of an executory contract[] constitutes a breach of such contract." As both parties here agree, the counterparty thus has a claim against the estate for damages resulting from the debtor's nonperformance. But such a claim is unlikely to ever be paid in full. That is because the debtor's breach is deemed to occur "immediately before the date of the filing of the [bankruptcy] petition," rather than on the actual post-petition rejection date. § 365(g)(1). By thus giving the counterparty a pre-petition claim, Section 365(g) places that party in the same boat as the debtor's unsecured creditors, who in a typical bankruptcy may receive only cents on the dollar.</w:t>
      </w:r>
    </w:p>
    <w:p w14:paraId="452BE5C2" w14:textId="77777777" w:rsidR="00A81F9F" w:rsidRDefault="00A81F9F" w:rsidP="00A81F9F">
      <w:pPr>
        <w:pStyle w:val="0-NORMAL"/>
      </w:pPr>
      <w:r>
        <w:t>In this case, the Bankruptcy Court (per usual) approved Tempnology's proposed rejection of its executory licensing agreement with Mission. That meant, as laid out above, two things on which the parties agree. First, Tempnology could stop performing under the contract. And second, Mission could assert (for whatever it might be worth) a pre-petition claim in the bankruptcy proceeding for damages resulting from Tempnology's nonperformance.</w:t>
      </w:r>
    </w:p>
    <w:p w14:paraId="401A1BF8" w14:textId="77777777" w:rsidR="00A81F9F" w:rsidRDefault="00A81F9F" w:rsidP="00A81F9F">
      <w:pPr>
        <w:pStyle w:val="0-NORMAL"/>
      </w:pPr>
      <w:r>
        <w:t xml:space="preserve">But Tempnology thought still another consequence ensued, and it returned to the Bankruptcy Court for a declaratory judgment confirming its view. According to Tempnology, its rejection of the contract also terminated the rights it had granted Mission to use the Coolcore trademarks. Tempnology based its argument on a negative inference. Several provisions in Section 365 state that a counterparty to specific kinds of agreements may keep exercising contractual rights after a debtor's rejection. For example, Section 365(h) provides that if a bankrupt landlord rejects a lease, the tenant need not move out; instead, she may stay and pay rent (just as she did before) until the lease term expires. And still closer to home, Section 365(n) sets out a similar rule for some types of intellectual property licenses: If the debtor-licensor rejects the agreement, the licensee can continue to use the property (typically, a patent), so long as it makes whatever payments the contract demands. But Tempnology pointed out that neither Section 365(n) nor any similar provision covers trademark licenses. So, it reasoned, in that sort of contract a different rule must apply: The debtor's rejection must extinguish the rights that the agreement had conferred on the trademark licensee. The Bankruptcy Court agreed. It held, relying on the same "negative inference," that Tempnology's rejection of the licensing agreement revoked Mission's right to use the Coolcore marks. </w:t>
      </w:r>
    </w:p>
    <w:p w14:paraId="44AFC06D" w14:textId="77777777" w:rsidR="00A81F9F" w:rsidRDefault="00A81F9F" w:rsidP="00A81F9F">
      <w:pPr>
        <w:pStyle w:val="0-NORMAL"/>
      </w:pPr>
      <w:r>
        <w:t>The Bankruptcy Appellate Panel reversed, relying heavily on a decision of the Court of Appeals for the Seventh Circuit about the effects of rejection on trademark licensing agreements. Rather than reason backward from Section 365(n) or similar provisions, the Panel focused on Section 365(g)'s statement that rejection of a contract "constitutes a breach." Outside bankruptcy, the court explained, the breach of an agreement does not eliminate rights the contract had already conferred on the non-breaching party. So neither could a rejection of an agreement in bankruptcy have that effect. A rejection "convert[s]" a "debtor's unfulfilled obligations" to a pre-petition damages claim. But it does not "terminate the contract" or "vaporize[]" the counterparty's rights. Mission could thus continue to use the Coolcore trademarks.</w:t>
      </w:r>
    </w:p>
    <w:p w14:paraId="2575EC71" w14:textId="77777777" w:rsidR="00A81F9F" w:rsidRDefault="00A81F9F" w:rsidP="00A81F9F">
      <w:pPr>
        <w:pStyle w:val="0-NORMAL"/>
      </w:pPr>
      <w:r>
        <w:t xml:space="preserve">But the Court of Appeals for the First Circuit rejected the Panel's and Seventh Circuit's view, and reinstated the Bankruptcy Court decision terminating Mission's license. The majority first endorsed that court's inference from Section 365(n) and similar provisions. It next reasoned that special features of trademark law counsel against allowing a licensee to retain rights to a mark after the licensing agreement's rejection. Under that body of law, the majority stated, the trademark owner's "[f]ailure to monitor and exercise [quality] control" over goods associated with a trademark "jeopardiz[es] the continued validity of [its] own trademark rights." So if (the majority continued) a licensee can keep using a mark after an agreement's rejection, the licensor will need to carry on its monitoring activities. And according to the majority, that would frustrate "Congress's principal aim in providing for rejection": to "release the debtor's estate from burdensome obligations." Ibid. (internal quotation marks omitted). Judge Torruella dissented, mainly for the Seventh Circuit's reasons. </w:t>
      </w:r>
    </w:p>
    <w:p w14:paraId="37FC7288" w14:textId="77777777" w:rsidR="00A81F9F" w:rsidRDefault="00A81F9F" w:rsidP="00A81F9F">
      <w:pPr>
        <w:pStyle w:val="0-NORMAL"/>
      </w:pPr>
      <w:r>
        <w:t>What is the effect of a debtor's (or trustee's) rejection of a contract under Section 365 of the Bankruptcy Code? The parties and courts of appeals have offered us two starkly different answers. According to one view, a rejection has the same consequence as a contract breach outside bankruptcy: It gives the counterparty a claim for damages, while leaving intact the rights the counterparty has received under the contract. According to the other view, a rejection (except in a few spheres) has more the effect of a contract rescission in the non-bankruptcy world: Though also allowing a damages claim, the rejection terminates the whole agreement along with all rights it conferred. Today, we hold that both Section 365's text and fundamental principles of bankruptcy law command the first, rejection-as-breach approach. We reject the competing claim that by specifically enabling the counterparties in some contracts to retain rights after rejection, Congress showed that it wanted the counterparties in all other contracts to lose their rights. And we reject an argument for the rescission approach turning on the distinctive features of trademark licenses. Rejection of a contract—any contract—in bankruptcy operates not as a rescission but as a breach.</w:t>
      </w:r>
    </w:p>
    <w:p w14:paraId="6AC2B02F" w14:textId="77777777" w:rsidR="00A81F9F" w:rsidRDefault="00A81F9F" w:rsidP="00A81F9F">
      <w:pPr>
        <w:pStyle w:val="0-NORMAL"/>
      </w:pPr>
      <w:r>
        <w:t>We start with the text of the Code's principal provisions on rejection— and find that it does much of the work. As noted earlier, Section 365(a) gives a debtor the option, subject to court approval, to "assume or reject any executory contract." And Section 365(g) describes what rejection means. Rejection "constitutes a breach of [an executory] contract," deemed to occur "immediately before the date of the filing of the petition."  Or said more pithily for current purposes, a rejection is a breach. And "breach" is neither a defined nor a specialized bankruptcy term. It means in the Code what it means in contract law outside bankruptcy. So the first place to go in divining the effects of rejection is to non-bankruptcy contract law, which can tell us the effects of breach.</w:t>
      </w:r>
    </w:p>
    <w:p w14:paraId="49EDE0AD" w14:textId="77777777" w:rsidR="00A81F9F" w:rsidRDefault="00A81F9F" w:rsidP="00A81F9F">
      <w:pPr>
        <w:pStyle w:val="0-NORMAL"/>
      </w:pPr>
      <w:r>
        <w:t>Consider a made-up executory contract to see how the law of breach works outside bankruptcy. A dealer leases a photocopier to a law firm, while agreeing to service it every month; in exchange, the firm commits to pay a monthly fee. During the lease term, the dealer decides to stop servicing the machine, thus breaching the agreement in a material way. The law firm now has a choice (assuming no special contract term or state law). The firm can keep up its side of the bargain, continuing to pay for use of the copier, while suing the dealer for damages from the service breach. Or the firm can call the whole deal off, halting its own payments and returning the copier, while suing for any damages incurred. But to repeat: The choice to terminate the agreement and send back the copier is for the law firm. By contrast, the dealer has no ability, based on its own breach, to terminate the agreement. Or otherwise said, the dealer cannot get back the copier just by refusing to show up for a service appointment. The contract gave the law firm continuing rights in the copier, which the dealer cannot unilaterally revoke.</w:t>
      </w:r>
    </w:p>
    <w:p w14:paraId="45D13260" w14:textId="77777777" w:rsidR="00A81F9F" w:rsidRDefault="00A81F9F" w:rsidP="00A81F9F">
      <w:pPr>
        <w:pStyle w:val="0-NORMAL"/>
      </w:pPr>
      <w:r>
        <w:t>And now to return to bankruptcy: If the rejection of the photocopier contract "constitutes a breach," as the Code says, then the same results should follow (save for one twist as to timing). Assume here that the dealer files a Chapter 11 petition and decides to reject its agreement with the law firm. That means, as above, that the dealer will stop servicing the copier. It means, too, that the law firm has an option about how to respond—continue the contract or walk away, while suing for whatever damages go with its choice. (Here is where the twist comes in: Because the rejection is deemed to occur "immediately before" bankruptcy, the firm's damages suit is treated as a pre-petition claim on the estate, which will likely receive only cents on the dollar. And most important, it means that assuming the law firm wants to keep using the copier, the dealer cannot take it back. A rejection does not terminate the contract. When it occurs, the debtor and counterparty do not go back to their pre-contract positions. Instead, the counterparty retains the rights it has received under the agreement. As after a breach, so too after a rejection, those rights survive.</w:t>
      </w:r>
    </w:p>
    <w:p w14:paraId="05866B70" w14:textId="4F50BDCC" w:rsidR="00A81F9F" w:rsidRDefault="00A81F9F" w:rsidP="00A81F9F">
      <w:pPr>
        <w:pStyle w:val="0-NORMAL"/>
      </w:pPr>
      <w:r>
        <w:t>All of this, it will hardly surprise you to learn, is not just about photocopier leases. Sections 365(a) and (g) speak broadly, to "any executory contract[s]." Many licensing agreements involving trademarks or other property are of that kind (including, all agree, the Tempnology-Mission contract). The licensor not only grants a license, but provides associated goods or services during its term; the licensee pays continuing royalties or fees. If the licensor breaches the agreement outside bankruptcy (again, barring any special contract term or state law), everything said above goes. In particular, the breach does not revoke the license or stop the licensee from doing what it allows. And because rejection "constitutes a breach," § 365(g), the same consequences follow in bankruptcy. The debtor can stop performing its remaining obligations under the agreement. But the debtor cannot rescind the license already conveyed. So the licensee can continue to do whatever the license authorizes.</w:t>
      </w:r>
    </w:p>
    <w:p w14:paraId="10D46402" w14:textId="77777777" w:rsidR="00A81F9F" w:rsidRDefault="00A81F9F" w:rsidP="00A81F9F">
      <w:pPr>
        <w:pStyle w:val="0-NORMAL"/>
      </w:pPr>
      <w:r>
        <w:t>In preserving those rights, Section 365 reflects a general bankruptcy rule: The estate cannot possess anything more than the debtor itself did outside bankruptcy. As one bankruptcy scholar has put the point: Whatever "limitation[s] on the debtor's property [apply] outside of bankruptcy[] appl[y] inside of bankruptcy as well. A debtor's property does not shrink by happenstance of bankruptcy, but it does not expand, either." D. Baird, Elements of Bankruptcy 97 (6th ed. 2014). So if the not-yet debtor was subject to a counterparty's contractual right (say, to retain a copier or use a trademark), so too is the trustee or debtor once the bankruptcy petition has been filed. The rejection-as-breach rule (but not the rejection-as-rescission rule) ensures that result. By insisting that the same counterparty rights survive rejection as survive breach, the rule prevents a debtor in bankruptcy from recapturing interests it had given up.</w:t>
      </w:r>
    </w:p>
    <w:p w14:paraId="3F0D5CAB" w14:textId="77777777" w:rsidR="00A81F9F" w:rsidRDefault="00A81F9F" w:rsidP="00A81F9F">
      <w:pPr>
        <w:pStyle w:val="0-NORMAL"/>
      </w:pPr>
      <w:r>
        <w:t>And conversely, the rejection-as-rescission approach would circumvent the Code's stringent limits on "avoidance" actions—the exceptional cases in which trustees (or debtors) may indeed unwind pre-bankruptcy transfers that undermine the bankruptcy process. The most notable example is for fraudulent conveyances— usually, something-for-nothing transfers that deplete the estate (and so cheat creditors) on the eve of bankruptcy. See § 548(a). A trustee's avoidance powers are laid out in a discrete set of sections in the Code, see §§ 544-553, far away from Section 365. And they can be invoked in only narrow circumstances—unlike the power of rejection, which may be exercised for any plausible economic reason. See, e.g., § 548(a) (describing the requirements for avoiding fraudulent transfers). If trustees (or debtors) could use rejection to rescind previously granted interests, then rejection would become functionally equivalent to avoidance. Both, that is, would roll back a prior transfer. And that result would subvert everything the Code does to keep avoidances cabined—so they do not threaten the rule that the estate can take only what the debtor possessed before filing. Again, then, core tenets of bankruptcy law push in the same direction as Section 365's text: Rejection is breach, and has only its consequences.</w:t>
      </w:r>
    </w:p>
    <w:p w14:paraId="7EA8F1F2" w14:textId="77777777" w:rsidR="00A81F9F" w:rsidRDefault="00A81F9F" w:rsidP="00A81F9F">
      <w:pPr>
        <w:pStyle w:val="0-NORMAL"/>
      </w:pPr>
      <w:r>
        <w:t xml:space="preserve">Tempnology's main argument to the contrary, here as in the courts below, rests on a negative inference. Several provisions of Section 365, Tempnology notes, "identif[y] categories of contracts under which a counterparty" may retain specified contract rights "notwithstanding rejection." Sections 365(h) and (i) make clear that certain purchasers and lessees of real property and timeshare interests can continue to exercise rights after a debtor has rejected the lease or sales contract. See § 365(h)(1) (real-property leases); § 365(i) (real-property sales contracts); §§ 365(h)(2), (i) (timeshare interests). And Section 365(n) similarly provides that licensees of some intellectual property—but not trademarks—retain contractual rights after rejection. See § 365(n); § 101(35A). Tempnology argues from those provisions that the ordinary consequence of rejection must be something different—i.e., the termination, rather than survival, of contractual rights previously granted. Otherwise, Tempnology concludes, the statute's "general rule" would "swallow the exceptions." </w:t>
      </w:r>
    </w:p>
    <w:p w14:paraId="3256CB59" w14:textId="2336FB88" w:rsidR="00A81F9F" w:rsidRDefault="00A81F9F" w:rsidP="00A81F9F">
      <w:pPr>
        <w:pStyle w:val="0-NORMAL"/>
      </w:pPr>
      <w:r>
        <w:t>But that argument pays too little heed to the main provisions governing rejection and too much to subsidiary ones. On the one hand, it offers no account of how to read Section 365(g) (recall, rejection "constitutes a breach") to say essentially its opposite (i.e., that rejection and breach have divergent consequences). On the other hand, it treats as a neat, reticulated scheme of "narrowly tailored exception[s],"  what history reveals to be anything but. Each of the provisions Tempnology highlights emerged at a different time, over a span of half a century. And each responded to a discrete problem—as often as not, correcting a judicial ruling of just the kind Tempnology urges. See Andrew, Executory Contracts in Bankruptcy, 59 U. Colo. L. Rev. 845, 911-912 (1988) (identifying judicial decisions that the provisions overturned)</w:t>
      </w:r>
      <w:r w:rsidR="004751D0">
        <w:t xml:space="preserve">. </w:t>
      </w:r>
      <w:r>
        <w:t>Read as generously as possible to Tempnology, this mash-up of legislative interventions says nothing much of anything about the content of Section 365(g)'s general rule. Read less generously, it affirmatively refutes Tempnology's rendition. As one bankruptcy scholar noted after an exhaustive review of the history: "What the legislative record [reflects] is that whenever Congress has been confronted with the consequences of the [view that rejection terminates all contractual rights], it has expressed its disapproval." Andrew, 59 U. Colo. L. Rev., at 928. On that account, Congress enacted the provisions, as and when needed, to reinforce or clarify the general rule that contractual rights survive rejection.</w:t>
      </w:r>
    </w:p>
    <w:p w14:paraId="46C3E7AE" w14:textId="77777777" w:rsidR="00A81F9F" w:rsidRDefault="00A81F9F" w:rsidP="00A81F9F">
      <w:pPr>
        <w:pStyle w:val="0-NORMAL"/>
      </w:pPr>
      <w:r>
        <w:t xml:space="preserve">Consider more closely, for example, Congress's enactment of Section 365(n), which addresses certain intellectual property licensing agreements. No one disputes how that provision came about. In </w:t>
      </w:r>
      <w:r w:rsidRPr="00350D7D">
        <w:rPr>
          <w:i/>
          <w:iCs/>
        </w:rPr>
        <w:t>Lubrizol Enterprises v. Richmond Metal Finishers</w:t>
      </w:r>
      <w:r>
        <w:t xml:space="preserve">, the Fourth Circuit held that a debtor's rejection of an executory contract worked to revoke its grant of a patent license. In other words, Lubrizol adopted the same rule for patent licenses that the First Circuit announced for trademark licenses here. Congress sprang into action, drafting Section 365(n) to reverse </w:t>
      </w:r>
      <w:r w:rsidRPr="00350D7D">
        <w:rPr>
          <w:i/>
          <w:iCs/>
        </w:rPr>
        <w:t>Lubrizol</w:t>
      </w:r>
      <w:r>
        <w:t xml:space="preserve"> and ensure the continuation of patent (and some other intellectual property) licensees' rights. As Tempnology highlights, that provision does not cover trademark licensing agreements, which continue to fall, along with most other contracts, within Section 365(g)'s general rule. But what of that? Even put aside the claim that Section 365(n) is part of a pattern—that Congress whacked Tempnology's view of rejection wherever it raised its head. Still, Congress's repudiation of </w:t>
      </w:r>
      <w:r w:rsidRPr="00350D7D">
        <w:rPr>
          <w:i/>
          <w:iCs/>
        </w:rPr>
        <w:t>Lubrizol</w:t>
      </w:r>
      <w:r>
        <w:t xml:space="preserve"> for patent contracts does not show any intent to ratify that decision's approach for almost all others. Which is to say that no negative inference arises. Congress did nothing in adding Section 365(n) to alter the natural reading of Section 365(g)—that rejection and breach have the same results.</w:t>
      </w:r>
    </w:p>
    <w:p w14:paraId="649BC996" w14:textId="77777777" w:rsidR="00A81F9F" w:rsidRDefault="00A81F9F" w:rsidP="00A81F9F">
      <w:pPr>
        <w:pStyle w:val="0-NORMAL"/>
      </w:pPr>
      <w:r>
        <w:t xml:space="preserve">Tempnology's remaining argument turns on the way special features of trademark law may affect the fulfillment of the Code's goals. Like the First Circuit below, Tempnology here focuses on a trademark licensor's duty to monitor and "exercise quality control over the goods and services sold" under a license. Absent those efforts to keep up quality, the mark will naturally decline in value and may eventually become altogether invalid. So (Tempnology argues) unless rejection of a trademark licensing agreement terminates the licensee's rights to use the mark, the debtor will have to choose between expending scarce resources on quality control and risking the loss of a valuable asset. "Either choice," Tempnology concludes, "would impede a [debtor's] ability to reorganize," thus "undermining a fundamental purpose of the Code." </w:t>
      </w:r>
    </w:p>
    <w:p w14:paraId="4791755B" w14:textId="77777777" w:rsidR="00A81F9F" w:rsidRDefault="00A81F9F" w:rsidP="00A81F9F">
      <w:pPr>
        <w:pStyle w:val="0-NORMAL"/>
      </w:pPr>
      <w:r>
        <w:t>To begin with, that argument is a mismatch with Tempnology's reading of Section 365. The argument is trademark-specific. But Tempnology's reading of Section 365 is not. Remember, Tempnology construes that section to mean that a debtor's rejection of a contract terminates the counterparty's rights "unless the contract falls within an express statutory exception." That construction treats trademark agreements identically to most other contracts; the only agreements getting different treatment are those falling within the discrete provisions just discussed. And indeed, Tempnology could not have discovered, however hard it looked, any trademark-specific rule in Section 365. That section's special provisions, as all agree, do not mention trademarks; and the general provisions speak, well, generally. So Tempnology is essentially arguing that distinctive features of trademarks should persuade us to adopt a construction of Section 365 that will govern not just trademark agreements, but pretty nearly every executory contract. However serious Tempnology's trademark-related concerns, that would allow the tail to wag the Doberman.</w:t>
      </w:r>
    </w:p>
    <w:p w14:paraId="324FF32F" w14:textId="77777777" w:rsidR="00A81F9F" w:rsidRDefault="00A81F9F" w:rsidP="00A81F9F">
      <w:pPr>
        <w:pStyle w:val="0-NORMAL"/>
      </w:pPr>
      <w:r>
        <w:t>And even putting aside that incongruity, Tempnology's plea to facilitate trademark licensors' reorganizations cannot overcome what Sections 365(a) and (g) direct. The Code of course aims to make reorganizations possible. But it does not permit anything and everything that might advance that goal. Here, Section 365 provides a debtor like Tempnology with a powerful tool: Through rejection, the debtor can escape all of its future contract obligations, without having to pay much of anything in return. But in allowing rejection of those contractual duties, Section 365 does not grant the debtor an exemption from all the burdens that generally applicable law—whether involving contracts or trademarks—imposes on property owners. Nor does Section 365 relieve the debtor of the need, against the backdrop of that law, to make economic decisions about preserving the estate's value—such as whether to invest the resources needed to maintain a trademark. In thus delineating the burdens that a debtor may and may not escape, Congress also weighed (among other things) the legitimate interests and expectations of the debtor's counterparties. The resulting balance may indeed impede some reorganizations, of trademark licensors and others. But that is only to say that Section 365's edict that rejection is breach expresses a more complex set of aims than Tempnology acknowledges.</w:t>
      </w:r>
    </w:p>
    <w:p w14:paraId="44DEBD7C" w14:textId="433E2515" w:rsidR="00A81F9F" w:rsidRDefault="00A81F9F" w:rsidP="00A81F9F">
      <w:pPr>
        <w:pStyle w:val="0-NORMAL"/>
        <w:ind w:firstLine="0"/>
      </w:pPr>
      <w:r>
        <w:t>For the reasons stated above, we hold that under Section 365, a debtor's rejection of an executory contract in bankruptcy has the same effect as a breach outside bankruptcy. Such an act cannot rescind rights that the contract previously granted. Here, that construction of Section 365 means that the debtor-licensor's rejection cannot revoke the trademark license.</w:t>
      </w:r>
    </w:p>
    <w:p w14:paraId="42218107" w14:textId="77777777" w:rsidR="00D72D96" w:rsidRPr="007A5BBC" w:rsidRDefault="00D72D96" w:rsidP="00A81F9F">
      <w:pPr>
        <w:pStyle w:val="0-NORMAL"/>
        <w:ind w:firstLine="0"/>
      </w:pPr>
    </w:p>
    <w:p w14:paraId="301826A6" w14:textId="6C7B6AC1" w:rsidR="00A81F9F" w:rsidRPr="00D72D96" w:rsidRDefault="007C1024" w:rsidP="00A3718E">
      <w:pPr>
        <w:pStyle w:val="Heading3"/>
        <w:rPr>
          <w:u w:val="single"/>
        </w:rPr>
      </w:pPr>
      <w:hyperlink r:id="rId164" w:history="1">
        <w:bookmarkStart w:id="2841" w:name="_Toc87039266"/>
        <w:bookmarkStart w:id="2842" w:name="_Toc90983662"/>
        <w:r w:rsidR="00A81F9F" w:rsidRPr="00D72D96">
          <w:rPr>
            <w:rStyle w:val="Hyperlink"/>
          </w:rPr>
          <w:t>IN RE GARDINIER, INC., 831 F.2d 974 (11th Cir. 1987)</w:t>
        </w:r>
        <w:bookmarkEnd w:id="2841"/>
        <w:bookmarkEnd w:id="2842"/>
      </w:hyperlink>
      <w:bookmarkStart w:id="2843" w:name="_Toc79693040"/>
      <w:bookmarkStart w:id="2844" w:name="_Toc79693360"/>
      <w:bookmarkStart w:id="2845" w:name="_Toc79693680"/>
      <w:bookmarkStart w:id="2846" w:name="_Toc79693997"/>
      <w:bookmarkStart w:id="2847" w:name="_Toc79694315"/>
      <w:bookmarkStart w:id="2848" w:name="_Toc79694637"/>
      <w:bookmarkStart w:id="2849" w:name="_Toc79694949"/>
      <w:bookmarkStart w:id="2850" w:name="_Toc79695265"/>
      <w:bookmarkStart w:id="2851" w:name="_Toc79695581"/>
      <w:bookmarkStart w:id="2852" w:name="_Toc79695897"/>
      <w:bookmarkStart w:id="2853" w:name="_Toc79696213"/>
      <w:bookmarkStart w:id="2854" w:name="_Toc79696529"/>
      <w:bookmarkStart w:id="2855" w:name="_Toc79696850"/>
      <w:bookmarkStart w:id="2856" w:name="_Toc79697182"/>
      <w:bookmarkStart w:id="2857" w:name="_Toc79697511"/>
      <w:bookmarkStart w:id="2858" w:name="_Toc79699182"/>
      <w:bookmarkStart w:id="2859" w:name="_Toc79699508"/>
      <w:bookmarkStart w:id="2860" w:name="_Toc79699846"/>
      <w:bookmarkStart w:id="2861" w:name="_Toc79700166"/>
      <w:bookmarkStart w:id="2862" w:name="_Toc79700488"/>
      <w:bookmarkStart w:id="2863" w:name="_Toc79700810"/>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r w:rsidR="00D72D96" w:rsidRPr="00D72D96">
        <w:rPr>
          <w:rStyle w:val="Hyperlink"/>
        </w:rPr>
        <w:br/>
      </w:r>
    </w:p>
    <w:p w14:paraId="298F77A9"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7FEE6190"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7721C2F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 xml:space="preserve">On March 22, 1985, pursuant to sections 363(b) and 365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6541DFCA" w14:textId="77777777" w:rsidR="00A81F9F" w:rsidRPr="007A5BBC" w:rsidRDefault="00A81F9F" w:rsidP="00A3718E">
      <w:pPr>
        <w:pStyle w:val="0-NORMAL"/>
      </w:pPr>
      <w:r w:rsidRPr="007A5BBC">
        <w:t xml:space="preserve">The bankruptcy court denied payment of the broker's commission out of the sales proceeds, but acknowledged Kilgore's right to file a proof of claim for its unsecured, non-priority, pre-petition claim to the commission. </w:t>
      </w:r>
    </w:p>
    <w:p w14:paraId="2B3322AC"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63C5F59A" w14:textId="77777777" w:rsidR="00A81F9F" w:rsidRPr="007A5BBC" w:rsidRDefault="00A81F9F" w:rsidP="00A81F9F">
      <w:pPr>
        <w:ind w:firstLine="720"/>
        <w:jc w:val="both"/>
        <w:rPr>
          <w:rFonts w:ascii="Times New Roman" w:hAnsi="Times New Roman"/>
          <w:szCs w:val="24"/>
        </w:rPr>
      </w:pPr>
      <w:r w:rsidRPr="007A5BBC">
        <w:rPr>
          <w:rFonts w:ascii="Times New Roman" w:hAnsi="Times New Roman"/>
          <w:szCs w:val="24"/>
        </w:rPr>
        <w:t>Although there is only one document memorializing this transaction, there is otherwise no clear indication from the face of the instrument that the parties intended to make only one 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distinct. Burley agreed to pay Gardinier in excess of $5 million in consideration for the Goldstein tract. Gardinier separately agreed to pay Kilgore a commission as consideration for services 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458FE207" w14:textId="55BB5537" w:rsidR="00A81F9F" w:rsidRDefault="00A81F9F" w:rsidP="00A81F9F">
      <w:pPr>
        <w:pStyle w:val="0-NORMAL"/>
        <w:ind w:firstLine="0"/>
      </w:pPr>
      <w:r w:rsidRPr="007A5BBC">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t xml:space="preserve">. </w:t>
      </w:r>
      <w:r w:rsidRPr="007A5BBC">
        <w:t>Because Kilgore has not demonstrated that its agreement with Gardinier entitles it to special treatment, it must suffer the consequences of Gardinier's bankruptcy along with the other general creditors.</w:t>
      </w:r>
    </w:p>
    <w:p w14:paraId="0EC0F66D" w14:textId="0A5E4AA6" w:rsidR="00D72D96" w:rsidRDefault="00D72D96" w:rsidP="00A81F9F">
      <w:pPr>
        <w:pStyle w:val="0-NORMAL"/>
        <w:ind w:firstLine="0"/>
      </w:pPr>
    </w:p>
    <w:p w14:paraId="5E62727B" w14:textId="01CED106" w:rsidR="00716DB2" w:rsidRDefault="00716DB2" w:rsidP="00A81F9F">
      <w:pPr>
        <w:pStyle w:val="0-NORMAL"/>
        <w:ind w:firstLine="0"/>
      </w:pPr>
    </w:p>
    <w:p w14:paraId="76357BB7" w14:textId="77777777" w:rsidR="00716DB2" w:rsidRDefault="00716DB2" w:rsidP="00A81F9F">
      <w:pPr>
        <w:pStyle w:val="0-NORMAL"/>
        <w:ind w:firstLine="0"/>
      </w:pPr>
    </w:p>
    <w:p w14:paraId="1FD80A87" w14:textId="7E3CA50E" w:rsidR="00A81F9F" w:rsidRPr="00752DD4" w:rsidRDefault="00A81F9F" w:rsidP="00D72D96">
      <w:pPr>
        <w:pStyle w:val="Heading2"/>
        <w:spacing w:line="240" w:lineRule="auto"/>
      </w:pPr>
      <w:bookmarkStart w:id="2864" w:name="_Toc79699183"/>
      <w:bookmarkStart w:id="2865" w:name="_Toc79699509"/>
      <w:bookmarkStart w:id="2866" w:name="_Toc79699847"/>
      <w:bookmarkStart w:id="2867" w:name="_Toc79700167"/>
      <w:bookmarkStart w:id="2868" w:name="_Toc79700489"/>
      <w:bookmarkStart w:id="2869" w:name="_Toc87039267"/>
      <w:bookmarkStart w:id="2870" w:name="_Toc90983663"/>
      <w:r>
        <w:t xml:space="preserve">Can Contracts that are Not Assignable </w:t>
      </w:r>
      <w:r w:rsidR="00C0322E">
        <w:t>U</w:t>
      </w:r>
      <w:r>
        <w:t>nder State Law Be Assigned in Bankruptcy?</w:t>
      </w:r>
      <w:bookmarkStart w:id="2871" w:name="_Toc79693041"/>
      <w:bookmarkStart w:id="2872" w:name="_Toc79693361"/>
      <w:bookmarkStart w:id="2873" w:name="_Toc79693681"/>
      <w:bookmarkStart w:id="2874" w:name="_Toc79693998"/>
      <w:bookmarkStart w:id="2875" w:name="_Toc79694638"/>
      <w:bookmarkStart w:id="2876" w:name="_Toc79695266"/>
      <w:bookmarkStart w:id="2877" w:name="_Toc79697512"/>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r w:rsidR="00D72D96">
        <w:br/>
      </w:r>
    </w:p>
    <w:p w14:paraId="0FFF2086" w14:textId="2F210456" w:rsidR="00BA5AAA" w:rsidRPr="00D72D96" w:rsidRDefault="007C1024" w:rsidP="00D72D96">
      <w:pPr>
        <w:pStyle w:val="Heading3"/>
        <w:rPr>
          <w:u w:val="single"/>
        </w:rPr>
      </w:pPr>
      <w:hyperlink r:id="rId165" w:history="1">
        <w:bookmarkStart w:id="2878" w:name="_Toc87039268"/>
        <w:bookmarkStart w:id="2879" w:name="_Toc90983664"/>
        <w:r w:rsidR="00BA5AAA" w:rsidRPr="00D72D96">
          <w:rPr>
            <w:rStyle w:val="Hyperlink"/>
          </w:rPr>
          <w:t>I</w:t>
        </w:r>
        <w:r w:rsidR="00680A90" w:rsidRPr="00D72D96">
          <w:rPr>
            <w:rStyle w:val="Hyperlink"/>
          </w:rPr>
          <w:t xml:space="preserve">N RE JAMESWAY CORPORATION, </w:t>
        </w:r>
        <w:r w:rsidR="00BA5AAA" w:rsidRPr="00D72D96">
          <w:rPr>
            <w:rStyle w:val="Hyperlink"/>
          </w:rPr>
          <w:t>201 B.R. 73 (Bankr. S</w:t>
        </w:r>
        <w:r w:rsidR="00434F60" w:rsidRPr="00D72D96">
          <w:rPr>
            <w:rStyle w:val="Hyperlink"/>
          </w:rPr>
          <w:t>.</w:t>
        </w:r>
        <w:r w:rsidR="00BA5AAA" w:rsidRPr="00D72D96">
          <w:rPr>
            <w:rStyle w:val="Hyperlink"/>
          </w:rPr>
          <w:t>D</w:t>
        </w:r>
        <w:r w:rsidR="00434F60" w:rsidRPr="00D72D96">
          <w:rPr>
            <w:rStyle w:val="Hyperlink"/>
          </w:rPr>
          <w:t>.</w:t>
        </w:r>
        <w:r w:rsidR="00BA5AAA" w:rsidRPr="00D72D96">
          <w:rPr>
            <w:rStyle w:val="Hyperlink"/>
          </w:rPr>
          <w:t>N</w:t>
        </w:r>
        <w:r w:rsidR="00434F60" w:rsidRPr="00D72D96">
          <w:rPr>
            <w:rStyle w:val="Hyperlink"/>
          </w:rPr>
          <w:t>.</w:t>
        </w:r>
        <w:r w:rsidR="00BA5AAA" w:rsidRPr="00D72D96">
          <w:rPr>
            <w:rStyle w:val="Hyperlink"/>
          </w:rPr>
          <w:t>Y</w:t>
        </w:r>
        <w:r w:rsidR="00434F60" w:rsidRPr="00D72D96">
          <w:rPr>
            <w:rStyle w:val="Hyperlink"/>
          </w:rPr>
          <w:t>.</w:t>
        </w:r>
        <w:r w:rsidR="00BA5AAA" w:rsidRPr="00D72D96">
          <w:rPr>
            <w:rStyle w:val="Hyperlink"/>
          </w:rPr>
          <w:t xml:space="preserve"> 1996)</w:t>
        </w:r>
        <w:bookmarkEnd w:id="2878"/>
        <w:bookmarkEnd w:id="2879"/>
      </w:hyperlink>
      <w:bookmarkStart w:id="2880" w:name="_Toc79693042"/>
      <w:bookmarkStart w:id="2881" w:name="_Toc79693362"/>
      <w:bookmarkStart w:id="2882" w:name="_Toc79693682"/>
      <w:bookmarkStart w:id="2883" w:name="_Toc79693999"/>
      <w:bookmarkStart w:id="2884" w:name="_Toc79694317"/>
      <w:bookmarkStart w:id="2885" w:name="_Toc79694639"/>
      <w:bookmarkStart w:id="2886" w:name="_Toc79694951"/>
      <w:bookmarkStart w:id="2887" w:name="_Toc79695267"/>
      <w:bookmarkStart w:id="2888" w:name="_Toc79695583"/>
      <w:bookmarkStart w:id="2889" w:name="_Toc79695899"/>
      <w:bookmarkStart w:id="2890" w:name="_Toc79696215"/>
      <w:bookmarkStart w:id="2891" w:name="_Toc79696531"/>
      <w:bookmarkStart w:id="2892" w:name="_Toc79696852"/>
      <w:bookmarkStart w:id="2893" w:name="_Toc79697184"/>
      <w:bookmarkStart w:id="2894" w:name="_Toc79697513"/>
      <w:bookmarkStart w:id="2895" w:name="_Toc79699184"/>
      <w:bookmarkStart w:id="2896" w:name="_Toc79699510"/>
      <w:bookmarkStart w:id="2897" w:name="_Toc79699848"/>
      <w:bookmarkStart w:id="2898" w:name="_Toc79700168"/>
      <w:bookmarkStart w:id="2899" w:name="_Toc79700490"/>
      <w:bookmarkStart w:id="2900" w:name="_Toc79700812"/>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r w:rsidR="00D72D96" w:rsidRPr="00D72D96">
        <w:rPr>
          <w:rStyle w:val="Hyperlink"/>
        </w:rPr>
        <w:br/>
      </w:r>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As of the petition date, Jamesway and Mass Mutual were parties to the "Newberry Lease,” whereby 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t>[I</w:t>
      </w:r>
      <w:r w:rsidR="00BA5AAA" w:rsidRPr="007A5BBC">
        <w:rPr>
          <w:rFonts w:ascii="Times New Roman" w:hAnsi="Times New Roman"/>
          <w:szCs w:val="24"/>
        </w:rPr>
        <w:t xml:space="preserve">]f Tenant assigns this Lease or sublets all or substantially all of the demised premises . . . and such assignment or subletting 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7DB94EAA" w:rsidR="00BA5AAA" w:rsidRPr="007A5BBC" w:rsidRDefault="00BA5AAA" w:rsidP="001E2B43">
      <w:pPr>
        <w:jc w:val="both"/>
        <w:rPr>
          <w:rFonts w:ascii="Times New Roman" w:hAnsi="Times New Roman"/>
          <w:szCs w:val="24"/>
        </w:rPr>
      </w:pPr>
      <w:r w:rsidRPr="007A5BBC">
        <w:rPr>
          <w:rFonts w:ascii="Times New Roman" w:hAnsi="Times New Roman"/>
          <w:szCs w:val="24"/>
        </w:rPr>
        <w:t>Newberry Lease ¶ 17. On or about February 9, 1996, Jamesway moved under § 365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63F3F09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Jamesway contends that the subject lease provisions are void and unenforceable under § 365(f)(1)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 365(f)(1) does not empower us to nullify the profit sharing provisions in the lease, but merely permits us to authorize the assignment over its objection. It argues that our power to invalidate lease provisions is limited by § 365(f)(3) to "ipso facto" or forfeiture provisions and that to hold otherwise will read § 365(f)(3) out of the statute. </w:t>
      </w:r>
    </w:p>
    <w:p w14:paraId="6DEF75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Courts do not have carte blanche to rewrite leases under §§ 365(f)(1) and (f)(3) or any provision of the statute. However, § 365 reflects the clear Congressional policy of assisting the debtor to realize the equity in all of its assets. Toward that end, § 365(f)(1)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 365(f)(3) superfluous.</w:t>
      </w:r>
    </w:p>
    <w:p w14:paraId="28E68AE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 365(f)(1) to invalidate provisions restricting, conditioning or prohibiting debtor's right to assign the subject lease. </w:t>
      </w:r>
      <w:bookmarkStart w:id="2901" w:name="OLE_LINK38"/>
      <w:bookmarkStart w:id="2902" w:name="OLE_LINK39"/>
      <w:r w:rsidRPr="007A5BBC">
        <w:rPr>
          <w:rFonts w:ascii="Times New Roman" w:hAnsi="Times New Roman"/>
          <w:szCs w:val="24"/>
        </w:rPr>
        <w:t xml:space="preserve">[L]ease provisions conditioning a debtor-in-possession's right to assignment upon the payment of some portion of the "profit" realized upon such assignment are routinely invalidated under § 365(f)(1). </w:t>
      </w:r>
    </w:p>
    <w:p w14:paraId="2F6AA5B8" w14:textId="4597C718" w:rsidR="00A81F9F" w:rsidRDefault="00BA5AAA" w:rsidP="00A81F9F">
      <w:pPr>
        <w:ind w:firstLine="720"/>
        <w:jc w:val="both"/>
        <w:rPr>
          <w:rFonts w:ascii="Times New Roman" w:hAnsi="Times New Roman"/>
          <w:szCs w:val="24"/>
        </w:rPr>
      </w:pPr>
      <w:r w:rsidRPr="007A5BBC">
        <w:rPr>
          <w:rFonts w:ascii="Times New Roman" w:hAnsi="Times New Roman"/>
          <w:szCs w:val="24"/>
        </w:rPr>
        <w:t>The Landlords cannot, by artful drafting, thwart the fundamental bankruptcy policy allowing a debtor to realize maximum value from its assigned leases for the benefit of its estate and creditors</w:t>
      </w:r>
      <w:bookmarkEnd w:id="2901"/>
      <w:bookmarkEnd w:id="2902"/>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6ABDB6F6" w14:textId="77777777" w:rsidR="00D72D96" w:rsidRPr="007A5BBC" w:rsidRDefault="00D72D96" w:rsidP="00A81F9F">
      <w:pPr>
        <w:ind w:firstLine="720"/>
        <w:jc w:val="both"/>
        <w:rPr>
          <w:rFonts w:ascii="Times New Roman" w:hAnsi="Times New Roman"/>
          <w:szCs w:val="24"/>
        </w:rPr>
      </w:pPr>
    </w:p>
    <w:p w14:paraId="00A6FD88" w14:textId="7BD44239" w:rsidR="00BA5AAA" w:rsidRPr="007A5BBC" w:rsidRDefault="00D07AAD" w:rsidP="00D72D96">
      <w:pPr>
        <w:pStyle w:val="Heading2"/>
        <w:spacing w:line="240" w:lineRule="auto"/>
      </w:pPr>
      <w:bookmarkStart w:id="2903" w:name="_Toc79699185"/>
      <w:bookmarkStart w:id="2904" w:name="_Toc79699511"/>
      <w:bookmarkStart w:id="2905" w:name="_Toc79699849"/>
      <w:bookmarkStart w:id="2906" w:name="_Toc79700169"/>
      <w:bookmarkStart w:id="2907" w:name="_Toc79700491"/>
      <w:bookmarkStart w:id="2908" w:name="_Toc87039269"/>
      <w:bookmarkStart w:id="2909" w:name="_Toc90983665"/>
      <w:r>
        <w:t>The Obligation to Perform Executory Contracts</w:t>
      </w:r>
      <w:bookmarkStart w:id="2910" w:name="_Toc79693043"/>
      <w:bookmarkStart w:id="2911" w:name="_Toc79693363"/>
      <w:bookmarkStart w:id="2912" w:name="_Toc79693683"/>
      <w:bookmarkStart w:id="2913" w:name="_Toc79694000"/>
      <w:bookmarkStart w:id="2914" w:name="_Toc79694640"/>
      <w:bookmarkStart w:id="2915" w:name="_Toc79695268"/>
      <w:bookmarkStart w:id="2916" w:name="_Toc79697514"/>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r w:rsidR="00D72D96">
        <w:br/>
      </w:r>
    </w:p>
    <w:p w14:paraId="215907B3" w14:textId="628A8D7D" w:rsidR="00BA5AAA" w:rsidRPr="00D72D96" w:rsidRDefault="007C1024" w:rsidP="00D72D96">
      <w:pPr>
        <w:pStyle w:val="Heading3"/>
        <w:rPr>
          <w:u w:val="single"/>
        </w:rPr>
      </w:pPr>
      <w:hyperlink r:id="rId166" w:history="1">
        <w:bookmarkStart w:id="2917" w:name="_Toc87039270"/>
        <w:bookmarkStart w:id="2918" w:name="_Toc90983666"/>
        <w:r w:rsidR="00BA5AAA" w:rsidRPr="00D72D96">
          <w:rPr>
            <w:rStyle w:val="Hyperlink"/>
          </w:rPr>
          <w:t>I</w:t>
        </w:r>
        <w:r w:rsidR="00680A90" w:rsidRPr="00D72D96">
          <w:rPr>
            <w:rStyle w:val="Hyperlink"/>
          </w:rPr>
          <w:t xml:space="preserve">N RE COMPUTER COMMUNICATIONS, INC., </w:t>
        </w:r>
        <w:r w:rsidR="00BA5AAA" w:rsidRPr="00D72D96">
          <w:rPr>
            <w:rStyle w:val="Hyperlink"/>
          </w:rPr>
          <w:t>824 F.2d 725 (9th Cir. 1987)</w:t>
        </w:r>
        <w:bookmarkEnd w:id="2917"/>
        <w:bookmarkEnd w:id="2918"/>
      </w:hyperlink>
      <w:bookmarkStart w:id="2919" w:name="_Toc79693044"/>
      <w:bookmarkStart w:id="2920" w:name="_Toc79693364"/>
      <w:bookmarkStart w:id="2921" w:name="_Toc79693684"/>
      <w:bookmarkStart w:id="2922" w:name="_Toc79694001"/>
      <w:bookmarkStart w:id="2923" w:name="_Toc79694319"/>
      <w:bookmarkStart w:id="2924" w:name="_Toc79694641"/>
      <w:bookmarkStart w:id="2925" w:name="_Toc79694953"/>
      <w:bookmarkStart w:id="2926" w:name="_Toc79695269"/>
      <w:bookmarkStart w:id="2927" w:name="_Toc79695585"/>
      <w:bookmarkStart w:id="2928" w:name="_Toc79695901"/>
      <w:bookmarkStart w:id="2929" w:name="_Toc79696217"/>
      <w:bookmarkStart w:id="2930" w:name="_Toc79696533"/>
      <w:bookmarkStart w:id="2931" w:name="_Toc79696854"/>
      <w:bookmarkStart w:id="2932" w:name="_Toc79697186"/>
      <w:bookmarkStart w:id="2933" w:name="_Toc79697515"/>
      <w:bookmarkStart w:id="2934" w:name="_Toc79699186"/>
      <w:bookmarkStart w:id="2935" w:name="_Toc79699512"/>
      <w:bookmarkStart w:id="2936" w:name="_Toc79699850"/>
      <w:bookmarkStart w:id="2937" w:name="_Toc79700170"/>
      <w:bookmarkStart w:id="2938" w:name="_Toc79700492"/>
      <w:bookmarkStart w:id="2939" w:name="_Toc79700814"/>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r w:rsidR="00D72D96" w:rsidRPr="00D72D96">
        <w:rPr>
          <w:rStyle w:val="Hyperlink"/>
        </w:rPr>
        <w:br/>
      </w:r>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failed to make its minimum purchase for the quarter ending December 31, 1980, and has failed to make its quarterly minimum purchase every quarter since.</w:t>
      </w:r>
    </w:p>
    <w:p w14:paraId="5AE7DEE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CCI filed suit in bankruptcy court on January 30, 1981 for injunctive relief and damages asserting that Codex had wrongfully repudiated the contract and had violated the automatic stay provision of the Bankruptcy Code, 11 U.S.C. § 362.</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 . . held that 11 U.S.C. § 365(e)(1) made the bankruptcy default clause unenforceable, the automatic stay of 11 U.S.C. § 362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11 U.S.C. § 362 provides that the filing of a bankruptcy petition automatically stays "any act to obtain possession of property of the estate...." 11 U.S.C. § 362(a)(3). The courts below held that the automatic stay prohibited Codex from unilaterally terminating the Agreement. We agree. Even if Codex had a valid reason for terminating the Agreement, it still was required to petition the court for relief from the automatic stay under § 362(d).</w:t>
      </w:r>
    </w:p>
    <w:p w14:paraId="1F089E2D" w14:textId="1910D7EA"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11 U.S.C. § 541 (1982) defines property of the estate. It </w:t>
      </w:r>
      <w:r w:rsidR="00BC7D28" w:rsidRPr="007A5BBC">
        <w:rPr>
          <w:rFonts w:ascii="Times New Roman" w:hAnsi="Times New Roman"/>
          <w:szCs w:val="24"/>
        </w:rPr>
        <w:t>neither explicitly includes nor</w:t>
      </w:r>
      <w:r w:rsidRPr="007A5BBC">
        <w:rPr>
          <w:rFonts w:ascii="Times New Roman" w:hAnsi="Times New Roman"/>
          <w:szCs w:val="24"/>
        </w:rPr>
        <w:t xml:space="preserve"> excludes contract rights. The definition includes "all legal or equitable interests of the debtor in property as of the commencement of the case." 11 U.S.C. § 541(a)(1).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586201C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automatic stay does not permanently prohibit a party from retrieving property from the possession of the bankrupt estate. Section 362(d) provides [for the bankruptcy court to grant relief from stay in certain circumstances upon request]</w:t>
      </w:r>
      <w:r w:rsidR="005F6A8B">
        <w:rPr>
          <w:rFonts w:ascii="Times New Roman" w:hAnsi="Times New Roman"/>
          <w:szCs w:val="24"/>
        </w:rPr>
        <w:t xml:space="preserve">. </w:t>
      </w:r>
    </w:p>
    <w:p w14:paraId="580CEA5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the trial court erred because the contract was not property of the estate. It asserts that 11 U.S.C. § 365 (1982), pertaining to executory contracts and unexpired leases, sanctioned its termination of the contract. Section 365 provides that a trustee may assume or reject any executory contract or unexpired lease of the debtor. The contract, argues Codex, never became property of the estate because the trustee did not and could not assume it. Section 365(e) generally prohibits exercise of bankruptcy termination clauses in such contracts:</w:t>
      </w:r>
    </w:p>
    <w:p w14:paraId="3A74225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Subparagraph (2), however, creates an exception where "applicable law excuses a party, other than the debtor, to such contract or lease from accepting performance from or rendering performance to the trustee or an assignee of such contract or lease...." 11 U.S.C. § 365(e)(2)(A)(i).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held that § 365(e)(2) did not permit Codex to terminate the contract unilaterally finding that the Amended Agreement was not a contract for personal services. Likewise, the district court concluded that the contract was almost entirely for the sale of goods. We need not reach that question, however, because we hold that even if § 365(e)(2) allowed Codex to terminate the contract, § 362 automatically stayed termination. </w:t>
      </w:r>
    </w:p>
    <w:p w14:paraId="113BAEDD" w14:textId="19FCA34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67"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which held that even if, under section 365(e),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45A7C179" w:rsidR="00BF19DF" w:rsidRDefault="00BA5AAA" w:rsidP="00A81F9F">
      <w:pPr>
        <w:ind w:firstLine="720"/>
        <w:jc w:val="both"/>
        <w:rPr>
          <w:rFonts w:ascii="Times New Roman" w:hAnsi="Times New Roman"/>
          <w:szCs w:val="24"/>
        </w:rPr>
      </w:pPr>
      <w:r w:rsidRPr="007A5BBC">
        <w:rPr>
          <w:rFonts w:ascii="Times New Roman" w:hAnsi="Times New Roman"/>
          <w:szCs w:val="24"/>
        </w:rPr>
        <w:t>AFFIRMED.</w:t>
      </w:r>
      <w:r w:rsidR="00A81F9F" w:rsidRPr="007A5BBC">
        <w:rPr>
          <w:rFonts w:ascii="Times New Roman" w:hAnsi="Times New Roman"/>
          <w:szCs w:val="24"/>
        </w:rPr>
        <w:t xml:space="preserve"> </w:t>
      </w:r>
    </w:p>
    <w:p w14:paraId="6BAF7852" w14:textId="491C0C5F" w:rsidR="00A81F9F" w:rsidRPr="007A5BBC" w:rsidRDefault="00A81F9F" w:rsidP="00A81F9F">
      <w:pPr>
        <w:ind w:firstLine="720"/>
        <w:jc w:val="both"/>
        <w:rPr>
          <w:rFonts w:ascii="Times New Roman" w:hAnsi="Times New Roman"/>
          <w:szCs w:val="24"/>
        </w:rPr>
      </w:pPr>
    </w:p>
    <w:p w14:paraId="2CC54004" w14:textId="4525EC8D" w:rsidR="00672AB5" w:rsidRPr="007A5BBC" w:rsidRDefault="00672AB5" w:rsidP="00D72D96">
      <w:pPr>
        <w:pStyle w:val="Heading2"/>
        <w:spacing w:line="240" w:lineRule="auto"/>
      </w:pPr>
      <w:bookmarkStart w:id="2940" w:name="_Toc417380827"/>
      <w:bookmarkStart w:id="2941" w:name="_Toc79699187"/>
      <w:bookmarkStart w:id="2942" w:name="_Toc79699513"/>
      <w:bookmarkStart w:id="2943" w:name="_Toc79699851"/>
      <w:bookmarkStart w:id="2944" w:name="_Toc79700171"/>
      <w:bookmarkStart w:id="2945" w:name="_Toc79700493"/>
      <w:bookmarkStart w:id="2946" w:name="_Toc87039271"/>
      <w:bookmarkStart w:id="2947" w:name="_Toc90983667"/>
      <w:r>
        <w:t xml:space="preserve">Practice Problems: </w:t>
      </w:r>
      <w:r w:rsidRPr="007A5BBC">
        <w:t>Executory Contracts</w:t>
      </w:r>
      <w:r w:rsidR="00D72D96">
        <w:t xml:space="preserve"> – </w:t>
      </w:r>
      <w:r w:rsidRPr="007A5BBC">
        <w:t>Assumption and Rejection</w:t>
      </w:r>
      <w:bookmarkStart w:id="2948" w:name="_Toc79693045"/>
      <w:bookmarkStart w:id="2949" w:name="_Toc79693365"/>
      <w:bookmarkStart w:id="2950" w:name="_Toc79693685"/>
      <w:bookmarkStart w:id="2951" w:name="_Toc79694002"/>
      <w:bookmarkStart w:id="2952" w:name="_Toc79694642"/>
      <w:bookmarkStart w:id="2953" w:name="_Toc79695270"/>
      <w:bookmarkStart w:id="2954" w:name="_Toc79697516"/>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r w:rsidR="00D72D96">
        <w:br/>
      </w:r>
    </w:p>
    <w:p w14:paraId="26359EB0" w14:textId="2934331A" w:rsidR="00672AB5" w:rsidRPr="007559BB" w:rsidRDefault="00672AB5" w:rsidP="00AD57F5">
      <w:pPr>
        <w:ind w:left="288" w:firstLine="432"/>
        <w:rPr>
          <w:rFonts w:ascii="Times New Roman" w:hAnsi="Times New Roman"/>
          <w:szCs w:val="24"/>
        </w:rPr>
      </w:pPr>
      <w:r w:rsidRPr="007559BB">
        <w:rPr>
          <w:rFonts w:ascii="Times New Roman" w:hAnsi="Times New Roman"/>
          <w:szCs w:val="24"/>
        </w:rPr>
        <w:t>Answer the following questions</w:t>
      </w:r>
      <w:r w:rsidR="00AD57F5">
        <w:rPr>
          <w:rFonts w:ascii="Times New Roman" w:hAnsi="Times New Roman"/>
          <w:szCs w:val="24"/>
        </w:rPr>
        <w:t>:</w:t>
      </w:r>
    </w:p>
    <w:p w14:paraId="7215997B" w14:textId="77777777" w:rsidR="00672AB5" w:rsidRDefault="00672AB5" w:rsidP="00672AB5">
      <w:pPr>
        <w:pStyle w:val="0-NORMAL"/>
      </w:pPr>
      <w:r w:rsidRPr="00445B32">
        <w:rPr>
          <w:b/>
        </w:rPr>
        <w:t>Problem 1</w:t>
      </w:r>
      <w:r>
        <w:t xml:space="preserve">. </w:t>
      </w:r>
      <w:r w:rsidRPr="00445B32">
        <w:t>The Trustee wants to assume a prepetition contract of the Debtor to buy goods from Seller</w:t>
      </w:r>
      <w:r>
        <w:t xml:space="preserve">. </w:t>
      </w:r>
      <w:r w:rsidRPr="00445B32">
        <w:t>If the Debtor was in default under the contract prepetition, what must the Trustee do and show in</w:t>
      </w:r>
      <w:r>
        <w:t xml:space="preserve"> order to assume the contract? </w:t>
      </w:r>
      <w:r w:rsidRPr="00445B32">
        <w:t>11 U.S.C. § 365(b).</w:t>
      </w:r>
    </w:p>
    <w:p w14:paraId="41ADF1D4" w14:textId="1A4099C2" w:rsidR="00672AB5" w:rsidRDefault="00672AB5" w:rsidP="00672AB5">
      <w:pPr>
        <w:pStyle w:val="0-NORMAL"/>
      </w:pPr>
      <w:r w:rsidRPr="00445B32">
        <w:rPr>
          <w:b/>
        </w:rPr>
        <w:t>Problem 2</w:t>
      </w:r>
      <w:r>
        <w:t xml:space="preserve">. </w:t>
      </w:r>
      <w:r w:rsidRPr="00445B32">
        <w:t>What must the Trustee do or show to provide “adequate assurance of future performance</w:t>
      </w:r>
      <w:r w:rsidR="00083725" w:rsidRPr="00445B32">
        <w:t xml:space="preserve">? </w:t>
      </w:r>
      <w:r w:rsidRPr="007065C6">
        <w:rPr>
          <w:i/>
          <w:iCs/>
        </w:rPr>
        <w:t xml:space="preserve">See </w:t>
      </w:r>
      <w:r w:rsidRPr="00445B32">
        <w:t>11 U.S.C. § 365(b)(3), and note that this provision only applies to shopping center leases.</w:t>
      </w:r>
    </w:p>
    <w:p w14:paraId="49232C74" w14:textId="606AE7CB" w:rsidR="00672AB5" w:rsidRDefault="00672AB5" w:rsidP="00672AB5">
      <w:pPr>
        <w:pStyle w:val="0-NORMAL"/>
      </w:pPr>
      <w:r w:rsidRPr="00445B32">
        <w:rPr>
          <w:b/>
        </w:rPr>
        <w:t>Problem 3</w:t>
      </w:r>
      <w:r>
        <w:t xml:space="preserve">. </w:t>
      </w:r>
      <w:r w:rsidRPr="00445B32">
        <w:t xml:space="preserve">Assume that the contract in </w:t>
      </w:r>
      <w:r>
        <w:t>P</w:t>
      </w:r>
      <w:r w:rsidRPr="00445B32">
        <w:t>roblem (</w:t>
      </w:r>
      <w:r>
        <w:t>1</w:t>
      </w:r>
      <w:r w:rsidRPr="00445B32">
        <w:t>) provides as follows: “Seller has the right to terminate the contract without prior notice if the debtor is insolvent, files bankruptcy, or if a trustee or receiver is appointed over the debtor’s property.”  How could the Trustee possibly cure this default</w:t>
      </w:r>
      <w:r w:rsidR="00083725" w:rsidRPr="00445B32">
        <w:t xml:space="preserve">? </w:t>
      </w:r>
      <w:r w:rsidRPr="007065C6">
        <w:rPr>
          <w:i/>
          <w:iCs/>
        </w:rPr>
        <w:t xml:space="preserve">See </w:t>
      </w:r>
      <w:r w:rsidRPr="00445B32">
        <w:t>11 U.S.C. §§ 365(b)(2); 365(e)(1)</w:t>
      </w:r>
      <w:r>
        <w:t xml:space="preserve">. </w:t>
      </w:r>
    </w:p>
    <w:p w14:paraId="656D4132" w14:textId="77777777" w:rsidR="00672AB5" w:rsidRDefault="00672AB5" w:rsidP="00672AB5">
      <w:pPr>
        <w:pStyle w:val="0-NORMAL"/>
      </w:pPr>
      <w:r w:rsidRPr="00445B32">
        <w:rPr>
          <w:b/>
        </w:rPr>
        <w:t>Problem 4</w:t>
      </w:r>
      <w:r>
        <w:t xml:space="preserve">. </w:t>
      </w:r>
      <w:r w:rsidRPr="00445B32">
        <w:t>Shortly before filing bankruptcy, Debtor obtained a $1 million line of credit from Banko Americo, which can be drawn on at any time within the next three years</w:t>
      </w:r>
      <w:r>
        <w:t xml:space="preserve">. </w:t>
      </w:r>
      <w:r w:rsidRPr="00445B32">
        <w:t>Debtor has only drawn $100,000 on the line, leaving $900,000 available</w:t>
      </w:r>
      <w:r>
        <w:t xml:space="preserve">. </w:t>
      </w:r>
      <w:r w:rsidRPr="00445B32">
        <w:t>The Trustee would like to use some of that money to pay the expenses of administration</w:t>
      </w:r>
      <w:r>
        <w:t xml:space="preserve">. </w:t>
      </w:r>
      <w:r w:rsidRPr="00445B32">
        <w:t>May the Trustee assume the loan and draw down on the credit line? 11 U.S.C. § 365(c)(2).</w:t>
      </w:r>
      <w:bookmarkStart w:id="2955" w:name="OLE_LINK36"/>
      <w:bookmarkStart w:id="2956" w:name="OLE_LINK37"/>
    </w:p>
    <w:p w14:paraId="2B6AF9F3" w14:textId="355EFAB8" w:rsidR="00672AB5" w:rsidRDefault="00672AB5" w:rsidP="00672AB5">
      <w:pPr>
        <w:pStyle w:val="0-NORMAL"/>
      </w:pPr>
      <w:r w:rsidRPr="00445B32">
        <w:rPr>
          <w:b/>
        </w:rPr>
        <w:t>Problem 5</w:t>
      </w:r>
      <w:r>
        <w:t xml:space="preserve">. </w:t>
      </w:r>
      <w:r w:rsidRPr="00445B32">
        <w:t>How long does a Chapter 7 trustee have to decide whether to assume or reject an executory contract or unexpired lease? 11 U.S.C. § 365(d)(1)</w:t>
      </w:r>
      <w:r>
        <w:t xml:space="preserve">. </w:t>
      </w:r>
      <w:r w:rsidRPr="00445B32">
        <w:t>How long would a Chapter 11 trustee have</w:t>
      </w:r>
      <w:r w:rsidR="00083725" w:rsidRPr="00445B32">
        <w:t xml:space="preserve">? </w:t>
      </w:r>
      <w:r w:rsidRPr="00445B32">
        <w:t>In answering this question, does the type of property covered by the agreement matter? What is the consequence of not acting timely? 11 U.S.C. § 365(d).</w:t>
      </w:r>
    </w:p>
    <w:p w14:paraId="4203B080" w14:textId="015C5B48" w:rsidR="00672AB5" w:rsidRDefault="00672AB5" w:rsidP="00672AB5">
      <w:pPr>
        <w:pStyle w:val="0-NORMAL"/>
      </w:pPr>
      <w:r w:rsidRPr="00445B32">
        <w:rPr>
          <w:b/>
        </w:rPr>
        <w:t>Problem 6</w:t>
      </w:r>
      <w:r>
        <w:t xml:space="preserve">. </w:t>
      </w:r>
      <w:r w:rsidRPr="00445B32">
        <w:t>Does the Trustee have</w:t>
      </w:r>
      <w:r>
        <w:t xml:space="preserve"> to</w:t>
      </w:r>
      <w:r w:rsidRPr="00445B32">
        <w:t xml:space="preserve"> perform the Debtor’s obligations under an executory contract or lease while deciding whether to assume or reject</w:t>
      </w:r>
      <w:r w:rsidR="00083725" w:rsidRPr="00445B32">
        <w:t xml:space="preserve">? </w:t>
      </w:r>
      <w:r w:rsidRPr="007065C6">
        <w:rPr>
          <w:i/>
          <w:iCs/>
        </w:rPr>
        <w:t xml:space="preserve">See </w:t>
      </w:r>
      <w:r w:rsidRPr="00445B32">
        <w:t xml:space="preserve">11 U.S.C. § 365(d)(3) and (d)(5). </w:t>
      </w:r>
    </w:p>
    <w:p w14:paraId="2296F472" w14:textId="77777777" w:rsidR="00672AB5" w:rsidRDefault="00672AB5" w:rsidP="00672AB5">
      <w:pPr>
        <w:pStyle w:val="0-NORMAL"/>
      </w:pPr>
      <w:r w:rsidRPr="00445B32">
        <w:rPr>
          <w:b/>
        </w:rPr>
        <w:t>Problem 7</w:t>
      </w:r>
      <w:r>
        <w:t xml:space="preserve">. </w:t>
      </w:r>
      <w:r w:rsidRPr="00445B32">
        <w:t xml:space="preserve">Assume that the Trustee rejects an executory contract, and that the other party to the contract would have a $1 million </w:t>
      </w:r>
      <w:r>
        <w:t>claim</w:t>
      </w:r>
      <w:r w:rsidRPr="00445B32">
        <w:t xml:space="preserve"> for damages under state law if the debtor had breached the contract pre-petition</w:t>
      </w:r>
      <w:r>
        <w:t xml:space="preserve">. </w:t>
      </w:r>
      <w:r w:rsidRPr="00445B32">
        <w:t>Is the counter-party’s claim against the estate after rejection entitled to priority as a post-petition expense of administration? 11 U.S.C. § 365(g)(1)</w:t>
      </w:r>
      <w:r>
        <w:t xml:space="preserve">. </w:t>
      </w:r>
      <w:r w:rsidRPr="00445B32">
        <w:t>What if the Trustee assumed the contract and later was unable to perform?</w:t>
      </w:r>
    </w:p>
    <w:p w14:paraId="142C7A01" w14:textId="77777777" w:rsidR="00672AB5" w:rsidRDefault="00672AB5" w:rsidP="00672AB5">
      <w:pPr>
        <w:pStyle w:val="0-NORMAL"/>
      </w:pPr>
      <w:r w:rsidRPr="00445B32">
        <w:rPr>
          <w:b/>
        </w:rPr>
        <w:t>Problem 8</w:t>
      </w:r>
      <w:r>
        <w:t xml:space="preserve">. </w:t>
      </w:r>
      <w:r w:rsidRPr="00445B32">
        <w:t>Debtor owns a shopping center</w:t>
      </w:r>
      <w:r>
        <w:t xml:space="preserve">. </w:t>
      </w:r>
      <w:r w:rsidRPr="00445B32">
        <w:t>Tenant has 75 years left on its 100 year lease on the best location in the center, and is paying a fraction of the fair rental value of the store</w:t>
      </w:r>
      <w:r>
        <w:t xml:space="preserve">. </w:t>
      </w:r>
      <w:r w:rsidRPr="00445B32">
        <w:t>Debtor has heard about the rejection of executory contracts and leases in bankruptcy</w:t>
      </w:r>
      <w:r>
        <w:t xml:space="preserve">. </w:t>
      </w:r>
      <w:r w:rsidRPr="00445B32">
        <w:t>Debtor would like to kick the Tenant out of the premises and re-lease the space for a much higher rent</w:t>
      </w:r>
      <w:r>
        <w:t xml:space="preserve">. </w:t>
      </w:r>
      <w:r w:rsidRPr="00445B32">
        <w:t>Debtor proposes to file bankruptcy, reject the lease, kick Tenant out, and rent to a new tenant for a much higher rent</w:t>
      </w:r>
      <w:r>
        <w:t xml:space="preserve">. </w:t>
      </w:r>
      <w:r w:rsidRPr="00445B32">
        <w:t xml:space="preserve">What </w:t>
      </w:r>
      <w:r>
        <w:t xml:space="preserve">do you think of this strategy? </w:t>
      </w:r>
      <w:r w:rsidRPr="007065C6">
        <w:rPr>
          <w:i/>
          <w:iCs/>
        </w:rPr>
        <w:t xml:space="preserve">See </w:t>
      </w:r>
      <w:r w:rsidRPr="00445B32">
        <w:t>11 U.S.C. § 365(h)(1)(A).</w:t>
      </w:r>
      <w:bookmarkEnd w:id="2955"/>
      <w:bookmarkEnd w:id="2956"/>
    </w:p>
    <w:p w14:paraId="095141DF" w14:textId="145B5B20" w:rsidR="00672AB5" w:rsidRDefault="00672AB5" w:rsidP="00672AB5">
      <w:pPr>
        <w:pStyle w:val="0-NORMAL"/>
      </w:pPr>
      <w:r w:rsidRPr="00445B32">
        <w:rPr>
          <w:b/>
        </w:rPr>
        <w:t>Problem 9</w:t>
      </w:r>
      <w:r>
        <w:t xml:space="preserve">. </w:t>
      </w:r>
      <w:r w:rsidRPr="00445B32">
        <w:t xml:space="preserve">Assume that Tenant in Problem </w:t>
      </w:r>
      <w:r>
        <w:t>(8),</w:t>
      </w:r>
      <w:r w:rsidRPr="00445B32">
        <w:t xml:space="preserve"> rather than Landlord, files bankruptcy after falling behind on its rent</w:t>
      </w:r>
      <w:r>
        <w:t xml:space="preserve">. </w:t>
      </w:r>
      <w:r w:rsidRPr="00445B32">
        <w:t>The tenancy has a lot of value, and the Trustee wants to assign the below market lease to another company who will pay a much higher rent to the Trustee than the rate under the lease</w:t>
      </w:r>
      <w:r>
        <w:t xml:space="preserve">. </w:t>
      </w:r>
      <w:r w:rsidRPr="00445B32">
        <w:t>The lease prohibits Tenant from assigning the lease, and that restriction is enforceable outside of bankruptcy under applicable state law</w:t>
      </w:r>
      <w:r>
        <w:t xml:space="preserve">. </w:t>
      </w:r>
      <w:r w:rsidRPr="00445B32">
        <w:t>Can Tenant assign the lease in bankruptcy even though the lease prohibits assignment? 11 U.S.C. § 365(f)(2)</w:t>
      </w:r>
      <w:r>
        <w:t xml:space="preserve">. </w:t>
      </w:r>
      <w:r w:rsidRPr="00445B32">
        <w:t>If so, what must Trustee do or show to get the bankruptcy court to approve the assignment</w:t>
      </w:r>
      <w:r w:rsidR="00083725" w:rsidRPr="00445B32">
        <w:t xml:space="preserve">? </w:t>
      </w:r>
      <w:r w:rsidRPr="00445B32">
        <w:t>11 U.S.C. § 365(b)(1), (b)(3), (f).</w:t>
      </w:r>
    </w:p>
    <w:p w14:paraId="0D58C2C2" w14:textId="77777777" w:rsidR="00672AB5" w:rsidRDefault="00672AB5" w:rsidP="00672AB5">
      <w:pPr>
        <w:pStyle w:val="0-NORMAL"/>
      </w:pPr>
      <w:r w:rsidRPr="00445B32">
        <w:rPr>
          <w:b/>
        </w:rPr>
        <w:t>Problem 10</w:t>
      </w:r>
      <w:r>
        <w:t xml:space="preserve">. </w:t>
      </w:r>
      <w:r w:rsidRPr="00445B32">
        <w:t>What if, during the month before bankruptcy, a shopping center tenant stopped operating the store because its store sales were less than its operating costs?</w:t>
      </w:r>
      <w:r>
        <w:t xml:space="preserve"> </w:t>
      </w:r>
      <w:r w:rsidRPr="00445B32">
        <w:t>Under the lease, closing the store is an incurable default allowing Landlord to terminate the lease</w:t>
      </w:r>
      <w:r>
        <w:t xml:space="preserve">. </w:t>
      </w:r>
      <w:r w:rsidRPr="00445B32">
        <w:t>Is there any way for the Trustee</w:t>
      </w:r>
      <w:r>
        <w:t xml:space="preserve"> to cure this kind of default? </w:t>
      </w:r>
      <w:r w:rsidRPr="007065C6">
        <w:rPr>
          <w:i/>
          <w:iCs/>
        </w:rPr>
        <w:t xml:space="preserve">See </w:t>
      </w:r>
      <w:r w:rsidRPr="00445B32">
        <w:t>11 U.S.C. § 365(b)(1)(A).</w:t>
      </w:r>
    </w:p>
    <w:p w14:paraId="21344F8A" w14:textId="77777777" w:rsidR="00672AB5" w:rsidRDefault="00672AB5" w:rsidP="00672AB5">
      <w:pPr>
        <w:pStyle w:val="0-NORMAL"/>
      </w:pPr>
      <w:r w:rsidRPr="00445B32">
        <w:rPr>
          <w:b/>
        </w:rPr>
        <w:t>Problem 11</w:t>
      </w:r>
      <w:r>
        <w:t xml:space="preserve">. </w:t>
      </w:r>
      <w:r w:rsidRPr="00445B32">
        <w:t xml:space="preserve">Assume that the Trustee in </w:t>
      </w:r>
      <w:r>
        <w:t>P</w:t>
      </w:r>
      <w:r w:rsidRPr="00445B32">
        <w:t>roblem (</w:t>
      </w:r>
      <w:r>
        <w:t>9</w:t>
      </w:r>
      <w:r w:rsidRPr="00445B32">
        <w:t>) is successful in assigning the lease, and the Assignee later defaults. Is the Debtor’s estate liable to the landlord for damages (and for an administrative claim for damages since the lease was assumed)? 11 U.S.C. § 365(k).</w:t>
      </w:r>
    </w:p>
    <w:p w14:paraId="6EDC2A69" w14:textId="77777777" w:rsidR="00672AB5" w:rsidRDefault="00672AB5" w:rsidP="00672AB5">
      <w:pPr>
        <w:pStyle w:val="0-NORMAL"/>
      </w:pPr>
      <w:r w:rsidRPr="00445B32">
        <w:rPr>
          <w:b/>
        </w:rPr>
        <w:t>Problem 12</w:t>
      </w:r>
      <w:r>
        <w:t xml:space="preserve">. </w:t>
      </w:r>
      <w:r w:rsidRPr="00445B32">
        <w:t>Prior to filing bankruptcy, the Debtor leased a fancy laptop computer from Dull Computers for a three year term</w:t>
      </w:r>
      <w:r>
        <w:t xml:space="preserve">. </w:t>
      </w:r>
      <w:r w:rsidRPr="00445B32">
        <w:t>Trustee rejected the lease because the rental value of the laptop was much less than the lease payments</w:t>
      </w:r>
      <w:r>
        <w:t xml:space="preserve">. </w:t>
      </w:r>
      <w:r w:rsidRPr="00445B32">
        <w:t>The Debtor wants to keep the computer. What can D</w:t>
      </w:r>
      <w:r>
        <w:t xml:space="preserve">ebtor do? </w:t>
      </w:r>
      <w:r w:rsidRPr="007065C6">
        <w:rPr>
          <w:i/>
          <w:iCs/>
        </w:rPr>
        <w:t xml:space="preserve">See </w:t>
      </w:r>
      <w:r w:rsidRPr="00445B32">
        <w:t>11 U.S.C. § 365(p)</w:t>
      </w:r>
      <w:r>
        <w:t xml:space="preserve">. </w:t>
      </w:r>
      <w:r w:rsidRPr="00445B32">
        <w:t>What if Dull unreasonably refuses to accept Debtor’s very fair proposal to keep the laptop?</w:t>
      </w:r>
    </w:p>
    <w:p w14:paraId="0F53F0B7" w14:textId="284F6E23" w:rsidR="00672AB5" w:rsidRDefault="00672AB5" w:rsidP="00672AB5">
      <w:pPr>
        <w:pStyle w:val="0-NORMAL"/>
      </w:pPr>
      <w:r w:rsidRPr="00445B32">
        <w:rPr>
          <w:b/>
        </w:rPr>
        <w:t>Problem 13</w:t>
      </w:r>
      <w:r>
        <w:t xml:space="preserve">. </w:t>
      </w:r>
      <w:r w:rsidRPr="00445B32">
        <w:t>Multi-millionaire fashion designer Bruno agreed to pay $1 million to famous graffiti artist Blankley to paint Bruno’s portrait on the side of a building</w:t>
      </w:r>
      <w:r>
        <w:t xml:space="preserve">. </w:t>
      </w:r>
      <w:r w:rsidRPr="00445B32">
        <w:t>Because of unrelated financial problems, Blankley was forced to file Chapter 11 and seek to reorganize</w:t>
      </w:r>
      <w:r>
        <w:t xml:space="preserve">. </w:t>
      </w:r>
      <w:r w:rsidRPr="00445B32">
        <w:t>When Blankley sought to assume the contract, Bruno, who no longer wanted his portrait to be painted by a “bankrupt” artist, objected</w:t>
      </w:r>
      <w:r>
        <w:t xml:space="preserve">. </w:t>
      </w:r>
      <w:r w:rsidRPr="00445B32">
        <w:t>Bruno claimed that the contract cannot be assumed under Section 365 because it is an unassignable personal services contract under section 365(c)(1)(A)</w:t>
      </w:r>
      <w:r>
        <w:t xml:space="preserve">. </w:t>
      </w:r>
      <w:r w:rsidRPr="00445B32">
        <w:t>Blankley argues that he should be able to assume because he is the same person with whom the contract was made</w:t>
      </w:r>
      <w:r>
        <w:t xml:space="preserve">. </w:t>
      </w:r>
      <w:r w:rsidRPr="00445B32">
        <w:t>Should the personal services prohibition in 365(c)(1)(A) only apply to an assumption by the trustee or assignment to a third party, or should it apply equally to an assumption by the debtor-in-possession</w:t>
      </w:r>
      <w:r>
        <w:t xml:space="preserve">? </w:t>
      </w:r>
      <w:r w:rsidRPr="00445B32">
        <w:rPr>
          <w:i/>
        </w:rPr>
        <w:t>Compare</w:t>
      </w:r>
      <w:r w:rsidRPr="00445B32">
        <w:t xml:space="preserve"> </w:t>
      </w:r>
      <w:hyperlink r:id="rId168" w:history="1">
        <w:r w:rsidRPr="00445B32">
          <w:rPr>
            <w:rStyle w:val="Hyperlink"/>
            <w:i/>
          </w:rPr>
          <w:t xml:space="preserve">In re Footstar, </w:t>
        </w:r>
        <w:r w:rsidRPr="00445B32">
          <w:rPr>
            <w:rStyle w:val="Hyperlink"/>
          </w:rPr>
          <w:t>323 B.R. 566 (Bankr. S.D.N.Y. 2005)</w:t>
        </w:r>
      </w:hyperlink>
      <w:r w:rsidRPr="00445B32">
        <w:t xml:space="preserve"> (adopting actual test) with </w:t>
      </w:r>
      <w:hyperlink r:id="rId169" w:history="1">
        <w:r w:rsidRPr="00445B32">
          <w:rPr>
            <w:rStyle w:val="Hyperlink"/>
            <w:i/>
          </w:rPr>
          <w:t xml:space="preserve">In re Catapult Entm’t, Inc., </w:t>
        </w:r>
        <w:r w:rsidRPr="00445B32">
          <w:rPr>
            <w:rStyle w:val="Hyperlink"/>
          </w:rPr>
          <w:t>165 F.3d 747 (9th Cir.</w:t>
        </w:r>
        <w:r>
          <w:rPr>
            <w:rStyle w:val="Hyperlink"/>
          </w:rPr>
          <w:t xml:space="preserve"> </w:t>
        </w:r>
        <w:r w:rsidRPr="00445B32">
          <w:rPr>
            <w:rStyle w:val="Hyperlink"/>
          </w:rPr>
          <w:t>1999)</w:t>
        </w:r>
      </w:hyperlink>
      <w:r w:rsidRPr="00445B32">
        <w:t xml:space="preserve"> (adopting hypothetical test).</w:t>
      </w:r>
    </w:p>
    <w:p w14:paraId="7CE98D85" w14:textId="0E8020AD" w:rsidR="00672AB5" w:rsidRPr="00445B32" w:rsidRDefault="00672AB5" w:rsidP="00672AB5">
      <w:pPr>
        <w:pStyle w:val="0-NORMAL"/>
      </w:pPr>
      <w:r w:rsidRPr="00445B32">
        <w:rPr>
          <w:b/>
        </w:rPr>
        <w:t>Problem 14</w:t>
      </w:r>
      <w:r>
        <w:t xml:space="preserve">. </w:t>
      </w:r>
      <w:r w:rsidRPr="00445B32">
        <w:t>Actress Tia Carrere, who was under contract to perform in a soap opera, sought to use bankruptcy to reject her old soap opera contract and enable her to enter into a more lucrative contract to appear on a hot new television show called the “A Team.” In another case, a franchisee sought to reject a franchise agreement while continuing to operate a similar business in the same location</w:t>
      </w:r>
      <w:r>
        <w:t xml:space="preserve">. </w:t>
      </w:r>
      <w:r w:rsidRPr="00445B32">
        <w:t>In both cases, the contracts that the debtors sought to reject contained restrictive covenants preventing the debtors from competing</w:t>
      </w:r>
      <w:r>
        <w:t xml:space="preserve">. </w:t>
      </w:r>
      <w:r w:rsidRPr="00445B32">
        <w:t>Does the rejection of a contract containing a restrictive covenant prevent the other contracting party from enforcing the restrictive covenant by way of injunction</w:t>
      </w:r>
      <w:r>
        <w:t xml:space="preserve">? </w:t>
      </w:r>
      <w:r w:rsidRPr="00445B32">
        <w:rPr>
          <w:i/>
        </w:rPr>
        <w:t>See</w:t>
      </w:r>
      <w:r w:rsidRPr="00445B32">
        <w:t xml:space="preserve"> </w:t>
      </w:r>
      <w:hyperlink r:id="rId170" w:history="1">
        <w:r w:rsidRPr="00445B32">
          <w:rPr>
            <w:rStyle w:val="Hyperlink"/>
            <w:i/>
          </w:rPr>
          <w:t xml:space="preserve">In Re Carrere, </w:t>
        </w:r>
        <w:r w:rsidRPr="00445B32">
          <w:rPr>
            <w:rStyle w:val="Hyperlink"/>
          </w:rPr>
          <w:t>64 B.R. 156 (Bankr. C.D. Cal. 1986)</w:t>
        </w:r>
      </w:hyperlink>
      <w:r w:rsidRPr="00445B32">
        <w:t xml:space="preserve"> (personal services contract not property of the estate that could be assumed or rejected, and therefore restrictive covenant could be enforced); </w:t>
      </w:r>
      <w:hyperlink r:id="rId171" w:history="1">
        <w:r w:rsidRPr="00445B32">
          <w:rPr>
            <w:rStyle w:val="Hyperlink"/>
            <w:i/>
          </w:rPr>
          <w:t>Silk Plants, Etc. Franchise Systems v. Register</w:t>
        </w:r>
        <w:r w:rsidRPr="00445B32">
          <w:rPr>
            <w:rStyle w:val="Hyperlink"/>
          </w:rPr>
          <w:t>, 100 B.R. 360 (M.D. Tenn. 1989)</w:t>
        </w:r>
      </w:hyperlink>
      <w:r w:rsidRPr="00445B32">
        <w:rPr>
          <w:rStyle w:val="Hyperlink"/>
        </w:rPr>
        <w:t xml:space="preserve"> </w:t>
      </w:r>
      <w:r w:rsidRPr="00445B32">
        <w:t>(franchisor could not enforce the restrictive covenant after rejection)</w:t>
      </w:r>
      <w:r>
        <w:t xml:space="preserve">. </w:t>
      </w:r>
      <w:r w:rsidRPr="00445B32">
        <w:t>To some extent, the correct answer may turn on whether the right to an injunction under state law is a “claim” subject to the Bankruptcy Code’s claim procedures</w:t>
      </w:r>
      <w:r>
        <w:t xml:space="preserve">. </w:t>
      </w:r>
      <w:r w:rsidRPr="00445B32">
        <w:rPr>
          <w:i/>
        </w:rPr>
        <w:t>See 11 U.S.C. § 101(5)(B);</w:t>
      </w:r>
      <w:r w:rsidRPr="00445B32">
        <w:t xml:space="preserve"> </w:t>
      </w:r>
      <w:hyperlink r:id="rId172" w:history="1">
        <w:r w:rsidRPr="00445B32">
          <w:rPr>
            <w:rStyle w:val="Hyperlink"/>
            <w:i/>
          </w:rPr>
          <w:t>In re Ward,</w:t>
        </w:r>
        <w:r w:rsidRPr="00445B32">
          <w:rPr>
            <w:rStyle w:val="Hyperlink"/>
          </w:rPr>
          <w:t xml:space="preserve"> 194 B.R. 703, 712 (Bankr. D. Mass. 1996)</w:t>
        </w:r>
      </w:hyperlink>
      <w:r w:rsidRPr="00445B32">
        <w:t>.</w:t>
      </w:r>
    </w:p>
    <w:p w14:paraId="18835A02" w14:textId="399F5101" w:rsidR="00136602" w:rsidRPr="007A5BBC" w:rsidRDefault="00DD40B4" w:rsidP="00BF4961">
      <w:pPr>
        <w:ind w:firstLine="720"/>
        <w:jc w:val="both"/>
        <w:rPr>
          <w:rFonts w:ascii="Times New Roman" w:hAnsi="Times New Roman"/>
          <w:szCs w:val="24"/>
        </w:rPr>
      </w:pPr>
      <w:r w:rsidRPr="007A5BBC">
        <w:rPr>
          <w:rFonts w:ascii="Times New Roman" w:hAnsi="Times New Roman"/>
          <w:szCs w:val="24"/>
        </w:rPr>
        <w:br w:type="page"/>
      </w:r>
    </w:p>
    <w:p w14:paraId="4945A148" w14:textId="7EF92B38" w:rsidR="005D1652" w:rsidRPr="00A81F9F" w:rsidRDefault="00672AB5" w:rsidP="00D72D96">
      <w:pPr>
        <w:pStyle w:val="Heading1"/>
        <w:spacing w:line="240" w:lineRule="auto"/>
        <w:rPr>
          <w:rFonts w:ascii="Arial" w:hAnsi="Arial"/>
          <w:szCs w:val="22"/>
        </w:rPr>
      </w:pPr>
      <w:bookmarkStart w:id="2957" w:name="_Toc417380829"/>
      <w:r>
        <w:t xml:space="preserve">  </w:t>
      </w:r>
      <w:bookmarkStart w:id="2958" w:name="_Toc79699188"/>
      <w:bookmarkStart w:id="2959" w:name="_Toc79699514"/>
      <w:bookmarkStart w:id="2960" w:name="_Toc79699852"/>
      <w:bookmarkStart w:id="2961" w:name="_Toc79700172"/>
      <w:bookmarkStart w:id="2962" w:name="_Toc79700494"/>
      <w:bookmarkStart w:id="2963" w:name="_Toc87039272"/>
      <w:bookmarkStart w:id="2964" w:name="_Toc90983668"/>
      <w:r>
        <w:t>E</w:t>
      </w:r>
      <w:r w:rsidR="006A3F30" w:rsidRPr="007A5BBC">
        <w:t>nhancing the Estate</w:t>
      </w:r>
      <w:bookmarkStart w:id="2965" w:name="_Toc417378963"/>
      <w:bookmarkStart w:id="2966" w:name="_Toc417380830"/>
      <w:bookmarkStart w:id="2967" w:name="_Toc417380831"/>
      <w:bookmarkStart w:id="2968" w:name="_Toc438473216"/>
      <w:bookmarkStart w:id="2969" w:name="_Toc438473532"/>
      <w:bookmarkStart w:id="2970" w:name="_Toc438473848"/>
      <w:bookmarkStart w:id="2971" w:name="_Toc438474164"/>
      <w:bookmarkStart w:id="2972" w:name="_Toc438476625"/>
      <w:bookmarkStart w:id="2973" w:name="_Toc438661378"/>
      <w:bookmarkStart w:id="2974" w:name="_Toc438661707"/>
      <w:bookmarkStart w:id="2975" w:name="_Toc438662102"/>
      <w:bookmarkStart w:id="2976" w:name="_Toc438662434"/>
      <w:bookmarkStart w:id="2977" w:name="_Toc438662772"/>
      <w:bookmarkStart w:id="2978" w:name="_Toc438663104"/>
      <w:bookmarkStart w:id="2979" w:name="_Toc438663431"/>
      <w:bookmarkStart w:id="2980" w:name="_Toc438663758"/>
      <w:bookmarkStart w:id="2981" w:name="_Toc438664083"/>
      <w:bookmarkStart w:id="2982" w:name="_Toc438664410"/>
      <w:bookmarkStart w:id="2983" w:name="_Toc438665155"/>
      <w:bookmarkStart w:id="2984" w:name="_Toc450735099"/>
      <w:bookmarkStart w:id="2985" w:name="_Toc450735428"/>
      <w:bookmarkStart w:id="2986" w:name="_Toc450739824"/>
      <w:bookmarkStart w:id="2987" w:name="_Toc457995644"/>
      <w:bookmarkStart w:id="2988" w:name="_Toc457997473"/>
      <w:bookmarkStart w:id="2989" w:name="_Toc458006705"/>
      <w:bookmarkStart w:id="2990" w:name="_Toc458075017"/>
      <w:bookmarkStart w:id="2991" w:name="_Toc485065551"/>
      <w:bookmarkStart w:id="2992" w:name="_Toc79687404"/>
      <w:bookmarkStart w:id="2993" w:name="_Toc79687728"/>
      <w:bookmarkStart w:id="2994" w:name="_Toc79688095"/>
      <w:bookmarkStart w:id="2995" w:name="_Toc79688424"/>
      <w:bookmarkStart w:id="2996" w:name="_Toc79689360"/>
      <w:bookmarkStart w:id="2997" w:name="_Toc79693046"/>
      <w:bookmarkStart w:id="2998" w:name="_Toc79693366"/>
      <w:bookmarkStart w:id="2999" w:name="_Toc79693686"/>
      <w:bookmarkStart w:id="3000" w:name="_Toc79694003"/>
      <w:bookmarkStart w:id="3001" w:name="_Toc79694321"/>
      <w:bookmarkStart w:id="3002" w:name="_Toc79694643"/>
      <w:bookmarkStart w:id="3003" w:name="_Toc79694955"/>
      <w:bookmarkStart w:id="3004" w:name="_Toc79695271"/>
      <w:bookmarkStart w:id="3005" w:name="_Toc79695587"/>
      <w:bookmarkStart w:id="3006" w:name="_Toc79695903"/>
      <w:bookmarkStart w:id="3007" w:name="_Toc79696219"/>
      <w:bookmarkStart w:id="3008" w:name="_Toc79696535"/>
      <w:bookmarkStart w:id="3009" w:name="_Toc79696856"/>
      <w:bookmarkStart w:id="3010" w:name="_Toc79697188"/>
      <w:bookmarkStart w:id="3011" w:name="_Toc79697517"/>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r w:rsidR="00D72D96">
        <w:br/>
      </w:r>
    </w:p>
    <w:p w14:paraId="1456E659" w14:textId="45D25E24" w:rsidR="008B7E4E" w:rsidRDefault="008B7E4E" w:rsidP="00D72D96">
      <w:pPr>
        <w:pStyle w:val="Heading2"/>
        <w:spacing w:line="240" w:lineRule="auto"/>
      </w:pPr>
      <w:bookmarkStart w:id="3012" w:name="_Toc438473217"/>
      <w:bookmarkStart w:id="3013" w:name="_Toc438473533"/>
      <w:bookmarkStart w:id="3014" w:name="_Toc438473849"/>
      <w:bookmarkStart w:id="3015" w:name="_Toc438474165"/>
      <w:bookmarkStart w:id="3016" w:name="_Toc438476626"/>
      <w:bookmarkStart w:id="3017" w:name="_Toc438661379"/>
      <w:bookmarkStart w:id="3018" w:name="_Toc438661708"/>
      <w:bookmarkStart w:id="3019" w:name="_Toc438662103"/>
      <w:bookmarkStart w:id="3020" w:name="_Toc438662435"/>
      <w:bookmarkStart w:id="3021" w:name="_Toc438662773"/>
      <w:bookmarkStart w:id="3022" w:name="_Toc438663105"/>
      <w:bookmarkStart w:id="3023" w:name="_Toc438663432"/>
      <w:bookmarkStart w:id="3024" w:name="_Toc438663759"/>
      <w:bookmarkStart w:id="3025" w:name="_Toc438664084"/>
      <w:bookmarkStart w:id="3026" w:name="_Toc438664411"/>
      <w:bookmarkStart w:id="3027" w:name="_Toc438665156"/>
      <w:bookmarkStart w:id="3028" w:name="_Toc450735100"/>
      <w:bookmarkStart w:id="3029" w:name="_Toc450735429"/>
      <w:bookmarkStart w:id="3030" w:name="_Toc450739825"/>
      <w:bookmarkStart w:id="3031" w:name="_Toc457995645"/>
      <w:bookmarkStart w:id="3032" w:name="_Toc457997474"/>
      <w:bookmarkStart w:id="3033" w:name="_Toc458006706"/>
      <w:bookmarkStart w:id="3034" w:name="_Toc458075018"/>
      <w:bookmarkStart w:id="3035" w:name="_Toc485065552"/>
      <w:bookmarkStart w:id="3036" w:name="_Toc79699189"/>
      <w:bookmarkStart w:id="3037" w:name="_Toc79699515"/>
      <w:bookmarkStart w:id="3038" w:name="_Toc79699853"/>
      <w:bookmarkStart w:id="3039" w:name="_Toc79700173"/>
      <w:bookmarkStart w:id="3040" w:name="_Toc79700495"/>
      <w:bookmarkStart w:id="3041" w:name="_Toc87039273"/>
      <w:bookmarkStart w:id="3042" w:name="_Toc90983669"/>
      <w:bookmarkStart w:id="3043" w:name="_Toc417380832"/>
      <w:bookmarkStart w:id="3044" w:name="_Ref421795668"/>
      <w:bookmarkStart w:id="3045" w:name="_Ref421795704"/>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r>
        <w:t>Standing to Assert Claims Belonging to Creditors</w:t>
      </w:r>
      <w:bookmarkStart w:id="3046" w:name="_Toc79693047"/>
      <w:bookmarkStart w:id="3047" w:name="_Toc79693367"/>
      <w:bookmarkStart w:id="3048" w:name="_Toc79693687"/>
      <w:bookmarkStart w:id="3049" w:name="_Toc79694004"/>
      <w:bookmarkStart w:id="3050" w:name="_Toc79694644"/>
      <w:bookmarkStart w:id="3051" w:name="_Toc79695272"/>
      <w:bookmarkStart w:id="3052" w:name="_Toc79697518"/>
      <w:bookmarkEnd w:id="3036"/>
      <w:bookmarkEnd w:id="3037"/>
      <w:bookmarkEnd w:id="3038"/>
      <w:bookmarkEnd w:id="3039"/>
      <w:bookmarkEnd w:id="3040"/>
      <w:bookmarkEnd w:id="3041"/>
      <w:bookmarkEnd w:id="3042"/>
      <w:bookmarkEnd w:id="3046"/>
      <w:bookmarkEnd w:id="3047"/>
      <w:bookmarkEnd w:id="3048"/>
      <w:bookmarkEnd w:id="3049"/>
      <w:bookmarkEnd w:id="3050"/>
      <w:bookmarkEnd w:id="3051"/>
      <w:bookmarkEnd w:id="3052"/>
      <w:r w:rsidR="00D72D96">
        <w:br/>
      </w:r>
    </w:p>
    <w:p w14:paraId="0B952B26" w14:textId="32725962" w:rsidR="008B7E4E" w:rsidRPr="00D72D96" w:rsidRDefault="007C1024" w:rsidP="00D72D96">
      <w:pPr>
        <w:pStyle w:val="Heading3"/>
        <w:rPr>
          <w:u w:val="single"/>
        </w:rPr>
      </w:pPr>
      <w:hyperlink r:id="rId173" w:history="1">
        <w:bookmarkStart w:id="3053" w:name="_Toc87039274"/>
        <w:bookmarkStart w:id="3054" w:name="_Toc90983670"/>
        <w:r w:rsidR="008B7E4E" w:rsidRPr="00D72D96">
          <w:rPr>
            <w:rStyle w:val="Hyperlink"/>
          </w:rPr>
          <w:t>IN RE BERNARD L. MADOFF INVESTMENT SECURITIES LLC., 721 F. 3d 54 (2d Cir. 2013]</w:t>
        </w:r>
        <w:bookmarkEnd w:id="3053"/>
        <w:bookmarkEnd w:id="3054"/>
      </w:hyperlink>
      <w:bookmarkStart w:id="3055" w:name="_Toc79693048"/>
      <w:bookmarkStart w:id="3056" w:name="_Toc79693368"/>
      <w:bookmarkStart w:id="3057" w:name="_Toc79693688"/>
      <w:bookmarkStart w:id="3058" w:name="_Toc79694005"/>
      <w:bookmarkStart w:id="3059" w:name="_Toc79694323"/>
      <w:bookmarkStart w:id="3060" w:name="_Toc79694645"/>
      <w:bookmarkStart w:id="3061" w:name="_Toc79694957"/>
      <w:bookmarkStart w:id="3062" w:name="_Toc79695273"/>
      <w:bookmarkStart w:id="3063" w:name="_Toc79695589"/>
      <w:bookmarkStart w:id="3064" w:name="_Toc79695905"/>
      <w:bookmarkStart w:id="3065" w:name="_Toc79696221"/>
      <w:bookmarkStart w:id="3066" w:name="_Toc79696537"/>
      <w:bookmarkStart w:id="3067" w:name="_Toc79696858"/>
      <w:bookmarkStart w:id="3068" w:name="_Toc79697190"/>
      <w:bookmarkStart w:id="3069" w:name="_Toc79697519"/>
      <w:bookmarkStart w:id="3070" w:name="_Toc79699190"/>
      <w:bookmarkStart w:id="3071" w:name="_Toc79699516"/>
      <w:bookmarkStart w:id="3072" w:name="_Toc79699854"/>
      <w:bookmarkStart w:id="3073" w:name="_Toc79700174"/>
      <w:bookmarkStart w:id="3074" w:name="_Toc79700496"/>
      <w:bookmarkStart w:id="3075" w:name="_Toc79700818"/>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r w:rsidR="00D72D96" w:rsidRPr="00D72D96">
        <w:rPr>
          <w:rStyle w:val="Hyperlink"/>
        </w:rPr>
        <w:br/>
      </w:r>
    </w:p>
    <w:p w14:paraId="54A90E9C" w14:textId="3AE707FC" w:rsidR="008B7E4E" w:rsidRDefault="008B7E4E" w:rsidP="008B7E4E">
      <w:pPr>
        <w:pStyle w:val="0-NORMAL"/>
      </w:pPr>
      <w:r>
        <w:t>Irving Picard ("Picard" or the "Trustee") sues in his capacity as Trustee under the Securities Investor Protection Act ("SIPA") on behalf of victims in the multi-billion-dollar Ponzi scheme worked by Bernard Madoff. The four actions presently before this Court allege that numerous major financial institutions aided and abetted the fraud, collecting steep fees while ignoring blatant warning signs. In summary, the complaints allege that, when the Defendants were confronted with evidence of Madoff's illegitimate scheme, their banking fees gave incentive to look away, or at least caused a failure to perform due diligence that would have revealed the fraud. The Trustee asserts claims for unjust enrichment, breach of fiduciary duty, aiding and abetting fraud, and negligence, among others. The Trustee's position is supported by the Securities Investor Protection Corporation ("SIPC"), a statutorily created nonprofit corporation consisting of registered broker-dealers and members of national securities exchanges, which intervened to recover some or all of the approximately $800 million it advanced to victims.</w:t>
      </w:r>
    </w:p>
    <w:p w14:paraId="74A26C15" w14:textId="4C2A1355" w:rsidR="008B7E4E" w:rsidRDefault="008B7E4E" w:rsidP="008B7E4E">
      <w:pPr>
        <w:pStyle w:val="0-NORMAL"/>
      </w:pPr>
      <w:r>
        <w:t>As we will explain, the doctrine of </w:t>
      </w:r>
      <w:r>
        <w:rPr>
          <w:i/>
          <w:iCs/>
        </w:rPr>
        <w:t>in pari delicto</w:t>
      </w:r>
      <w:r>
        <w:t> bars the Trustee (who stands in Madoff's shoes) from asserting claims directly against the Defendants on behalf of the </w:t>
      </w:r>
      <w:r>
        <w:rPr>
          <w:i/>
          <w:iCs/>
        </w:rPr>
        <w:t>estate</w:t>
      </w:r>
      <w:r>
        <w:t> for wrongdoing in which Madoff (to say the least) participated. The claim for contribution is likewise unfounded, as SIPA provides no such right. The decisive issue, then, is whether the Trustee has standing to pursue the common law claims on behalf of Madoff's </w:t>
      </w:r>
      <w:r>
        <w:rPr>
          <w:i/>
          <w:iCs/>
        </w:rPr>
        <w:t>customers.</w:t>
      </w:r>
      <w:r>
        <w:t> Two thorough well-reasoned opinions by the district courts held that he does not. </w:t>
      </w:r>
    </w:p>
    <w:p w14:paraId="161953AC" w14:textId="7C28BF03" w:rsidR="008B7E4E" w:rsidRDefault="008B7E4E" w:rsidP="008B7E4E">
      <w:pPr>
        <w:pStyle w:val="0-NORMAL"/>
      </w:pPr>
      <w:r>
        <w:t>Our holding relies on a rooted principle of standing: A party must "assert his own legal rights and interests, and cannot rest his claim to relief on the legal rights or interests of third parties." This prudential limitation has been consistently applied in the bankruptcy context to bar suits brought by trustees on behalf of creditors. </w:t>
      </w:r>
    </w:p>
    <w:p w14:paraId="7BD4283F" w14:textId="77777777" w:rsidR="008B7E4E" w:rsidRDefault="008B7E4E" w:rsidP="008B7E4E">
      <w:pPr>
        <w:pStyle w:val="0-NORMAL"/>
      </w:pPr>
      <w:r>
        <w:t>In December 2008, federal agents arrested Bernard L. Madoff, who had conducted the largest Ponzi scheme yet uncovered. Madoff purported to employ a "split-strike conversion strategy" that involved buying S &amp; P 100 stocks and hedging through the use of options. In reality, he engaged in no securities transactions at all.</w:t>
      </w:r>
    </w:p>
    <w:p w14:paraId="16EDA3E8" w14:textId="79D0DC68" w:rsidR="008B7E4E" w:rsidRDefault="008B7E4E" w:rsidP="008B7E4E">
      <w:pPr>
        <w:pStyle w:val="0-NORMAL"/>
      </w:pPr>
      <w:r>
        <w:t>In March 2009, Madoff pleaded guilty to securities fraud and admitted that he had used his brokerage firm, Bernard L. Madoff Investment Securities LLC ("BLMIS"), as a vast Ponzi scheme.</w:t>
      </w:r>
    </w:p>
    <w:p w14:paraId="35B5A8EA" w14:textId="77777777" w:rsidR="008B7E4E" w:rsidRDefault="008B7E4E" w:rsidP="008B7E4E">
      <w:pPr>
        <w:pStyle w:val="0-NORMAL"/>
      </w:pPr>
      <w:r>
        <w:t>Following Madoff's arrest, SIPC filed an application under SIPA, 15 U.S.C. § 78eee(a)(4)(B), asserting that BLMIS required protection. The district court appointed Picard as the firm's Trustee and referred the case to the bankruptcy court.</w:t>
      </w:r>
    </w:p>
    <w:p w14:paraId="77366A4C" w14:textId="77777777" w:rsidR="008B7E4E" w:rsidRDefault="008B7E4E" w:rsidP="008B7E4E">
      <w:pPr>
        <w:pStyle w:val="0-NORMAL"/>
      </w:pPr>
      <w:r>
        <w:t>If (as is often the case) the assets are not enough to satisfy all net equity claims, SIPC advances money (up to $500,000 per customer) to the SIPA trustee, who is charged with assessing customer claims and making the ratable distributions. At the time of this appeal, SIPC had advanced approximately $800 million.</w:t>
      </w:r>
    </w:p>
    <w:p w14:paraId="6B090D16" w14:textId="77777777" w:rsidR="008B7E4E" w:rsidRDefault="008B7E4E" w:rsidP="008B7E4E">
      <w:pPr>
        <w:pStyle w:val="0-NORMAL"/>
      </w:pPr>
      <w:r>
        <w:t>A trustee also has authority to investigate the circumstances surrounding the insolvency and to recover and distribute any remaining funds to creditors. Picard alleges that his investigation has uncovered evidence of wrongdoing by third parties who aided and abetted Madoff, and seeks to replenish the fund of customer property by taking action against various financial institutions that serviced BLMIS.</w:t>
      </w:r>
    </w:p>
    <w:p w14:paraId="7D51898D" w14:textId="6CACAE68" w:rsidR="008B7E4E" w:rsidRDefault="008B7E4E" w:rsidP="008B7E4E">
      <w:pPr>
        <w:pStyle w:val="0-NORMAL"/>
      </w:pPr>
      <w:r>
        <w:t>Picard presses claims against JPMorgan Chase &amp; Co., UBS AG, UniCredit Bank Austria AG, HSBC Bank plc, and affiliated persons and entities</w:t>
      </w:r>
      <w:r w:rsidR="00083725">
        <w:t xml:space="preserve">. </w:t>
      </w:r>
      <w:r w:rsidR="00CD2080">
        <w:t>[The opinion recites the specific allegations against each entity, showing that the defendants made large profits from Madoff business, while failing to segregate Madoff’s customer assets and ignoring red flags about his unrealistic returns.]</w:t>
      </w:r>
    </w:p>
    <w:p w14:paraId="53FA87B5" w14:textId="517E3E4D" w:rsidR="008B7E4E" w:rsidRDefault="00CD2080" w:rsidP="008B7E4E">
      <w:pPr>
        <w:pStyle w:val="0-NORMAL"/>
      </w:pPr>
      <w:r w:rsidRPr="00CD2080">
        <w:t>On July 15, 2009, the Trustee commenced an adversary proceeding in the United States Bankruptcy Court for the Southern District of New York against HSBC and thirty-six others, including UniCredit and Pioneer</w:t>
      </w:r>
      <w:r w:rsidR="00083725" w:rsidRPr="00CD2080">
        <w:t>.</w:t>
      </w:r>
      <w:r w:rsidR="00083725">
        <w:t xml:space="preserve"> </w:t>
      </w:r>
      <w:r w:rsidRPr="00CD2080">
        <w:t xml:space="preserve">The Amended Complaint sought recovery of $2 billion in preferential or fraudulent transfers (Counts 1 through 19), and asserted four common law causes of action: aiding and abetting fraud, aiding and abetting breach of fiduciary duty, unjust enrichment, and money had and received (collectively, the "common law claims"). These common law claims sought $6.6 billion from HSBC and $2 billion from the remaining defendants. </w:t>
      </w:r>
    </w:p>
    <w:p w14:paraId="086DD0D5" w14:textId="7F201EBD" w:rsidR="008B7E4E" w:rsidRDefault="00CD2080" w:rsidP="008B7E4E">
      <w:pPr>
        <w:pStyle w:val="0-NORMAL"/>
      </w:pPr>
      <w:r>
        <w:t xml:space="preserve">[The lower courts dismissed the </w:t>
      </w:r>
      <w:r w:rsidRPr="00CD2080">
        <w:t xml:space="preserve">common law claims </w:t>
      </w:r>
      <w:r>
        <w:t>“</w:t>
      </w:r>
      <w:r w:rsidRPr="00CD2080">
        <w:t xml:space="preserve">on the grounds that the Trustee was </w:t>
      </w:r>
      <w:r w:rsidRPr="00CD2080">
        <w:rPr>
          <w:i/>
          <w:iCs/>
        </w:rPr>
        <w:t>in pari delicto</w:t>
      </w:r>
      <w:r w:rsidRPr="00CD2080">
        <w:t xml:space="preserve"> with the defendants, lacked standing to assert the common law claims on customers' behalf</w:t>
      </w:r>
      <w:r>
        <w:t xml:space="preserve">.”]  </w:t>
      </w:r>
    </w:p>
    <w:p w14:paraId="0E483A37" w14:textId="2BC219D1" w:rsidR="00CD2080" w:rsidRDefault="00CD2080" w:rsidP="008B7E4E">
      <w:pPr>
        <w:pStyle w:val="0-NORMAL"/>
      </w:pPr>
      <w:r w:rsidRPr="00CD2080">
        <w:t xml:space="preserve">We agree with the district courts that the Trustee's common law claims asserted on behalf of BLMIS are barred by the doctrine of </w:t>
      </w:r>
      <w:r w:rsidRPr="00CD2080">
        <w:rPr>
          <w:i/>
          <w:iCs/>
        </w:rPr>
        <w:t>in pari delicto</w:t>
      </w:r>
      <w:r w:rsidRPr="00CD2080">
        <w:t>.</w:t>
      </w:r>
    </w:p>
    <w:p w14:paraId="12D99286" w14:textId="1AC7C7AA" w:rsidR="00CD2080" w:rsidRDefault="00CD2080" w:rsidP="00CD2080">
      <w:pPr>
        <w:pStyle w:val="0-NORMAL"/>
      </w:pPr>
      <w:r>
        <w:t xml:space="preserve">Under New York law, one wrongdoer may not recover against another. The principle that a wrongdoer should not profit from his own misconduct "is ... strong in New York." The New York Appellate Division, First Department, has long applied the doctrine of </w:t>
      </w:r>
      <w:r w:rsidRPr="00CD2080">
        <w:rPr>
          <w:i/>
          <w:iCs/>
        </w:rPr>
        <w:t>in pari delicto</w:t>
      </w:r>
      <w:r>
        <w:t xml:space="preserve"> to bar a debtor from suing third parties for a fraud in which he participated. </w:t>
      </w:r>
    </w:p>
    <w:p w14:paraId="3FD6EC28" w14:textId="7435F91C" w:rsidR="00CD2080" w:rsidRDefault="00CD2080" w:rsidP="00CD2080">
      <w:pPr>
        <w:pStyle w:val="0-NORMAL"/>
      </w:pPr>
      <w:r>
        <w:t xml:space="preserve">A "claim against a third party for defrauding a corporation with the cooperation of management accrues to creditors, not to the guilty corporation." The debtor's misconduct is imputed to the trustee because, innocent as he may be, he acts as the debtor's representative. </w:t>
      </w:r>
      <w:r w:rsidRPr="00CD2080">
        <w:rPr>
          <w:i/>
          <w:iCs/>
        </w:rPr>
        <w:t>See Wight v. BankAmerica Corp</w:t>
      </w:r>
      <w:r>
        <w:t xml:space="preserve">., 219 F.3d 79, 87 (2d Cir.2000) ("[B]ecause a trustee stands in the shoes of the corporation, the Wagoner rule bars a trustee from suing to recover for a wrong that he himself essentially took part in."); </w:t>
      </w:r>
      <w:r w:rsidRPr="00CD2080">
        <w:rPr>
          <w:i/>
          <w:iCs/>
        </w:rPr>
        <w:t>accord Breeden v. Kirkpatrick &amp; Lockhart LLP (In re Bennett Funding Grp., Inc.),</w:t>
      </w:r>
      <w:r>
        <w:t xml:space="preserve"> 336 F.3d 94, 99-100 (2d Cir.2003) (applying </w:t>
      </w:r>
      <w:r w:rsidRPr="00CD2080">
        <w:rPr>
          <w:i/>
          <w:iCs/>
        </w:rPr>
        <w:t>Wagoner</w:t>
      </w:r>
      <w:r>
        <w:t xml:space="preserve"> rule in the context of "the greatest Ponzi scheme [then] on record" and holding that "the defrauded investors and not the bankruptcy trustee" were entitled to pursue malpractice claims against attorneys and accountants arising from the fraud).</w:t>
      </w:r>
    </w:p>
    <w:p w14:paraId="1BF09E58" w14:textId="24D8268F" w:rsidR="00CD2080" w:rsidRDefault="00CD2080" w:rsidP="00CD2080">
      <w:pPr>
        <w:pStyle w:val="0-NORMAL"/>
      </w:pPr>
      <w:r>
        <w:t xml:space="preserve">Picard alleges that the Defendants were complicit in Madoff's fraud and facilitated his Ponzi scheme by providing (well-paid) financial services while ignoring obvious warning signs. These claims fall squarely within the rule of </w:t>
      </w:r>
      <w:r w:rsidRPr="00CD2080">
        <w:rPr>
          <w:i/>
          <w:iCs/>
        </w:rPr>
        <w:t>Wagoner</w:t>
      </w:r>
      <w:r>
        <w:t xml:space="preserve"> and the ensuing cases: Picard stands in the shoes of BLMIS and may not assert claims against third parties for participating in a fraud that BLMIS orchestrated.</w:t>
      </w:r>
    </w:p>
    <w:p w14:paraId="78C50E91" w14:textId="405D2410" w:rsidR="008B7E4E" w:rsidRDefault="00CD2080" w:rsidP="00CD2080">
      <w:pPr>
        <w:pStyle w:val="0-NORMAL"/>
      </w:pPr>
      <w:r>
        <w:t xml:space="preserve">Picard's scattershot responses are resourceful, but they all miss the mark. He contends that a SIPA trustee is exempt from the </w:t>
      </w:r>
      <w:r w:rsidRPr="00CD2080">
        <w:rPr>
          <w:i/>
          <w:iCs/>
        </w:rPr>
        <w:t>Wagoner</w:t>
      </w:r>
      <w:r>
        <w:t xml:space="preserve"> rule, but adduces no authority. He argues that the rationale of the </w:t>
      </w:r>
      <w:r w:rsidRPr="00CD2080">
        <w:rPr>
          <w:i/>
          <w:iCs/>
        </w:rPr>
        <w:t>in pari delicto doctrine</w:t>
      </w:r>
      <w:r>
        <w:t xml:space="preserve"> is not served here because he himself is not a wrongdoer; but neither were the trustees in the cases cited above. He invokes the "adverse interest" exception, which directs a court not to impute to a corporation the bad acts of its agent when the fraud was committed for personal benefit. However, "this most narrow of exceptions" is reserved for cases of "outright theft or looting or embezzlement ... where the fraud is committed against a corporation rather than on its behalf." It is not possible thus to separate BLMIS from Madoff himself and his scheme. Finally, Picard argues that the district courts should not have applied the </w:t>
      </w:r>
      <w:r w:rsidRPr="00402DA9">
        <w:rPr>
          <w:i/>
          <w:iCs/>
        </w:rPr>
        <w:t>in pari delicto</w:t>
      </w:r>
      <w:r>
        <w:t xml:space="preserve"> doctrine at the pleadings stage; but the New York Court of Appeals has held otherwise. Early resolution is appropriate where (as here) the outcome is plain on the face of the pleadings.</w:t>
      </w:r>
    </w:p>
    <w:p w14:paraId="716E639E" w14:textId="4CBAA3B4" w:rsidR="00402DA9" w:rsidRDefault="00402DA9" w:rsidP="00402DA9">
      <w:pPr>
        <w:pStyle w:val="0-NORMAL"/>
      </w:pPr>
      <w:r>
        <w:t>The Trustee's claim for contribution is the only one that may escape the bar of in pari delicto. The Trustee seeks contribution for payments made to BLMIS customers under SIPA, on the theory that the Defendants are joint tortfeasors with BLMIS under New York law.</w:t>
      </w:r>
    </w:p>
    <w:p w14:paraId="503D3DEC" w14:textId="2F270643" w:rsidR="00402DA9" w:rsidRDefault="00402DA9" w:rsidP="00402DA9">
      <w:pPr>
        <w:pStyle w:val="0-NORMAL"/>
      </w:pPr>
      <w:r>
        <w:t>The New York statute provides that "two or more persons who are subject to liability for damages for the same personal injury, injury to property or wrongful death, may claim contribution among them whether or not an action has been brought or a judgment has been rendered against the person from whom contribution is sought." N.Y. C.P.L.R. § 1401 (McKinney). Section 1401 "requires some form of compulsion; that is, the party seeking contribution must have been compelled in some way, such as through the entry of a judgment, to make the payment against which contribution is sought."</w:t>
      </w:r>
    </w:p>
    <w:p w14:paraId="091D3A52" w14:textId="1D2EE359" w:rsidR="00402DA9" w:rsidRDefault="00402DA9" w:rsidP="00402DA9">
      <w:pPr>
        <w:pStyle w:val="0-NORMAL"/>
      </w:pPr>
      <w:r>
        <w:t xml:space="preserve">However, the SIPA payments for which Picard seeks contribution were not compelled by BLMIS's state law fraud liability to its customers; his obligation to pay customers their ratable share of customer property is an obligation of federal law: SIPA. SIPA provides no right to contribution, and it is settled in this Circuit that there is no claim for contribution unless the operative federal statute provides one. </w:t>
      </w:r>
    </w:p>
    <w:p w14:paraId="41531FD3" w14:textId="2AD48A7A" w:rsidR="00402DA9" w:rsidRDefault="00402DA9" w:rsidP="00402DA9">
      <w:pPr>
        <w:pStyle w:val="0-NORMAL"/>
      </w:pPr>
      <w:r>
        <w:t>Picard emphasizes that he is not seeking contribution for violations of SIPA or any other federal statute, but that is beside the point. "The source of a right of contribution under state law must be an obligation imposed by state law." The issue is therefore whether the payments made by the Trustee, for which he is seeking contribution, are required by state or federal law—an easy question.</w:t>
      </w:r>
    </w:p>
    <w:p w14:paraId="0727F1F7" w14:textId="3906E1CD" w:rsidR="00402DA9" w:rsidRDefault="00402DA9" w:rsidP="00402DA9">
      <w:pPr>
        <w:pStyle w:val="0-NORMAL"/>
      </w:pPr>
      <w:r>
        <w:t>The $800 million paid out to customers fulfilled an obligation created by SIPA, a federal statute that does not provide a right to contribution "either expressly or by clear implication," Unlike the Bankruptcy Act, SIPA does not require customers to establish a basis of liability as a prerequisite for the Trustee's disbursement obligation. The loss itself is enough. Because the Trustee's payment obligations were imposed by a federal law that does not provide a right to contribution, the district courts properly dismissed these claims.</w:t>
      </w:r>
    </w:p>
    <w:p w14:paraId="5F0262AD" w14:textId="77777777" w:rsidR="00402DA9" w:rsidRDefault="00402DA9" w:rsidP="00402DA9">
      <w:pPr>
        <w:pStyle w:val="0-NORMAL"/>
      </w:pPr>
      <w:r>
        <w:t>Having rejected the Trustee's claims asserted on behalf of BLMIS, we consider next whether the Trustee may assert such claims on behalf of BLMIS's customers. To proceed with these claims, the Trustee must first establish his standing. This he cannot do.</w:t>
      </w:r>
    </w:p>
    <w:p w14:paraId="33A9084D" w14:textId="143CD342" w:rsidR="00402DA9" w:rsidRDefault="00402DA9" w:rsidP="00402DA9">
      <w:pPr>
        <w:pStyle w:val="0-NORMAL"/>
      </w:pPr>
      <w:r>
        <w:t xml:space="preserve">Standing is a "threshold question in every federal case, determining the power of the court to entertain the suit." Standing depends, first, on whether the plaintiff has identified a "case or controversy" between the plaintiff and the defendants within the meaning of Article III of the Constitution. "To have standing, `[a] plaintiff must [1] allege personal injury [2] fairly traceable to the defendant's allegedly unlawful conduct and [3] likely to be redressed by the requested relief.'" In addition, the plaintiff must comply with "prudential" limitations on standing, of which the salient one here is that a party must "assert his own legal rights and interests and cannot rest his claim to relief on the legal rights or interests of third parties." </w:t>
      </w:r>
    </w:p>
    <w:p w14:paraId="7C813EC0" w14:textId="21014114" w:rsidR="00402DA9" w:rsidRDefault="00402DA9" w:rsidP="00402DA9">
      <w:pPr>
        <w:pStyle w:val="0-NORMAL"/>
      </w:pPr>
      <w:r w:rsidRPr="00402DA9">
        <w:t>The implied prohibition in Article III against third-party standing applies to actions brought by bankruptcy trustees.</w:t>
      </w:r>
    </w:p>
    <w:p w14:paraId="4C409EE7" w14:textId="057BCCC5" w:rsidR="006168DA" w:rsidRDefault="00402DA9" w:rsidP="006168DA">
      <w:pPr>
        <w:pStyle w:val="0-NORMAL"/>
      </w:pPr>
      <w:r>
        <w:t xml:space="preserve">In </w:t>
      </w:r>
      <w:r w:rsidRPr="00402DA9">
        <w:rPr>
          <w:i/>
          <w:iCs/>
        </w:rPr>
        <w:t>Caplin v. Marine Midland Grace Trust Co. of N.Y</w:t>
      </w:r>
      <w:r>
        <w:t>., 406 U.S. 416, 92 S.Ct. 1678, 32 L.Ed.2d 195 (1972), the Supreme Court ruled that federal bankruptcy law does not empower a trustee to collect money owed to creditors. That is because a bankruptcy trustee is not empowered "to collect money not owed to the estate"; the trustee's proper task "is simply to collect and reduce to money the property of the estates for which (he is trustee). [N]owhere in the statutory scheme is there any suggestion that the trustee in reorganization is to assume the responsibility of suing third parties" on behalf of creditors. This way, creditors can "make their own assessment of the respective advantages and disadvantages, not only of litigation, but of various theories of litigation," no consensus is needed as to "the amount of damages to seek, or even on the theory on which to sue," and disputes over inconsistent judgments and the scope of settlements can be avoided</w:t>
      </w:r>
      <w:r w:rsidR="00083725">
        <w:t xml:space="preserve">. </w:t>
      </w:r>
      <w:r w:rsidR="006168DA">
        <w:t>[The court then reviews and rejects other similar arguments made by the Trustee].</w:t>
      </w:r>
    </w:p>
    <w:p w14:paraId="1AB15213" w14:textId="0FF88630" w:rsidR="006168DA" w:rsidRPr="006168DA" w:rsidRDefault="006168DA" w:rsidP="006168DA">
      <w:pPr>
        <w:pStyle w:val="0-NORMAL"/>
      </w:pPr>
      <w:r>
        <w:t xml:space="preserve">The </w:t>
      </w:r>
      <w:r w:rsidRPr="006168DA">
        <w:t>Trustee</w:t>
      </w:r>
      <w:r>
        <w:t xml:space="preserve"> argues that, because SIPC advanced funds to customers at the outset of the liquidation, SIPC is subrogated to those customers' claims against the Defendants; SIPC therefore may assert those claims as subrogee; and Picard is authorized to enforce that right on SIPC's behalf. But SIPC is a creature of statute, and neither the plain language of the statute, nor its legislative history, supports the Trustee's position.</w:t>
      </w:r>
    </w:p>
    <w:p w14:paraId="1FA6601F" w14:textId="77777777" w:rsidR="006168DA" w:rsidRDefault="006168DA" w:rsidP="006168DA">
      <w:pPr>
        <w:pStyle w:val="0-NORMAL"/>
      </w:pPr>
      <w:r>
        <w:t xml:space="preserve">True, a SIPA trustee (unlike a trustee in bankruptcy), advances money to pay claims. The statute takes this fact into account by subrogating SIPC to customers' net equity claims to the extent of the advances they </w:t>
      </w:r>
      <w:r w:rsidRPr="006168DA">
        <w:t>received</w:t>
      </w:r>
      <w:r>
        <w:t>. But it goes no further.</w:t>
      </w:r>
    </w:p>
    <w:p w14:paraId="4CC24819" w14:textId="77777777" w:rsidR="006168DA" w:rsidRDefault="006168DA" w:rsidP="006168DA">
      <w:pPr>
        <w:pStyle w:val="0-NORMAL"/>
      </w:pPr>
      <w:r>
        <w:t>The Trustee's subrogation theory is premised in § 78fff-3 (a):</w:t>
      </w:r>
    </w:p>
    <w:p w14:paraId="5454C1D2" w14:textId="77777777" w:rsidR="006168DA" w:rsidRDefault="006168DA" w:rsidP="006168DA">
      <w:pPr>
        <w:pStyle w:val="Quote"/>
        <w:ind w:firstLine="0"/>
      </w:pPr>
      <w:r>
        <w:t>To the extent moneys are advanced by SIPC to the trustee to pay or otherwise satisfy the claims of customers, in addition to all other rights it may have at law or in equity, SIPC shall be subrogated to the claims of such customers with the rights and priorities provided in this chapter, except that SIPC as subrogee may assert no claim against customer property until after the allocation thereof to customers as provided in section 78fff-2(c) of this title.</w:t>
      </w:r>
    </w:p>
    <w:p w14:paraId="529C6DDA" w14:textId="26904E53" w:rsidR="006168DA" w:rsidRDefault="006168DA" w:rsidP="006168DA">
      <w:pPr>
        <w:pStyle w:val="0-NORMAL"/>
        <w:ind w:firstLine="0"/>
      </w:pPr>
      <w:r>
        <w:t>15 U.S.C. § 78fff-3(a). It is undisputed that the phrase "claims of customers" refers (as throughout the statute) to customers' net equity claims against the estate</w:t>
      </w:r>
      <w:r w:rsidR="00083725">
        <w:t xml:space="preserve">. </w:t>
      </w:r>
      <w:r>
        <w:t>SIPA thus allows only a narrow right of subrogation—for SIPC to assert claims against the fund of customer property and thereby recoup any funds advanced to customers once the SIPA trustee has satisfied those customers' net equity claims.</w:t>
      </w:r>
    </w:p>
    <w:p w14:paraId="562F38DC" w14:textId="2653A52C" w:rsidR="006168DA" w:rsidRDefault="006168DA" w:rsidP="006168DA">
      <w:pPr>
        <w:pStyle w:val="0-NORMAL"/>
      </w:pPr>
      <w:r>
        <w:t>The Trustee urges us to conclude that § 78fff-3(a) does more—much more—by creating a right of subrogation that allows SIPC (and, by extension, the Trustee) to step into customers' shoes and to initiate and control litigation on their behalf, against any number of defendants, until SIPC has been repaid in full. As we emphasized earlier, SIPA grants trustees the "same powers and title with respect to the debtor and the property of the debtor" as a Title 11 trustee, 15 U.S.C. § 78fff-1(a),  and the Supreme Court has squarely rejected attempts by Title 11 trustees to capture such litigation. As a final resort, the Trustee relies on a catch-all provision included in the 1978 amendments to SIPA, which states that the subrogation rights afforded by § 78fff-3(a) should not be read to diminish "all other rights [SIPC] may have at law or in equity." 15 U.S.C. § 78fff-3(a). From here, the Trustee claims an implied right of equitable subrogation, "the principle by which an insurer, having paid losses of its insured, is placed in the position of its insured so that it may recover from the third party legally responsible for the loss.”  He thus claims a wide grant of authority to initiate class-action lawsuits and assert any number of tort claims against third parties on customers' behalf. This is a long, long reach.</w:t>
      </w:r>
    </w:p>
    <w:p w14:paraId="45815B85" w14:textId="77777777" w:rsidR="006168DA" w:rsidRDefault="006168DA" w:rsidP="006168DA">
      <w:pPr>
        <w:pStyle w:val="0-NORMAL"/>
      </w:pPr>
      <w:r>
        <w:t>There is no sign that Congress intended an expansive increment of power to SIPA trustees.</w:t>
      </w:r>
    </w:p>
    <w:p w14:paraId="54718104" w14:textId="0EA0D702" w:rsidR="006168DA" w:rsidRPr="006168DA" w:rsidRDefault="006168DA" w:rsidP="006168DA">
      <w:pPr>
        <w:pStyle w:val="0-NORMAL"/>
      </w:pPr>
      <w:r>
        <w:t xml:space="preserve">The Trustee adduces rules of insurance law to justify his claim, an analogy with some intuitive appeal: </w:t>
      </w:r>
      <w:r w:rsidRPr="006168DA">
        <w:t>Principles</w:t>
      </w:r>
      <w:r>
        <w:t xml:space="preserve"> of equity generally permit subrogees wide scope to sue third-party tortfeasors, a claim that arises most commonly with insurance. </w:t>
      </w:r>
    </w:p>
    <w:p w14:paraId="216F59BC" w14:textId="33A64CC7" w:rsidR="006168DA" w:rsidRDefault="006168DA" w:rsidP="006168DA">
      <w:pPr>
        <w:pStyle w:val="0-NORMAL"/>
      </w:pPr>
      <w:r>
        <w:t>But this argument succumbs to the same critique as Picard's bailment theory: We avoid engrafting common law principles onto a statutory scheme unless Congress's intent is manifest</w:t>
      </w:r>
      <w:r w:rsidR="00083725">
        <w:t xml:space="preserve">. </w:t>
      </w:r>
      <w:r>
        <w:t>The clearest Congressional intent here is that we should treat SIPA as a bankruptcy statute, not as an insurance scheme. "SIPA and FDIA are independent statutory schemes, enacted to serve the unique needs of the banking and securities industries, respectively." We have since warned against oversimplified comparisons between insurance law and federal statutory law: "While this Court has referred to SIPC as providing a form of public insurance, it is clear that the obligations imposed on an insurance provider under state law do </w:t>
      </w:r>
      <w:r>
        <w:rPr>
          <w:i/>
          <w:iCs/>
        </w:rPr>
        <w:t>not</w:t>
      </w:r>
      <w:r>
        <w:t xml:space="preserve"> apply to this congressionally-created nonprofit membership corporation." </w:t>
      </w:r>
    </w:p>
    <w:p w14:paraId="7A8459FF" w14:textId="77777777" w:rsidR="006168DA" w:rsidRDefault="006168DA" w:rsidP="006168DA">
      <w:pPr>
        <w:pStyle w:val="0-NORMAL"/>
      </w:pPr>
      <w:r>
        <w:t>Relatedly, Picard argues under principles of equity that unless he can spearhead the litigation on behalf of defrauded customers, the victims will not be made whole, SIPC will be unable to recoup its advances, and third-party tortfeasors will reap windfalls. No doubt, there are advantages to the course Picard wants to follow. But equity has its limits; it may fill certain gaps in a statute, but it should not be used to enlarge substantive rights and powers. </w:t>
      </w:r>
    </w:p>
    <w:p w14:paraId="4574DE9D" w14:textId="5350D87A" w:rsidR="006168DA" w:rsidRPr="006168DA" w:rsidRDefault="006168DA" w:rsidP="006168DA">
      <w:pPr>
        <w:pStyle w:val="0-NORMAL"/>
      </w:pPr>
      <w:r>
        <w:t>The practical skepticism voiced in </w:t>
      </w:r>
      <w:r>
        <w:rPr>
          <w:i/>
          <w:iCs/>
        </w:rPr>
        <w:t>Caplin</w:t>
      </w:r>
      <w:r>
        <w:t> in a traditional bankruptcy context is justified here as well. Would such suits prevent customers from "mak[ing] their own assessment of the respective advantages and disadvantages, not only of litigation, but of various theories of litigation"</w:t>
      </w:r>
      <w:r w:rsidR="00083725">
        <w:t xml:space="preserve">? </w:t>
      </w:r>
      <w:r>
        <w:t>Can a SIPA trustee control customers' claims against third parties if SIPC has not fully satisfied the customers' claims against the estate? How would inconsistent judgments be avoided, given that "independent actions are still likely because it is extremely doubtful that [the parties] would agree on the amount of damages to seek, or even on the theory on which to sue"</w:t>
      </w:r>
      <w:r w:rsidR="00083725">
        <w:t>?</w:t>
      </w:r>
      <w:r w:rsidR="00083725">
        <w:rPr>
          <w:i/>
          <w:iCs/>
        </w:rPr>
        <w:t xml:space="preserve"> </w:t>
      </w:r>
      <w:r>
        <w:t>Who would be bound by a settlement entered into by either the Trustee or by each customer who brings suit? </w:t>
      </w:r>
      <w:r>
        <w:rPr>
          <w:i/>
          <w:iCs/>
        </w:rPr>
        <w:t>Id.</w:t>
      </w:r>
      <w:r>
        <w:t> The size and scope of the litigation here only amplify these concerns.</w:t>
      </w:r>
    </w:p>
    <w:p w14:paraId="05E3AC96" w14:textId="004B49C4" w:rsidR="006168DA" w:rsidRDefault="006168DA" w:rsidP="005F17FB">
      <w:pPr>
        <w:pStyle w:val="0-NORMAL"/>
      </w:pPr>
      <w:r>
        <w:t>As </w:t>
      </w:r>
      <w:r>
        <w:rPr>
          <w:i/>
          <w:iCs/>
        </w:rPr>
        <w:t>Caplin</w:t>
      </w:r>
      <w:r>
        <w:t> advises, it is better to leave these intractable policy judgments to Congress: Congress might well decide that reorganizations have not fared badly in the 34 years since Chapter X was enacted and that the status quo is preferable to inviting new problems by making changes in the system. Or, Congress could determine that the trustee ... was so well situated for bringing suits ... that he should be permitted to do so. In this event, Congress might also determine that the trustee's action was exclusive, or that it should be brought as a class action on behalf of all [creditors], or perhaps even that the [creditors] should have the option of suing on their own or having the trustee sue on their behalf. Any number of alternatives are available. Congress would also be able to answer questions regarding subrogation or timing of law suits before these questions arise in the context of litigation. Whatever the decision, it is one that only Congress can make.</w:t>
      </w:r>
    </w:p>
    <w:p w14:paraId="257A8966" w14:textId="77777777" w:rsidR="00D72D96" w:rsidRDefault="006168DA" w:rsidP="005F17FB">
      <w:pPr>
        <w:pStyle w:val="0-NORMAL"/>
      </w:pPr>
      <w:r>
        <w:t>[It is important to note that the Court did not dismiss the statutory bankruptcy claims, only the common law claims that Piccard attempted to assert against the third parties on behalf of customers</w:t>
      </w:r>
      <w:r w:rsidR="00083725">
        <w:t xml:space="preserve">. </w:t>
      </w:r>
      <w:r>
        <w:t>We focus now on the statutory claims contained in the Bankruptcy Code.]</w:t>
      </w:r>
    </w:p>
    <w:p w14:paraId="3BDCBC52" w14:textId="68F5DF0D" w:rsidR="006168DA" w:rsidRDefault="006168DA" w:rsidP="005F17FB">
      <w:pPr>
        <w:pStyle w:val="0-NORMAL"/>
      </w:pPr>
    </w:p>
    <w:p w14:paraId="3BACD5DA" w14:textId="3C69D9F8" w:rsidR="00343625" w:rsidRPr="007A5BBC" w:rsidRDefault="00343625" w:rsidP="00D72D96">
      <w:pPr>
        <w:pStyle w:val="Heading2"/>
        <w:spacing w:line="240" w:lineRule="auto"/>
      </w:pPr>
      <w:bookmarkStart w:id="3076" w:name="_Toc79699191"/>
      <w:bookmarkStart w:id="3077" w:name="_Toc79699517"/>
      <w:bookmarkStart w:id="3078" w:name="_Toc79699855"/>
      <w:bookmarkStart w:id="3079" w:name="_Toc79700175"/>
      <w:bookmarkStart w:id="3080" w:name="_Toc79700497"/>
      <w:bookmarkStart w:id="3081" w:name="_Toc87039275"/>
      <w:bookmarkStart w:id="3082" w:name="_Toc90983671"/>
      <w:r w:rsidRPr="007A5BBC">
        <w:t xml:space="preserve">Fraudulent </w:t>
      </w:r>
      <w:r w:rsidR="00136602" w:rsidRPr="007A5BBC">
        <w:t>Transfers</w:t>
      </w:r>
      <w:r w:rsidR="005F76D5">
        <w:t xml:space="preserve"> – </w:t>
      </w:r>
      <w:r w:rsidRPr="007A5BBC">
        <w:t>11 U.S.C. § 548</w:t>
      </w:r>
      <w:bookmarkStart w:id="3083" w:name="_Toc79693049"/>
      <w:bookmarkStart w:id="3084" w:name="_Toc79693369"/>
      <w:bookmarkStart w:id="3085" w:name="_Toc79693689"/>
      <w:bookmarkStart w:id="3086" w:name="_Toc79694006"/>
      <w:bookmarkStart w:id="3087" w:name="_Toc79694646"/>
      <w:bookmarkStart w:id="3088" w:name="_Toc79695274"/>
      <w:bookmarkStart w:id="3089" w:name="_Toc79697520"/>
      <w:bookmarkEnd w:id="3043"/>
      <w:bookmarkEnd w:id="3044"/>
      <w:bookmarkEnd w:id="304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r w:rsidR="00D72D96">
        <w:br/>
      </w:r>
    </w:p>
    <w:p w14:paraId="0030FBC6" w14:textId="3B2B5225"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 xml:space="preserve">It is quite similar in its operation to the Uniform Fraudulent Transfers 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fraudulent transfers would be longer than the bankruptcy law period for avoiding fraudulent transfers</w:t>
      </w:r>
      <w:r w:rsidR="005F6A8B">
        <w:rPr>
          <w:rFonts w:ascii="Times New Roman" w:hAnsi="Times New Roman"/>
          <w:szCs w:val="24"/>
        </w:rPr>
        <w:t xml:space="preserve">. </w:t>
      </w:r>
    </w:p>
    <w:p w14:paraId="3F5E2683" w14:textId="71ED46BB" w:rsidR="00B40A27"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under Section 548,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Pr>
          <w:rFonts w:ascii="Times New Roman" w:hAnsi="Times New Roman"/>
          <w:szCs w:val="24"/>
        </w:rPr>
        <w:t xml:space="preserve">. </w:t>
      </w:r>
      <w:r w:rsidRPr="007A5BBC">
        <w:rPr>
          <w:rFonts w:ascii="Times New Roman" w:hAnsi="Times New Roman"/>
          <w:szCs w:val="24"/>
        </w:rPr>
        <w:t>11 U.S.C. § 548(a)(1)</w:t>
      </w:r>
      <w:r w:rsidR="005F6A8B">
        <w:rPr>
          <w:rFonts w:ascii="Times New Roman" w:hAnsi="Times New Roman"/>
          <w:szCs w:val="24"/>
        </w:rPr>
        <w:t xml:space="preserve">. </w:t>
      </w:r>
    </w:p>
    <w:p w14:paraId="1DF32EBE" w14:textId="021590AA"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r w:rsidRPr="007A5BBC">
        <w:rPr>
          <w:rFonts w:ascii="Times New Roman" w:hAnsi="Times New Roman"/>
          <w:szCs w:val="24"/>
        </w:rPr>
        <w:t>11 U.S.C. § 548(e)(1)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065C6">
        <w:rPr>
          <w:rFonts w:ascii="Times New Roman" w:hAnsi="Times New Roman"/>
          <w:i/>
          <w:iCs/>
          <w:szCs w:val="24"/>
        </w:rPr>
        <w:t xml:space="preserve">See </w:t>
      </w:r>
      <w:r w:rsidR="00B40A27" w:rsidRPr="007A5BBC">
        <w:rPr>
          <w:rFonts w:ascii="Times New Roman" w:hAnsi="Times New Roman"/>
          <w:szCs w:val="24"/>
        </w:rPr>
        <w:t>11 U.S.C. § 541(c)(2)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4F35FF2A" w14:textId="635990B5" w:rsidR="00D72D96"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r w:rsidR="00AC6C47" w:rsidRPr="007A5BBC">
        <w:rPr>
          <w:rFonts w:ascii="Times New Roman" w:hAnsi="Times New Roman"/>
          <w:szCs w:val="24"/>
        </w:rPr>
        <w:t xml:space="preserve">11 U.S.C. § </w:t>
      </w:r>
      <w:r w:rsidRPr="007A5BBC">
        <w:rPr>
          <w:rFonts w:ascii="Times New Roman" w:hAnsi="Times New Roman"/>
          <w:szCs w:val="24"/>
        </w:rPr>
        <w:t>548(a)(1)(A) and (B).</w:t>
      </w:r>
      <w:r w:rsidR="00AC6C47" w:rsidRPr="007A5BBC">
        <w:rPr>
          <w:rFonts w:ascii="Times New Roman" w:hAnsi="Times New Roman"/>
          <w:szCs w:val="24"/>
        </w:rPr>
        <w:t xml:space="preserve"> As under the UFTA, value is given when an existing creditor’s claim is secured or paid</w:t>
      </w:r>
      <w:r w:rsidR="005F6A8B">
        <w:rPr>
          <w:rFonts w:ascii="Times New Roman" w:hAnsi="Times New Roman"/>
          <w:szCs w:val="24"/>
        </w:rPr>
        <w:t xml:space="preserve">. </w:t>
      </w:r>
      <w:r w:rsidR="00AC6C47" w:rsidRPr="007A5BBC">
        <w:rPr>
          <w:rFonts w:ascii="Times New Roman" w:hAnsi="Times New Roman"/>
          <w:szCs w:val="24"/>
        </w:rPr>
        <w:t>11 U.S.C. § 548(d)(2)(A).</w:t>
      </w:r>
    </w:p>
    <w:p w14:paraId="347777B0" w14:textId="74D3B784" w:rsidR="00136602" w:rsidRDefault="00136602" w:rsidP="001E2B43">
      <w:pPr>
        <w:ind w:firstLine="720"/>
        <w:jc w:val="both"/>
        <w:rPr>
          <w:rFonts w:ascii="Times New Roman" w:hAnsi="Times New Roman"/>
          <w:szCs w:val="24"/>
        </w:rPr>
      </w:pPr>
    </w:p>
    <w:p w14:paraId="7934482C" w14:textId="7C2A7C9E" w:rsidR="00716DB2" w:rsidRDefault="00716DB2" w:rsidP="001E2B43">
      <w:pPr>
        <w:ind w:firstLine="720"/>
        <w:jc w:val="both"/>
        <w:rPr>
          <w:rFonts w:ascii="Times New Roman" w:hAnsi="Times New Roman"/>
          <w:szCs w:val="24"/>
        </w:rPr>
      </w:pPr>
    </w:p>
    <w:p w14:paraId="04FBA260" w14:textId="77777777" w:rsidR="00716DB2" w:rsidRPr="007A5BBC" w:rsidRDefault="00716DB2" w:rsidP="001E2B43">
      <w:pPr>
        <w:ind w:firstLine="720"/>
        <w:jc w:val="both"/>
        <w:rPr>
          <w:rFonts w:ascii="Times New Roman" w:hAnsi="Times New Roman"/>
          <w:szCs w:val="24"/>
        </w:rPr>
      </w:pPr>
    </w:p>
    <w:p w14:paraId="7C356D43" w14:textId="20917E0B" w:rsidR="00136602" w:rsidRPr="007A5BBC" w:rsidRDefault="00AC6C47" w:rsidP="00D72D96">
      <w:pPr>
        <w:pStyle w:val="Heading2"/>
        <w:spacing w:line="240" w:lineRule="auto"/>
      </w:pPr>
      <w:bookmarkStart w:id="3090" w:name="_Toc417380833"/>
      <w:bookmarkStart w:id="3091" w:name="_Toc79699192"/>
      <w:bookmarkStart w:id="3092" w:name="_Toc79699518"/>
      <w:bookmarkStart w:id="3093" w:name="_Toc79699856"/>
      <w:bookmarkStart w:id="3094" w:name="_Toc79700176"/>
      <w:bookmarkStart w:id="3095" w:name="_Toc79700498"/>
      <w:bookmarkStart w:id="3096" w:name="_Toc87039276"/>
      <w:bookmarkStart w:id="3097" w:name="_Toc90983672"/>
      <w:r w:rsidRPr="007A5BBC">
        <w:t>The Trustee’s State Law Powers</w:t>
      </w:r>
      <w:r w:rsidR="005F76D5">
        <w:t xml:space="preserve"> – </w:t>
      </w:r>
      <w:r w:rsidRPr="007A5BBC">
        <w:t>11 U.S.C. § 544(b)</w:t>
      </w:r>
      <w:bookmarkStart w:id="3098" w:name="_Toc79693050"/>
      <w:bookmarkStart w:id="3099" w:name="_Toc79693370"/>
      <w:bookmarkStart w:id="3100" w:name="_Toc79693690"/>
      <w:bookmarkStart w:id="3101" w:name="_Toc79694007"/>
      <w:bookmarkStart w:id="3102" w:name="_Toc79694647"/>
      <w:bookmarkStart w:id="3103" w:name="_Toc79695275"/>
      <w:bookmarkStart w:id="3104" w:name="_Toc79697521"/>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r w:rsidR="00D72D96">
        <w:br/>
      </w:r>
    </w:p>
    <w:p w14:paraId="73849F5D" w14:textId="6533C912" w:rsidR="00BB778E" w:rsidRPr="007A5BBC" w:rsidRDefault="00AC6C47" w:rsidP="001E2B43">
      <w:pPr>
        <w:ind w:firstLine="720"/>
        <w:jc w:val="both"/>
        <w:rPr>
          <w:rFonts w:ascii="Times New Roman" w:hAnsi="Times New Roman"/>
          <w:szCs w:val="24"/>
        </w:rPr>
      </w:pPr>
      <w:r w:rsidRPr="007A5BBC">
        <w:rPr>
          <w:rFonts w:ascii="Times New Roman" w:hAnsi="Times New Roman"/>
          <w:szCs w:val="24"/>
        </w:rPr>
        <w:t>Section 544(b) allows the trustee to step into the shoes of a creditor who could avoid a pre-petition transfer 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This rule is commonly used to allow the trustee to avoid fraudulent transfers under the UFTA that would not be avoidable under Section 548 because of the two year limitations period</w:t>
      </w:r>
      <w:r w:rsidR="005F6A8B">
        <w:rPr>
          <w:rFonts w:ascii="Times New Roman" w:hAnsi="Times New Roman"/>
          <w:szCs w:val="24"/>
        </w:rPr>
        <w:t xml:space="preserve">. </w:t>
      </w:r>
      <w:r w:rsidR="00BB778E" w:rsidRPr="007A5BBC">
        <w:rPr>
          <w:rFonts w:ascii="Times New Roman" w:hAnsi="Times New Roman"/>
          <w:szCs w:val="24"/>
        </w:rPr>
        <w:t>It also applies to other state avoidance rules, such as Article 6 of the Uniform Commercial Code enacted in only some states that allows the avoidance of bulk transfers made without following the notice provisions of the UCC.</w:t>
      </w:r>
    </w:p>
    <w:p w14:paraId="2A3C683D" w14:textId="0DD864CD"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74"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4479931B" w:rsidR="00BB778E" w:rsidRDefault="00BB778E" w:rsidP="001E2B43">
      <w:pPr>
        <w:ind w:firstLine="720"/>
        <w:jc w:val="both"/>
        <w:rPr>
          <w:rFonts w:ascii="Times New Roman" w:hAnsi="Times New Roman"/>
          <w:szCs w:val="24"/>
        </w:rPr>
      </w:pPr>
      <w:r w:rsidRPr="007A5BBC">
        <w:rPr>
          <w:rFonts w:ascii="Times New Roman" w:hAnsi="Times New Roman"/>
          <w:szCs w:val="24"/>
        </w:rPr>
        <w:t>Section 544(b) does not give the trustee the power to assert state law claims directly – the trustee must find an actual unpaid creditor on the petition date who could have avoided the transfer under state law</w:t>
      </w:r>
      <w:r w:rsidR="005F6A8B">
        <w:rPr>
          <w:rFonts w:ascii="Times New Roman" w:hAnsi="Times New Roman"/>
          <w:szCs w:val="24"/>
        </w:rPr>
        <w:t xml:space="preserve">. </w:t>
      </w:r>
      <w:r w:rsidRPr="007A5BBC">
        <w:rPr>
          <w:rFonts w:ascii="Times New Roman" w:hAnsi="Times New Roman"/>
          <w:szCs w:val="24"/>
        </w:rPr>
        <w:t>Unless there is an existing creditor on the petition date with standing to avoid the transfer, the trustee has no one’s shoes to step into.</w:t>
      </w:r>
    </w:p>
    <w:p w14:paraId="070D5378" w14:textId="77777777" w:rsidR="00D72D96" w:rsidRPr="007A5BBC" w:rsidRDefault="00D72D96" w:rsidP="001E2B43">
      <w:pPr>
        <w:ind w:firstLine="720"/>
        <w:jc w:val="both"/>
        <w:rPr>
          <w:rFonts w:ascii="Times New Roman" w:hAnsi="Times New Roman"/>
          <w:szCs w:val="24"/>
        </w:rPr>
      </w:pPr>
    </w:p>
    <w:p w14:paraId="6A77BFED" w14:textId="2CA1C184" w:rsidR="00136602" w:rsidRPr="007A5BBC" w:rsidRDefault="00BB778E" w:rsidP="00D72D96">
      <w:pPr>
        <w:pStyle w:val="Heading2"/>
        <w:spacing w:line="240" w:lineRule="auto"/>
      </w:pPr>
      <w:bookmarkStart w:id="3105" w:name="_Toc417380834"/>
      <w:bookmarkStart w:id="3106" w:name="_Toc79699193"/>
      <w:bookmarkStart w:id="3107" w:name="_Toc79699519"/>
      <w:bookmarkStart w:id="3108" w:name="_Toc79699857"/>
      <w:bookmarkStart w:id="3109" w:name="_Toc79700177"/>
      <w:bookmarkStart w:id="3110" w:name="_Toc79700499"/>
      <w:bookmarkStart w:id="3111" w:name="_Toc87039277"/>
      <w:bookmarkStart w:id="3112" w:name="_Toc90983673"/>
      <w:r w:rsidRPr="007A5BBC">
        <w:t>P</w:t>
      </w:r>
      <w:r w:rsidR="00680A90">
        <w:t>ractice Problems</w:t>
      </w:r>
      <w:r w:rsidR="003A2EEC">
        <w:t>:</w:t>
      </w:r>
      <w:r w:rsidRPr="007A5BBC">
        <w:t xml:space="preserve"> Fraudulent Transfers</w:t>
      </w:r>
      <w:bookmarkStart w:id="3113" w:name="_Toc79693051"/>
      <w:bookmarkStart w:id="3114" w:name="_Toc79693371"/>
      <w:bookmarkStart w:id="3115" w:name="_Toc79693691"/>
      <w:bookmarkStart w:id="3116" w:name="_Toc79694008"/>
      <w:bookmarkStart w:id="3117" w:name="_Toc79694648"/>
      <w:bookmarkStart w:id="3118" w:name="_Toc79695276"/>
      <w:bookmarkStart w:id="3119" w:name="_Toc79697522"/>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r w:rsidR="00D72D96">
        <w:br/>
      </w:r>
    </w:p>
    <w:p w14:paraId="0F0AEA27" w14:textId="25DCEDA5" w:rsidR="00136602" w:rsidRPr="00AD7F3D" w:rsidRDefault="00AD7F3D" w:rsidP="00AD7F3D">
      <w:pPr>
        <w:pStyle w:val="0-NORMAL"/>
      </w:pPr>
      <w:r w:rsidRPr="00AD7F3D">
        <w:rPr>
          <w:b/>
        </w:rPr>
        <w:t>Problem 1</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Section 548</w:t>
      </w:r>
      <w:r w:rsidR="00524361" w:rsidRPr="00AD7F3D">
        <w:t>?</w:t>
      </w:r>
    </w:p>
    <w:p w14:paraId="2DC29699" w14:textId="419FD18F" w:rsidR="00524361" w:rsidRPr="00680A90" w:rsidRDefault="00AD7F3D" w:rsidP="00AD7F3D">
      <w:pPr>
        <w:pStyle w:val="0-NORMAL"/>
      </w:pPr>
      <w:r w:rsidRPr="00AD7F3D">
        <w:rPr>
          <w:b/>
        </w:rPr>
        <w:t>Problem 2</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$350,000</w:t>
      </w:r>
      <w:r w:rsidR="005F6A8B">
        <w:t xml:space="preserve">. </w:t>
      </w:r>
      <w:r w:rsidR="00524361" w:rsidRPr="00680A90">
        <w:t>Assume that only the Plaintiff in Problem (</w:t>
      </w:r>
      <w:r>
        <w:t>1</w:t>
      </w:r>
      <w:r w:rsidR="00524361" w:rsidRPr="00680A90">
        <w:t>) could avoid the transfer of the home under the UFTA</w:t>
      </w:r>
      <w:r w:rsidR="005F6A8B">
        <w:t xml:space="preserve">. </w:t>
      </w:r>
      <w:r w:rsidR="00524361" w:rsidRPr="00680A90">
        <w:t>If the trustee is able to avoid the transfer, how much of the t</w:t>
      </w:r>
      <w:r w:rsidR="00241F88">
        <w:t xml:space="preserve">ransfer can the trustee avoid? </w:t>
      </w:r>
      <w:r w:rsidR="006C3ED3" w:rsidRPr="007065C6">
        <w:rPr>
          <w:i/>
          <w:iCs/>
        </w:rPr>
        <w:t xml:space="preserve">See </w:t>
      </w:r>
      <w:r w:rsidR="006C3ED3" w:rsidRPr="00680A90">
        <w:t xml:space="preserve">11 U.S.C. § 544(b), </w:t>
      </w:r>
      <w:hyperlink r:id="rId175" w:history="1">
        <w:r w:rsidR="006C3ED3" w:rsidRPr="00AD7F3D">
          <w:t>Moore v. Bay, 284 U.S. 4 (1931)</w:t>
        </w:r>
      </w:hyperlink>
      <w:r w:rsidR="006C3ED3" w:rsidRPr="00680A90">
        <w:t>.</w:t>
      </w:r>
    </w:p>
    <w:p w14:paraId="2468D8C9" w14:textId="1EA988F3" w:rsidR="00524361" w:rsidRPr="00680A90" w:rsidRDefault="00AD7F3D" w:rsidP="00AD7F3D">
      <w:pPr>
        <w:pStyle w:val="0-NORMAL"/>
      </w:pPr>
      <w:r w:rsidRPr="00AD7F3D">
        <w:rPr>
          <w:b/>
        </w:rPr>
        <w:t>Problem 3</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7065C6">
        <w:rPr>
          <w:i/>
          <w:iCs/>
        </w:rPr>
        <w:t xml:space="preserve">See </w:t>
      </w:r>
      <w:r w:rsidR="00FB1467" w:rsidRPr="00680A90">
        <w:t>11 U.S.C. § 548</w:t>
      </w:r>
      <w:r w:rsidR="00545E6E" w:rsidRPr="00680A90">
        <w:t>(a)(1)(B</w:t>
      </w:r>
      <w:r w:rsidR="00FB1467" w:rsidRPr="00680A90">
        <w:t>)(ii)(IV).</w:t>
      </w:r>
    </w:p>
    <w:p w14:paraId="01FBEF23" w14:textId="7B327C75" w:rsidR="00FB1467" w:rsidRPr="00680A90" w:rsidRDefault="00AD7F3D" w:rsidP="00AD7F3D">
      <w:pPr>
        <w:pStyle w:val="0-NORMAL"/>
      </w:pPr>
      <w:r w:rsidRPr="00AD7F3D">
        <w:rPr>
          <w:b/>
        </w:rPr>
        <w:t>Problem 4</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6DF9F1BA" w:rsidR="00DD5CF2" w:rsidRPr="00680A90" w:rsidRDefault="00AD7F3D" w:rsidP="00AD7F3D">
      <w:pPr>
        <w:pStyle w:val="0-NORMAL"/>
      </w:pPr>
      <w:r w:rsidRPr="00AD7F3D">
        <w:rPr>
          <w:b/>
        </w:rPr>
        <w:t>Problem 5</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 xml:space="preserve">The day before bankruptcy, Dr. Debtor secured his mother’s loan with a lien on his medical equipment </w:t>
      </w:r>
      <w:r w:rsidR="00CA5FA4">
        <w:t>w</w:t>
      </w:r>
      <w:r w:rsidR="002F3AAB" w:rsidRPr="00680A90">
        <w:t>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7065C6">
        <w:rPr>
          <w:i/>
          <w:iCs/>
        </w:rPr>
        <w:t xml:space="preserve">See </w:t>
      </w:r>
      <w:r w:rsidR="002F3AAB" w:rsidRPr="00680A90">
        <w:t>11 U.S.C. § 548(d)(2)(A).</w:t>
      </w:r>
    </w:p>
    <w:p w14:paraId="5F0700E0" w14:textId="55181758" w:rsidR="0023508E" w:rsidRPr="00680A90" w:rsidRDefault="00AD7F3D" w:rsidP="00AD7F3D">
      <w:pPr>
        <w:pStyle w:val="0-NORMAL"/>
      </w:pPr>
      <w:r w:rsidRPr="00AD7F3D">
        <w:rPr>
          <w:b/>
        </w:rPr>
        <w:t>Problem 6</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083725">
        <w:t xml:space="preserve">. </w:t>
      </w:r>
      <w:r w:rsidR="00345253" w:rsidRPr="00680A90">
        <w:t xml:space="preserve">Can Little Corp’s bankruptcy trustee avoid the guaranty as a fraudulent transfer? </w:t>
      </w:r>
    </w:p>
    <w:p w14:paraId="44E50A28" w14:textId="050A7242" w:rsidR="00241F88" w:rsidRDefault="00AD7F3D" w:rsidP="005F17FB">
      <w:pPr>
        <w:pStyle w:val="0-NORMAL"/>
      </w:pPr>
      <w:r w:rsidRPr="00AD7F3D">
        <w:rPr>
          <w:b/>
        </w:rPr>
        <w:t>Problem 7</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7CCDFCCE" w14:textId="77777777" w:rsidR="00D72D96" w:rsidRDefault="00D72D96" w:rsidP="005F17FB">
      <w:pPr>
        <w:pStyle w:val="0-NORMAL"/>
      </w:pPr>
    </w:p>
    <w:p w14:paraId="5F9FC814" w14:textId="1CD3A2D7" w:rsidR="00FB1467" w:rsidRPr="007A5BBC" w:rsidRDefault="00FB1467" w:rsidP="00D72D96">
      <w:pPr>
        <w:pStyle w:val="Heading2"/>
        <w:spacing w:line="240" w:lineRule="auto"/>
      </w:pPr>
      <w:bookmarkStart w:id="3120" w:name="_Toc417380835"/>
      <w:bookmarkStart w:id="3121" w:name="_Toc79699194"/>
      <w:bookmarkStart w:id="3122" w:name="_Toc79699520"/>
      <w:bookmarkStart w:id="3123" w:name="_Toc79699858"/>
      <w:bookmarkStart w:id="3124" w:name="_Toc79700178"/>
      <w:bookmarkStart w:id="3125" w:name="_Toc79700500"/>
      <w:bookmarkStart w:id="3126" w:name="_Toc87039278"/>
      <w:bookmarkStart w:id="3127" w:name="_Toc90983674"/>
      <w:r w:rsidRPr="007A5BBC">
        <w:t>C</w:t>
      </w:r>
      <w:bookmarkEnd w:id="3120"/>
      <w:r w:rsidR="00646EC9">
        <w:t xml:space="preserve">ases on </w:t>
      </w:r>
      <w:r w:rsidR="00680A90">
        <w:t>Fraudulent Transfers</w:t>
      </w:r>
      <w:bookmarkStart w:id="3128" w:name="_Toc79693052"/>
      <w:bookmarkStart w:id="3129" w:name="_Toc79693372"/>
      <w:bookmarkStart w:id="3130" w:name="_Toc79693692"/>
      <w:bookmarkStart w:id="3131" w:name="_Toc79694009"/>
      <w:bookmarkStart w:id="3132" w:name="_Toc79694649"/>
      <w:bookmarkStart w:id="3133" w:name="_Toc79695277"/>
      <w:bookmarkStart w:id="3134" w:name="_Toc79697523"/>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r w:rsidR="00D72D96">
        <w:br/>
      </w:r>
    </w:p>
    <w:p w14:paraId="5D76B765" w14:textId="0F24AFBC" w:rsidR="004B4340" w:rsidRPr="00D72D96" w:rsidRDefault="007C1024" w:rsidP="00D72D96">
      <w:pPr>
        <w:pStyle w:val="Heading3"/>
        <w:rPr>
          <w:u w:val="single"/>
        </w:rPr>
      </w:pPr>
      <w:hyperlink r:id="rId176" w:history="1">
        <w:bookmarkStart w:id="3135" w:name="_Toc87039279"/>
        <w:bookmarkStart w:id="3136" w:name="_Toc90983675"/>
        <w:r w:rsidR="004B4340" w:rsidRPr="00D72D96">
          <w:rPr>
            <w:rStyle w:val="Hyperlink"/>
          </w:rPr>
          <w:t>BFP v. R</w:t>
        </w:r>
        <w:r w:rsidR="00680A90" w:rsidRPr="00D72D96">
          <w:rPr>
            <w:rStyle w:val="Hyperlink"/>
          </w:rPr>
          <w:t xml:space="preserve">ESOLUTION TRUST CORPORATION, </w:t>
        </w:r>
        <w:r w:rsidR="004B4340" w:rsidRPr="00D72D96">
          <w:rPr>
            <w:rStyle w:val="Hyperlink"/>
          </w:rPr>
          <w:t>511 U.S. 531 (1994)</w:t>
        </w:r>
        <w:bookmarkEnd w:id="3135"/>
        <w:bookmarkEnd w:id="3136"/>
      </w:hyperlink>
      <w:bookmarkStart w:id="3137" w:name="_Toc79693053"/>
      <w:bookmarkStart w:id="3138" w:name="_Toc79693373"/>
      <w:bookmarkStart w:id="3139" w:name="_Toc79693693"/>
      <w:bookmarkStart w:id="3140" w:name="_Toc79694010"/>
      <w:bookmarkStart w:id="3141" w:name="_Toc79694328"/>
      <w:bookmarkStart w:id="3142" w:name="_Toc79694650"/>
      <w:bookmarkStart w:id="3143" w:name="_Toc79694962"/>
      <w:bookmarkStart w:id="3144" w:name="_Toc79695278"/>
      <w:bookmarkStart w:id="3145" w:name="_Toc79695594"/>
      <w:bookmarkStart w:id="3146" w:name="_Toc79695910"/>
      <w:bookmarkStart w:id="3147" w:name="_Toc79696226"/>
      <w:bookmarkStart w:id="3148" w:name="_Toc79696542"/>
      <w:bookmarkStart w:id="3149" w:name="_Toc79696863"/>
      <w:bookmarkStart w:id="3150" w:name="_Toc79697195"/>
      <w:bookmarkStart w:id="3151" w:name="_Toc79697524"/>
      <w:bookmarkStart w:id="3152" w:name="_Toc79699195"/>
      <w:bookmarkStart w:id="3153" w:name="_Toc79699521"/>
      <w:bookmarkStart w:id="3154" w:name="_Toc79699859"/>
      <w:bookmarkStart w:id="3155" w:name="_Toc79700179"/>
      <w:bookmarkStart w:id="3156" w:name="_Toc79700501"/>
      <w:bookmarkStart w:id="3157" w:name="_Toc79700823"/>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r w:rsidR="00D72D96" w:rsidRPr="00D72D96">
        <w:rPr>
          <w:rStyle w:val="Hyperlink"/>
        </w:rPr>
        <w:br/>
      </w:r>
    </w:p>
    <w:p w14:paraId="2E668E76" w14:textId="42101524" w:rsidR="004B4340" w:rsidRPr="007A5BBC" w:rsidRDefault="00AB3EFD" w:rsidP="004B4340">
      <w:pPr>
        <w:ind w:firstLine="720"/>
        <w:rPr>
          <w:rFonts w:ascii="Times New Roman" w:hAnsi="Times New Roman"/>
          <w:szCs w:val="24"/>
        </w:rPr>
      </w:pPr>
      <w:r w:rsidRPr="007A5BBC">
        <w:rPr>
          <w:rFonts w:ascii="Times New Roman" w:hAnsi="Times New Roman"/>
          <w:szCs w:val="24"/>
        </w:rPr>
        <w:t xml:space="preserve">JUSTICE SCALIA </w:t>
      </w:r>
      <w:r w:rsidR="004B4340" w:rsidRPr="007A5BBC">
        <w:rPr>
          <w:rFonts w:ascii="Times New Roman" w:hAnsi="Times New Roman"/>
          <w:szCs w:val="24"/>
        </w:rPr>
        <w:t>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3498DB6E"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 548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Section 548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11 U.S.C. § 548(a)(2)(A).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0C98730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77"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the Fifth Circuit, interpreting a provision of the old Bankruptcy Act analogous to § 548(a)(2), held that a foreclosure sale that yielded 57% of the property's fair market value could be set aside, and indicated in dicta that any such sale for less 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 548 of the new Bankruptcy Code. </w:t>
      </w:r>
      <w:r w:rsidR="00C50203">
        <w:rPr>
          <w:rFonts w:ascii="Times New Roman" w:hAnsi="Times New Roman"/>
          <w:szCs w:val="24"/>
        </w:rPr>
        <w:t xml:space="preserve">[In] </w:t>
      </w:r>
      <w:hyperlink r:id="rId178" w:history="1">
        <w:r w:rsidR="00FE779C" w:rsidRPr="00C50203">
          <w:rPr>
            <w:rStyle w:val="Hyperlink"/>
            <w:rFonts w:ascii="Times New Roman" w:hAnsi="Times New Roman"/>
            <w:i/>
            <w:szCs w:val="24"/>
          </w:rPr>
          <w:t>In re Bundles</w:t>
        </w:r>
        <w:r w:rsidR="00FE779C" w:rsidRPr="00C50203">
          <w:rPr>
            <w:rStyle w:val="Hyperlink"/>
            <w:rFonts w:ascii="Times New Roman" w:hAnsi="Times New Roman"/>
            <w:szCs w:val="24"/>
          </w:rPr>
          <w:t>, the 856 F. 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sufficient to withstand attack under § 548(a)(2).</w:t>
      </w:r>
    </w:p>
    <w:p w14:paraId="0BF7A609" w14:textId="047AE215"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3158" w:name="OLE_LINK42"/>
      <w:bookmarkStart w:id="3159"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3158"/>
      <w:bookmarkEnd w:id="3159"/>
      <w:r w:rsidRPr="007A5BBC">
        <w:rPr>
          <w:rFonts w:ascii="Times New Roman" w:hAnsi="Times New Roman"/>
          <w:szCs w:val="24"/>
        </w:rPr>
        <w:t>under § 548(a)(2)(A). The Court of Appeals acknowledged that it "necessarily part[ed] from the positions taken by the Fifth [and Seventh] Circuits</w:t>
      </w:r>
      <w:r w:rsidR="005F6A8B">
        <w:rPr>
          <w:rFonts w:ascii="Times New Roman" w:hAnsi="Times New Roman"/>
          <w:szCs w:val="24"/>
        </w:rPr>
        <w:t xml:space="preserve">. </w:t>
      </w:r>
    </w:p>
    <w:p w14:paraId="1AB1DB8F" w14:textId="280A45B4"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Section 548]</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E116BE8"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5E8DA36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context</w:t>
      </w:r>
      <w:r w:rsidR="005F6A8B">
        <w:rPr>
          <w:rFonts w:ascii="Times New Roman" w:hAnsi="Times New Roman"/>
          <w:szCs w:val="24"/>
        </w:rPr>
        <w:t xml:space="preserve">. </w:t>
      </w:r>
      <w:r w:rsidRPr="007A5BBC">
        <w:rPr>
          <w:rFonts w:ascii="Times New Roman" w:hAnsi="Times New Roman"/>
          <w:szCs w:val="24"/>
        </w:rPr>
        <w:t xml:space="preserve">The language of § 548(a)(2)(A)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3160" w:name="OLE_LINK46"/>
      <w:bookmarkStart w:id="3161"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3162" w:name="OLE_LINK44"/>
      <w:bookmarkStart w:id="3163" w:name="OLE_LINK45"/>
      <w:bookmarkEnd w:id="3160"/>
      <w:bookmarkEnd w:id="3161"/>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3162"/>
      <w:bookmarkEnd w:id="3163"/>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purchased at foreclosure sales. To displace traditional State regulation in such a manner, the federal statutory purpose must be "clear and manifest.”  Otherwise, the Bankruptcy Code will be construed to adopt, rather than to displace, pre-existing state law. </w:t>
      </w:r>
    </w:p>
    <w:p w14:paraId="58934ABC"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For the reasons described, we decline to read the phrase "reasonably equivalent value" in § 548(a)(2)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0D76764C" w:rsidR="004B4340" w:rsidRDefault="004B4340" w:rsidP="001E2B43">
      <w:pPr>
        <w:ind w:firstLine="720"/>
        <w:jc w:val="both"/>
        <w:rPr>
          <w:rFonts w:ascii="Times New Roman" w:hAnsi="Times New Roman"/>
          <w:szCs w:val="24"/>
        </w:rPr>
      </w:pPr>
      <w:r w:rsidRPr="007A5BBC">
        <w:rPr>
          <w:rFonts w:ascii="Times New Roman" w:hAnsi="Times New Roman"/>
          <w:szCs w:val="24"/>
        </w:rPr>
        <w:t>This conclusion does not render § 548(a)(2) superfluous, since the "reasonably equivalent value" criterion will continue to have independent meaning (ordinarily a meaning similar to fair market value) outside the foreclosure context. Indeed, § 548(a)(2) will even continue to be an exclusive means of invalidating some foreclosure sales. Although collusive foreclosure sales are likely subject to attack under § 548(a)(1),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 548(a)(2)(A),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4A50187" w14:textId="77777777" w:rsidR="00D72D96" w:rsidRPr="007A5BBC" w:rsidRDefault="00D72D96" w:rsidP="001E2B43">
      <w:pPr>
        <w:ind w:firstLine="720"/>
        <w:jc w:val="both"/>
        <w:rPr>
          <w:rFonts w:ascii="Times New Roman" w:hAnsi="Times New Roman"/>
          <w:szCs w:val="24"/>
        </w:rPr>
      </w:pPr>
    </w:p>
    <w:p w14:paraId="165C6B11" w14:textId="19384933" w:rsidR="004B4340" w:rsidRPr="00D72D96" w:rsidRDefault="007C1024" w:rsidP="00D95675">
      <w:pPr>
        <w:pStyle w:val="Heading3"/>
        <w:rPr>
          <w:u w:val="single"/>
        </w:rPr>
      </w:pPr>
      <w:hyperlink r:id="rId179" w:history="1">
        <w:bookmarkStart w:id="3164" w:name="_Toc87039280"/>
        <w:bookmarkStart w:id="3165" w:name="_Toc90983676"/>
        <w:r w:rsidR="004B4340" w:rsidRPr="00D72D96">
          <w:rPr>
            <w:rStyle w:val="Hyperlink"/>
          </w:rPr>
          <w:t>A</w:t>
        </w:r>
        <w:r w:rsidR="00680A90" w:rsidRPr="00D72D96">
          <w:rPr>
            <w:rStyle w:val="Hyperlink"/>
          </w:rPr>
          <w:t xml:space="preserve">LLARD v. FLAMINGO HILTON, </w:t>
        </w:r>
        <w:r w:rsidR="004B4340" w:rsidRPr="00D72D96">
          <w:rPr>
            <w:rStyle w:val="Hyperlink"/>
          </w:rPr>
          <w:t>69 F.3d 769 (6th Cir. 1995)</w:t>
        </w:r>
        <w:bookmarkEnd w:id="3164"/>
        <w:bookmarkEnd w:id="3165"/>
      </w:hyperlink>
      <w:bookmarkStart w:id="3166" w:name="_Toc79693054"/>
      <w:bookmarkStart w:id="3167" w:name="_Toc79693374"/>
      <w:bookmarkStart w:id="3168" w:name="_Toc79693694"/>
      <w:bookmarkStart w:id="3169" w:name="_Toc79694011"/>
      <w:bookmarkStart w:id="3170" w:name="_Toc79694329"/>
      <w:bookmarkStart w:id="3171" w:name="_Toc79694651"/>
      <w:bookmarkStart w:id="3172" w:name="_Toc79694963"/>
      <w:bookmarkStart w:id="3173" w:name="_Toc79695279"/>
      <w:bookmarkStart w:id="3174" w:name="_Toc79695595"/>
      <w:bookmarkStart w:id="3175" w:name="_Toc79695911"/>
      <w:bookmarkStart w:id="3176" w:name="_Toc79696227"/>
      <w:bookmarkStart w:id="3177" w:name="_Toc79696543"/>
      <w:bookmarkStart w:id="3178" w:name="_Toc79696864"/>
      <w:bookmarkStart w:id="3179" w:name="_Toc79697196"/>
      <w:bookmarkStart w:id="3180" w:name="_Toc79697525"/>
      <w:bookmarkStart w:id="3181" w:name="_Toc79699196"/>
      <w:bookmarkStart w:id="3182" w:name="_Toc79699522"/>
      <w:bookmarkStart w:id="3183" w:name="_Toc79699860"/>
      <w:bookmarkStart w:id="3184" w:name="_Toc79700180"/>
      <w:bookmarkStart w:id="3185" w:name="_Toc79700502"/>
      <w:bookmarkStart w:id="3186" w:name="_Toc79700824"/>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r w:rsidR="00D72D96" w:rsidRPr="00D72D96">
        <w:rPr>
          <w:rStyle w:val="Hyperlink"/>
        </w:rPr>
        <w:br/>
      </w:r>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7A840CBB"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The trustee's complaint alleged that Mr. and Mrs. Chomakos had been insolvent for six 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11 U.S.C. Sec. 548(a),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January of 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27F4052A"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80"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(Bankr.D.Minn.1992)</w:t>
        </w:r>
      </w:hyperlink>
      <w:r w:rsidRPr="007A5BBC">
        <w:rPr>
          <w:rFonts w:ascii="Times New Roman" w:hAnsi="Times New Roman"/>
          <w:szCs w:val="24"/>
        </w:rPr>
        <w:t xml:space="preserve">, aff'd </w:t>
      </w:r>
      <w:hyperlink r:id="rId181" w:history="1">
        <w:r w:rsidRPr="00C50203">
          <w:rPr>
            <w:rStyle w:val="Hyperlink"/>
            <w:rFonts w:ascii="Times New Roman" w:hAnsi="Times New Roman"/>
            <w:szCs w:val="24"/>
          </w:rPr>
          <w:t>152 B.R. 939 (D.Minn.1993)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09DA4E1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82"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83"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in an open competitive marketplace responding and responsive to desires of legitimate tourists pursuing and engaging in a legal and legitimate pursuit."</w:t>
      </w:r>
    </w:p>
    <w:p w14:paraId="2A440388" w14:textId="1F5CE300" w:rsidR="004B4340"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Yet the trustee concedes that the restaurateur would not be liable for return of the money--and when asked at oral argument how money spent at a blackjack table differs from money spent at a dinner table, the trustee had no satisfactory answer.</w:t>
      </w:r>
    </w:p>
    <w:p w14:paraId="497D36B0" w14:textId="77777777" w:rsidR="00D72D96" w:rsidRPr="007A5BBC" w:rsidRDefault="00D72D96" w:rsidP="006C3ED3">
      <w:pPr>
        <w:ind w:firstLine="720"/>
        <w:jc w:val="both"/>
        <w:rPr>
          <w:rFonts w:ascii="Times New Roman" w:hAnsi="Times New Roman"/>
          <w:szCs w:val="24"/>
        </w:rPr>
      </w:pPr>
    </w:p>
    <w:p w14:paraId="1A3FB51A" w14:textId="09A80875" w:rsidR="004B4340" w:rsidRPr="007A5BBC" w:rsidRDefault="004B4340" w:rsidP="00D95675">
      <w:pPr>
        <w:pStyle w:val="Heading3"/>
      </w:pPr>
      <w:bookmarkStart w:id="3187" w:name="_Toc417380836"/>
      <w:bookmarkStart w:id="3188" w:name="_Toc87039281"/>
      <w:bookmarkStart w:id="3189" w:name="_Toc90983677"/>
      <w:r w:rsidRPr="007A5BBC">
        <w:t>I</w:t>
      </w:r>
      <w:r w:rsidR="003E43A7" w:rsidRPr="007A5BBC">
        <w:t xml:space="preserve">ntroduction to </w:t>
      </w:r>
      <w:r w:rsidR="003E43A7" w:rsidRPr="003D37AD">
        <w:rPr>
          <w:i/>
          <w:iCs/>
        </w:rPr>
        <w:t>Bakersfield Westar</w:t>
      </w:r>
      <w:bookmarkStart w:id="3190" w:name="_Toc79693055"/>
      <w:bookmarkStart w:id="3191" w:name="_Toc79693375"/>
      <w:bookmarkStart w:id="3192" w:name="_Toc79693695"/>
      <w:bookmarkStart w:id="3193" w:name="_Toc79694012"/>
      <w:bookmarkStart w:id="3194" w:name="_Toc79694330"/>
      <w:bookmarkStart w:id="3195" w:name="_Toc79694652"/>
      <w:bookmarkStart w:id="3196" w:name="_Toc79694964"/>
      <w:bookmarkStart w:id="3197" w:name="_Toc79695280"/>
      <w:bookmarkStart w:id="3198" w:name="_Toc79695596"/>
      <w:bookmarkStart w:id="3199" w:name="_Toc79695912"/>
      <w:bookmarkStart w:id="3200" w:name="_Toc79696228"/>
      <w:bookmarkStart w:id="3201" w:name="_Toc79696544"/>
      <w:bookmarkStart w:id="3202" w:name="_Toc79696865"/>
      <w:bookmarkStart w:id="3203" w:name="_Toc79697197"/>
      <w:bookmarkStart w:id="3204" w:name="_Toc79697526"/>
      <w:bookmarkStart w:id="3205" w:name="_Toc79699197"/>
      <w:bookmarkStart w:id="3206" w:name="_Toc79699523"/>
      <w:bookmarkStart w:id="3207" w:name="_Toc79699861"/>
      <w:bookmarkStart w:id="3208" w:name="_Toc79700181"/>
      <w:bookmarkStart w:id="3209" w:name="_Toc79700503"/>
      <w:bookmarkStart w:id="3210" w:name="_Toc79700825"/>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r w:rsidR="00D72D96">
        <w:rPr>
          <w:i/>
          <w:iCs/>
        </w:rPr>
        <w:br/>
      </w:r>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4AF79E4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6C3ED3" w:rsidRPr="007A5BBC">
        <w:rPr>
          <w:rFonts w:ascii="Times New Roman" w:hAnsi="Times New Roman"/>
          <w:szCs w:val="24"/>
        </w:rPr>
        <w:t xml:space="preserve">the time of receiving loan </w:t>
      </w:r>
      <w:r w:rsidR="00C0322E" w:rsidRPr="007A5BBC">
        <w:rPr>
          <w:rFonts w:ascii="Times New Roman" w:hAnsi="Times New Roman"/>
          <w:szCs w:val="24"/>
        </w:rPr>
        <w:t>forgiveness</w:t>
      </w:r>
      <w:r w:rsidR="006C3ED3" w:rsidRPr="007A5BBC">
        <w:rPr>
          <w:rFonts w:ascii="Times New Roman" w:hAnsi="Times New Roman"/>
          <w:szCs w:val="24"/>
        </w:rPr>
        <w:t>,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4FBFF8E1" w14:textId="3B5264D7" w:rsidR="00E37AE3" w:rsidRDefault="00E37AE3" w:rsidP="001E2B43">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62F37108" w14:textId="77777777" w:rsidR="00D72D96" w:rsidRPr="007A5BBC" w:rsidRDefault="00D72D96" w:rsidP="001E2B43">
      <w:pPr>
        <w:ind w:firstLine="720"/>
        <w:jc w:val="both"/>
        <w:rPr>
          <w:rFonts w:ascii="Times New Roman" w:hAnsi="Times New Roman"/>
          <w:szCs w:val="24"/>
        </w:rPr>
      </w:pPr>
    </w:p>
    <w:p w14:paraId="16AFABA3" w14:textId="3327A756" w:rsidR="00E37AE3" w:rsidRPr="00D72D96" w:rsidRDefault="007C1024" w:rsidP="00D95675">
      <w:pPr>
        <w:pStyle w:val="Heading3"/>
        <w:rPr>
          <w:u w:val="single"/>
        </w:rPr>
      </w:pPr>
      <w:hyperlink r:id="rId184" w:history="1">
        <w:bookmarkStart w:id="3211" w:name="_Toc87039282"/>
        <w:bookmarkStart w:id="3212" w:name="_Toc90983678"/>
        <w:r w:rsidR="00E37AE3" w:rsidRPr="00D72D96">
          <w:rPr>
            <w:rStyle w:val="Hyperlink"/>
          </w:rPr>
          <w:t>I</w:t>
        </w:r>
        <w:r w:rsidR="00680A90" w:rsidRPr="00D72D96">
          <w:rPr>
            <w:rStyle w:val="Hyperlink"/>
          </w:rPr>
          <w:t xml:space="preserve">N RE BAKERSFIELD WESTAR, INC., </w:t>
        </w:r>
        <w:r w:rsidR="00E37AE3" w:rsidRPr="00D72D96">
          <w:rPr>
            <w:rStyle w:val="Hyperlink"/>
          </w:rPr>
          <w:t>226 B.R. 227 (9th Cir. BAP 1998)</w:t>
        </w:r>
        <w:bookmarkEnd w:id="3211"/>
        <w:bookmarkEnd w:id="3212"/>
      </w:hyperlink>
      <w:bookmarkStart w:id="3213" w:name="_Toc79693056"/>
      <w:bookmarkStart w:id="3214" w:name="_Toc79693376"/>
      <w:bookmarkStart w:id="3215" w:name="_Toc79693696"/>
      <w:bookmarkStart w:id="3216" w:name="_Toc79694013"/>
      <w:bookmarkStart w:id="3217" w:name="_Toc79694331"/>
      <w:bookmarkStart w:id="3218" w:name="_Toc79694653"/>
      <w:bookmarkStart w:id="3219" w:name="_Toc79694965"/>
      <w:bookmarkStart w:id="3220" w:name="_Toc79695281"/>
      <w:bookmarkStart w:id="3221" w:name="_Toc79695597"/>
      <w:bookmarkStart w:id="3222" w:name="_Toc79695913"/>
      <w:bookmarkStart w:id="3223" w:name="_Toc79696229"/>
      <w:bookmarkStart w:id="3224" w:name="_Toc79696545"/>
      <w:bookmarkStart w:id="3225" w:name="_Toc79696866"/>
      <w:bookmarkStart w:id="3226" w:name="_Toc79697198"/>
      <w:bookmarkStart w:id="3227" w:name="_Toc79697527"/>
      <w:bookmarkStart w:id="3228" w:name="_Toc79699198"/>
      <w:bookmarkStart w:id="3229" w:name="_Toc79699524"/>
      <w:bookmarkStart w:id="3230" w:name="_Toc79699862"/>
      <w:bookmarkStart w:id="3231" w:name="_Toc79700182"/>
      <w:bookmarkStart w:id="3232" w:name="_Toc79700504"/>
      <w:bookmarkStart w:id="3233" w:name="_Toc79700826"/>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r w:rsidR="00D72D96" w:rsidRPr="00D72D96">
        <w:rPr>
          <w:rStyle w:val="Hyperlink"/>
        </w:rPr>
        <w:br/>
      </w:r>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4D84A5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Bakersfield Westar’s bankruptcy case filed an adversary proceeding in March 1996 against the Saunders, the Saunders’ bankruptcy trustee, and the IRS, seeking to avoid the Revocation as a fraudulent transfer under §§ 544(b) and 548, and Cal. Civ. Code § 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October 1996, the trustee moved for partial summary judgment to avoid the Revocation as a fraudulent transfer under § 548(a)(1) on the grounds that the debtor’s right to make or revoke its subchapter S election was “property,” and the Revocation of that election was a “transfer” within the meaning of § 548.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contended that the debtor’s election to be treated as a subchapter S corporation constituted a valuable property right because its corporate status allowed the debtor to pass its (and 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also argued that the Revocation was made with the actual intent to hinder, delay, and defraud creditors. He contended that the following “badges of fraud” demonstrated the necessary intent: the debtor’s failure to receive any direct or indirect value or benefit from the 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opposition and counter-motion for summary judgment argued that the trustee could not avoid the Revocation under § 548(a)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 548(a). In support of its conclusions, the court stated:</w:t>
      </w:r>
    </w:p>
    <w:p w14:paraId="60184231" w14:textId="0B9FA043"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Section 548 talks about transfers made by the debtor. This was not a transfer made by the debtor. The debtor is wholly neutral and ineffective 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 corporation had nothing to do with the election, it had nothing to do with the revocation. I cannot find — and that’s only one element of the finding — that that could ever be deemed property, apart from any further 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4A1F2E7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Section 548(a)(1) [9] of the Code, under which the trustee brought his motion for partial summary judgment, allows a trustee to avoid any fraudulent “transfer” of “an interest of the debtor in property.” The IRS acknowledges that the Code does not define “interest of the debtor in property.” However, the IRS repeats its argument from the proceedings below that a debtor’s prepetition right to revoke its election under I.R.C. § 1362, to be treated as a subchapter S corporation, is not an “interest of the debtor in property” within the meaning of § 548,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United States Supreme Court has defined an “interest of the debtor in property” as “that property that would have been part of the estate had it not been transferred before the commencement of bankruptcy proceedings.” </w:t>
      </w:r>
    </w:p>
    <w:p w14:paraId="7DB8FA87" w14:textId="0EDC231B"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 547 if its </w:t>
      </w:r>
      <w:bookmarkStart w:id="3234" w:name="OLE_LINK48"/>
      <w:bookmarkStart w:id="3235" w:name="OLE_LINK49"/>
      <w:r w:rsidRPr="007A5BBC">
        <w:rPr>
          <w:rFonts w:ascii="Times New Roman" w:hAnsi="Times New Roman"/>
          <w:szCs w:val="24"/>
        </w:rPr>
        <w:t>transfer will deprive the bankruptcy estate of something which could otherwise be used to satisfy the claims of creditors</w:t>
      </w:r>
      <w:bookmarkEnd w:id="3234"/>
      <w:bookmarkEnd w:id="3235"/>
      <w:r w:rsidRPr="007A5BBC">
        <w:rPr>
          <w:rFonts w:ascii="Times New Roman" w:hAnsi="Times New Roman"/>
          <w:szCs w:val="24"/>
        </w:rPr>
        <w:t xml:space="preserve">.” </w:t>
      </w:r>
      <w:r w:rsidRPr="00C50203">
        <w:rPr>
          <w:rFonts w:ascii="Times New Roman" w:hAnsi="Times New Roman"/>
          <w:i/>
          <w:szCs w:val="24"/>
        </w:rPr>
        <w:t xml:space="preserve">See also </w:t>
      </w:r>
      <w:hyperlink r:id="rId185"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(9th 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2E3B7CF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86" w:history="1">
        <w:r w:rsidRPr="00C50203">
          <w:rPr>
            <w:rStyle w:val="Hyperlink"/>
            <w:rFonts w:ascii="Times New Roman" w:hAnsi="Times New Roman"/>
            <w:szCs w:val="24"/>
          </w:rPr>
          <w:t>In re Trans-Lines West, Inc.,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debtor-corporation’s right to revoke its subchapter S status constituted “property” under the Code. Id. at 661. </w:t>
      </w:r>
    </w:p>
    <w:p w14:paraId="18A44E82" w14:textId="4F7123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3B3574AF"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Furthermore, the fact that a right may be prospective in nature does not place it outside the definition of “property.” “The main thrust of [§ 541’s predecessor under the Act] is to secure for creditors everything of value the [debtor] may possess. . . . To this end the term property has been construed most generously and an interest is not outside its reach because is it novel or contingent or because its enjoyment must be postponed.” </w:t>
      </w:r>
      <w:hyperlink r:id="rId187"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Accordingly, we hold that the debtor’s prepetition right to make or revoke its subchapter S status constituted “property” or “an interest of the debtor in property” within the meaning of the Code.</w:t>
      </w:r>
    </w:p>
    <w:p w14:paraId="3AE57596" w14:textId="77777777" w:rsidR="00E37AE3" w:rsidRPr="007A5BBC" w:rsidRDefault="00E37AE3" w:rsidP="001E2B43">
      <w:pPr>
        <w:jc w:val="both"/>
        <w:rPr>
          <w:rFonts w:ascii="Times New Roman" w:hAnsi="Times New Roman"/>
          <w:b/>
          <w:szCs w:val="24"/>
        </w:rPr>
      </w:pPr>
      <w:r w:rsidRPr="007A5BBC">
        <w:rPr>
          <w:rFonts w:ascii="Times New Roman" w:hAnsi="Times New Roman"/>
          <w:b/>
          <w:szCs w:val="24"/>
        </w:rPr>
        <w:t>2. Whether the debtor’s prepetition revocation of its corporate status election constitutes a “transfer” that may be avoided by a trustee under § 548(a)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11 U.S.C. § 101(54).</w:t>
      </w:r>
    </w:p>
    <w:p w14:paraId="5F26DC4D" w14:textId="57C6A55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fraudulent transfer doctrine prohibits the transfer of a debtor’s property with either the intent or effect of placing the property beyond the reach of its creditors. The underlying purpose of § 548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in this case has the power to avoid the debtor’s revocation of its subchapter S status. This result is consistent with the underlying purpose of § 548.</w:t>
      </w:r>
    </w:p>
    <w:p w14:paraId="7B1E6C46" w14:textId="4CC7220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contends that application of § 548 would directly conflict with the Tax Code provisions that regulate subchapter S elections. It insists that the general provisions of § 548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individual tax obligations outside of bankruptcy. The cases have no relevance to a trustee’s power to avoid a revocation under § 548.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 548 action or the fraud alleged by the trustee. The IRS contends that the situation would be particularly problematic if avoidance of the election under § 548 were to conflict with the Tax Code’s statute of limitations for adjustments to corporate and individual tax returns.</w:t>
      </w:r>
    </w:p>
    <w:p w14:paraId="5D693CE2" w14:textId="1A47EFE2" w:rsidR="00A57995" w:rsidRDefault="00E37AE3" w:rsidP="001E2B43">
      <w:pPr>
        <w:ind w:firstLine="720"/>
        <w:jc w:val="both"/>
        <w:rPr>
          <w:rFonts w:ascii="Times New Roman" w:hAnsi="Times New Roman"/>
          <w:szCs w:val="24"/>
        </w:rPr>
      </w:pPr>
      <w:r w:rsidRPr="007A5BBC">
        <w:rPr>
          <w:rFonts w:ascii="Times New Roman" w:hAnsi="Times New Roman"/>
          <w:szCs w:val="24"/>
        </w:rPr>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54CA6720" w14:textId="77777777" w:rsidR="006473CB" w:rsidRPr="007A5BBC" w:rsidRDefault="006473CB" w:rsidP="001E2B43">
      <w:pPr>
        <w:ind w:firstLine="720"/>
        <w:jc w:val="both"/>
        <w:rPr>
          <w:rFonts w:ascii="Times New Roman" w:hAnsi="Times New Roman"/>
          <w:szCs w:val="24"/>
        </w:rPr>
      </w:pPr>
    </w:p>
    <w:p w14:paraId="75855E9C" w14:textId="4B68F8FD" w:rsidR="00E37AE3" w:rsidRPr="007A5BBC" w:rsidRDefault="008C72DA" w:rsidP="006473CB">
      <w:pPr>
        <w:pStyle w:val="Heading2"/>
        <w:spacing w:line="240" w:lineRule="auto"/>
      </w:pPr>
      <w:bookmarkStart w:id="3236" w:name="_Toc417380837"/>
      <w:bookmarkStart w:id="3237" w:name="_Toc79699199"/>
      <w:bookmarkStart w:id="3238" w:name="_Toc79699525"/>
      <w:bookmarkStart w:id="3239" w:name="_Toc79699863"/>
      <w:bookmarkStart w:id="3240" w:name="_Toc79700183"/>
      <w:bookmarkStart w:id="3241" w:name="_Toc79700505"/>
      <w:bookmarkStart w:id="3242" w:name="_Toc87039283"/>
      <w:bookmarkStart w:id="3243" w:name="_Toc90983679"/>
      <w:r w:rsidRPr="007A5BBC">
        <w:t>The Strong Arm Power</w:t>
      </w:r>
      <w:r w:rsidR="005F76D5">
        <w:t xml:space="preserve"> – </w:t>
      </w:r>
      <w:r w:rsidRPr="007A5BBC">
        <w:t>11 U.S.C. § 544(a)</w:t>
      </w:r>
      <w:bookmarkStart w:id="3244" w:name="_Toc79693057"/>
      <w:bookmarkStart w:id="3245" w:name="_Toc79693377"/>
      <w:bookmarkStart w:id="3246" w:name="_Toc79693697"/>
      <w:bookmarkStart w:id="3247" w:name="_Toc79694014"/>
      <w:bookmarkStart w:id="3248" w:name="_Toc79694654"/>
      <w:bookmarkStart w:id="3249" w:name="_Toc79695282"/>
      <w:bookmarkStart w:id="3250" w:name="_Toc79697528"/>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r w:rsidR="006473CB">
        <w:br/>
      </w:r>
    </w:p>
    <w:p w14:paraId="188B6CCD" w14:textId="774BB537"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r w:rsidR="00345253" w:rsidRPr="007A5BBC">
        <w:rPr>
          <w:rFonts w:ascii="Times New Roman" w:hAnsi="Times New Roman"/>
          <w:szCs w:val="24"/>
        </w:rPr>
        <w:t>11 U.S.C. § 544(a)(1).</w:t>
      </w:r>
    </w:p>
    <w:p w14:paraId="6EF4E7AB" w14:textId="6F4946EC"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r w:rsidR="00345253" w:rsidRPr="007A5BBC">
        <w:rPr>
          <w:rFonts w:ascii="Times New Roman" w:hAnsi="Times New Roman"/>
          <w:szCs w:val="24"/>
        </w:rPr>
        <w:t>11 U.S.C. § 544(a)(3)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3326F0B7" w:rsidR="008C72DA" w:rsidRDefault="007170DE" w:rsidP="001E2B43">
      <w:pPr>
        <w:ind w:firstLine="720"/>
        <w:jc w:val="both"/>
        <w:rPr>
          <w:rFonts w:ascii="Times New Roman" w:hAnsi="Times New Roman"/>
          <w:szCs w:val="24"/>
        </w:rPr>
      </w:pPr>
      <w:r w:rsidRPr="007A5BBC">
        <w:rPr>
          <w:rFonts w:ascii="Times New Roman" w:hAnsi="Times New Roman"/>
          <w:szCs w:val="24"/>
        </w:rPr>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7ED5B44" w14:textId="77777777" w:rsidR="0060344D" w:rsidRPr="007A5BBC" w:rsidRDefault="0060344D" w:rsidP="001E2B43">
      <w:pPr>
        <w:ind w:firstLine="720"/>
        <w:jc w:val="both"/>
        <w:rPr>
          <w:rFonts w:ascii="Times New Roman" w:hAnsi="Times New Roman"/>
          <w:szCs w:val="24"/>
        </w:rPr>
      </w:pPr>
    </w:p>
    <w:p w14:paraId="74A97CB8" w14:textId="296A0F33" w:rsidR="00CA4B0D" w:rsidRPr="003D37AD" w:rsidRDefault="00CA4B0D" w:rsidP="00D95675">
      <w:pPr>
        <w:pStyle w:val="Heading3"/>
      </w:pPr>
      <w:bookmarkStart w:id="3251" w:name="_Toc417380838"/>
      <w:bookmarkStart w:id="3252" w:name="_Toc87039284"/>
      <w:bookmarkStart w:id="3253" w:name="_Toc90983680"/>
      <w:r w:rsidRPr="003D37AD">
        <w:t>P</w:t>
      </w:r>
      <w:r w:rsidR="00680A90" w:rsidRPr="003D37AD">
        <w:t>ractice Problems</w:t>
      </w:r>
      <w:r w:rsidRPr="003D37AD">
        <w:t xml:space="preserve">: </w:t>
      </w:r>
      <w:r w:rsidR="00680A90" w:rsidRPr="003D37AD">
        <w:t xml:space="preserve">The </w:t>
      </w:r>
      <w:r w:rsidRPr="003D37AD">
        <w:t>Strong Arm Power</w:t>
      </w:r>
      <w:bookmarkStart w:id="3254" w:name="_Toc79693058"/>
      <w:bookmarkStart w:id="3255" w:name="_Toc79693378"/>
      <w:bookmarkStart w:id="3256" w:name="_Toc79693698"/>
      <w:bookmarkStart w:id="3257" w:name="_Toc79694015"/>
      <w:bookmarkStart w:id="3258" w:name="_Toc79694333"/>
      <w:bookmarkStart w:id="3259" w:name="_Toc79694655"/>
      <w:bookmarkStart w:id="3260" w:name="_Toc79694967"/>
      <w:bookmarkStart w:id="3261" w:name="_Toc79695283"/>
      <w:bookmarkStart w:id="3262" w:name="_Toc79695599"/>
      <w:bookmarkStart w:id="3263" w:name="_Toc79695915"/>
      <w:bookmarkStart w:id="3264" w:name="_Toc79696231"/>
      <w:bookmarkStart w:id="3265" w:name="_Toc79696547"/>
      <w:bookmarkStart w:id="3266" w:name="_Toc79696868"/>
      <w:bookmarkStart w:id="3267" w:name="_Toc79697200"/>
      <w:bookmarkStart w:id="3268" w:name="_Toc79697529"/>
      <w:bookmarkStart w:id="3269" w:name="_Toc79699200"/>
      <w:bookmarkStart w:id="3270" w:name="_Toc79699526"/>
      <w:bookmarkStart w:id="3271" w:name="_Toc79699864"/>
      <w:bookmarkStart w:id="3272" w:name="_Toc79700184"/>
      <w:bookmarkStart w:id="3273" w:name="_Toc79700506"/>
      <w:bookmarkStart w:id="3274" w:name="_Toc79700828"/>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r w:rsidR="0060344D">
        <w:br/>
      </w:r>
    </w:p>
    <w:p w14:paraId="4671A191" w14:textId="5A5460D8" w:rsidR="00E91841" w:rsidRDefault="00E91841" w:rsidP="00E91841">
      <w:pPr>
        <w:ind w:firstLine="720"/>
        <w:jc w:val="both"/>
        <w:rPr>
          <w:rFonts w:ascii="Times New Roman" w:hAnsi="Times New Roman"/>
          <w:szCs w:val="24"/>
        </w:rPr>
      </w:pPr>
      <w:r>
        <w:rPr>
          <w:rFonts w:ascii="Times New Roman" w:hAnsi="Times New Roman"/>
          <w:szCs w:val="24"/>
        </w:rPr>
        <w:t xml:space="preserve">Answer the following </w:t>
      </w:r>
      <w:r w:rsidR="00AD57F5">
        <w:rPr>
          <w:rFonts w:ascii="Times New Roman" w:hAnsi="Times New Roman"/>
          <w:szCs w:val="24"/>
        </w:rPr>
        <w:t>q</w:t>
      </w:r>
      <w:r>
        <w:rPr>
          <w:rFonts w:ascii="Times New Roman" w:hAnsi="Times New Roman"/>
          <w:szCs w:val="24"/>
        </w:rPr>
        <w:t>uestions:</w:t>
      </w:r>
    </w:p>
    <w:p w14:paraId="77DCB81E" w14:textId="0CCA2176" w:rsidR="00EF756F" w:rsidRDefault="00EF756F" w:rsidP="00EF756F">
      <w:pPr>
        <w:pStyle w:val="0-NORMAL"/>
      </w:pPr>
      <w:r w:rsidRPr="00EF756F">
        <w:rPr>
          <w:b/>
        </w:rPr>
        <w:t>Problem 1</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CA4B0D" w:rsidRPr="00EF756F">
        <w:t>, 11 U.S.C. §§ 546(b), 362(b)(3).</w:t>
      </w:r>
    </w:p>
    <w:p w14:paraId="6F247120" w14:textId="5F6D44DE" w:rsidR="00EF756F" w:rsidRDefault="00EF756F" w:rsidP="00EF756F">
      <w:pPr>
        <w:pStyle w:val="0-NORMAL"/>
      </w:pPr>
      <w:r w:rsidRPr="00EF756F">
        <w:rPr>
          <w:b/>
        </w:rPr>
        <w:t>Problem 2</w:t>
      </w:r>
      <w:r w:rsidR="005F6A8B">
        <w:t xml:space="preserve">. </w:t>
      </w:r>
      <w:r w:rsidR="00CA4B0D" w:rsidRPr="00EF756F">
        <w:t xml:space="preserve">Would your answer to </w:t>
      </w:r>
      <w:r w:rsidR="00E91841" w:rsidRPr="00EF756F">
        <w:t>P</w:t>
      </w:r>
      <w:r w:rsidR="00CA4B0D" w:rsidRPr="00EF756F">
        <w:t xml:space="preserve">roblem </w:t>
      </w:r>
      <w:r w:rsidR="00CA5FA4">
        <w:t xml:space="preserve">(1) </w:t>
      </w:r>
      <w:r w:rsidR="00CA4B0D" w:rsidRPr="00EF756F">
        <w:t xml:space="preserve">change if the Bank issued the check to the debtor, and the debtor used other </w:t>
      </w:r>
      <w:r w:rsidR="00E91841" w:rsidRPr="00EF756F">
        <w:t>money to purchase the equipment.</w:t>
      </w:r>
    </w:p>
    <w:p w14:paraId="63FB10A8" w14:textId="368CAF71" w:rsidR="0023508E" w:rsidRDefault="00EF756F" w:rsidP="00EF756F">
      <w:pPr>
        <w:pStyle w:val="0-NORMAL"/>
      </w:pPr>
      <w:r w:rsidRPr="00EF756F">
        <w:rPr>
          <w:b/>
        </w:rPr>
        <w:t>Problem 3</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E335D63" w14:textId="77777777" w:rsidR="00F56C0E" w:rsidRPr="00EF756F" w:rsidRDefault="00F56C0E" w:rsidP="00EF756F">
      <w:pPr>
        <w:pStyle w:val="0-NORMAL"/>
      </w:pPr>
    </w:p>
    <w:p w14:paraId="4579829F" w14:textId="6F1B5578" w:rsidR="008C72DA" w:rsidRPr="003D37AD" w:rsidRDefault="00646EC9" w:rsidP="0060344D">
      <w:pPr>
        <w:pStyle w:val="Heading3"/>
      </w:pPr>
      <w:bookmarkStart w:id="3275" w:name="_Toc417380839"/>
      <w:bookmarkStart w:id="3276" w:name="_Toc87039285"/>
      <w:bookmarkStart w:id="3277" w:name="_Toc90983681"/>
      <w:r w:rsidRPr="003D37AD">
        <w:t xml:space="preserve">Cases on the </w:t>
      </w:r>
      <w:r w:rsidR="00047168" w:rsidRPr="003D37AD">
        <w:t>Strong Arm Power</w:t>
      </w:r>
      <w:bookmarkStart w:id="3278" w:name="_Toc79693059"/>
      <w:bookmarkStart w:id="3279" w:name="_Toc79693379"/>
      <w:bookmarkStart w:id="3280" w:name="_Toc79693699"/>
      <w:bookmarkStart w:id="3281" w:name="_Toc79694016"/>
      <w:bookmarkStart w:id="3282" w:name="_Toc79694334"/>
      <w:bookmarkStart w:id="3283" w:name="_Toc79694656"/>
      <w:bookmarkStart w:id="3284" w:name="_Toc79694968"/>
      <w:bookmarkStart w:id="3285" w:name="_Toc79695284"/>
      <w:bookmarkStart w:id="3286" w:name="_Toc79695600"/>
      <w:bookmarkStart w:id="3287" w:name="_Toc79695916"/>
      <w:bookmarkStart w:id="3288" w:name="_Toc79696232"/>
      <w:bookmarkStart w:id="3289" w:name="_Toc79696548"/>
      <w:bookmarkStart w:id="3290" w:name="_Toc79696869"/>
      <w:bookmarkStart w:id="3291" w:name="_Toc79697201"/>
      <w:bookmarkStart w:id="3292" w:name="_Toc79697530"/>
      <w:bookmarkStart w:id="3293" w:name="_Toc79699201"/>
      <w:bookmarkStart w:id="3294" w:name="_Toc79699527"/>
      <w:bookmarkStart w:id="3295" w:name="_Toc79699865"/>
      <w:bookmarkStart w:id="3296" w:name="_Toc79700185"/>
      <w:bookmarkStart w:id="3297" w:name="_Toc79700507"/>
      <w:bookmarkStart w:id="3298" w:name="_Toc79700829"/>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r w:rsidR="0060344D">
        <w:br/>
      </w:r>
    </w:p>
    <w:p w14:paraId="59DA7E4C" w14:textId="4C839B53" w:rsidR="00047168" w:rsidRPr="0060344D" w:rsidRDefault="007C1024" w:rsidP="0060344D">
      <w:pPr>
        <w:pStyle w:val="Heading4"/>
        <w:rPr>
          <w:u w:val="single"/>
        </w:rPr>
      </w:pPr>
      <w:hyperlink r:id="rId188" w:history="1">
        <w:bookmarkStart w:id="3299" w:name="_Toc87039286"/>
        <w:bookmarkStart w:id="3300" w:name="_Toc90983682"/>
        <w:r w:rsidR="00047168" w:rsidRPr="0060344D">
          <w:rPr>
            <w:rStyle w:val="Hyperlink"/>
          </w:rPr>
          <w:t>I</w:t>
        </w:r>
        <w:r w:rsidR="00680A90" w:rsidRPr="0060344D">
          <w:rPr>
            <w:rStyle w:val="Hyperlink"/>
          </w:rPr>
          <w:t xml:space="preserve">N RE PROJECT HOMESTEAD, INC., </w:t>
        </w:r>
        <w:r w:rsidR="00047168" w:rsidRPr="0060344D">
          <w:rPr>
            <w:rStyle w:val="Hyperlink"/>
          </w:rPr>
          <w:t>374 B.R. 193 (Bankr. MD NC 2007)</w:t>
        </w:r>
        <w:bookmarkEnd w:id="3299"/>
        <w:bookmarkEnd w:id="3300"/>
      </w:hyperlink>
      <w:bookmarkStart w:id="3301" w:name="_Toc79693060"/>
      <w:bookmarkStart w:id="3302" w:name="_Toc79693380"/>
      <w:bookmarkStart w:id="3303" w:name="_Toc79693700"/>
      <w:bookmarkStart w:id="3304" w:name="_Toc79694017"/>
      <w:bookmarkStart w:id="3305" w:name="_Toc79694335"/>
      <w:bookmarkStart w:id="3306" w:name="_Toc79694969"/>
      <w:bookmarkStart w:id="3307" w:name="_Toc79695285"/>
      <w:bookmarkStart w:id="3308" w:name="_Toc79695601"/>
      <w:bookmarkStart w:id="3309" w:name="_Toc79695917"/>
      <w:bookmarkStart w:id="3310" w:name="_Toc79696233"/>
      <w:bookmarkStart w:id="3311" w:name="_Toc79696549"/>
      <w:bookmarkStart w:id="3312" w:name="_Toc79696870"/>
      <w:bookmarkStart w:id="3313" w:name="_Toc79697202"/>
      <w:bookmarkStart w:id="3314" w:name="_Toc79697531"/>
      <w:bookmarkStart w:id="3315" w:name="_Toc79699202"/>
      <w:bookmarkStart w:id="3316" w:name="_Toc79699528"/>
      <w:bookmarkStart w:id="3317" w:name="_Toc79699866"/>
      <w:bookmarkStart w:id="3318" w:name="_Toc79700186"/>
      <w:bookmarkStart w:id="3319" w:name="_Toc79700508"/>
      <w:bookmarkStart w:id="3320" w:name="_Toc7970083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r w:rsidR="0060344D" w:rsidRPr="0060344D">
        <w:rPr>
          <w:rStyle w:val="Hyperlink"/>
        </w:rPr>
        <w:br/>
      </w:r>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Although each of these proceedings arises out of a separate transaction, the fact patterns involved in the transactions are very similar. In each case, the Purchasers entered into purchase 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off the indebtedness secured by the pre-existing deed of trust. In each instance, Ms. Swittenberg, in fact, did pay off the indebtedness secured by the pre-existing deed of trust. However, Ms. Swittenberg failed to record either the deeds from the Debtor or the deeds 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section 541(d) therefore operates to exclude the properties from the bankruptcy estate and place the properties beyond the reach of the Trustee's powers under section 544(a)(3).</w:t>
      </w:r>
    </w:p>
    <w:p w14:paraId="2995CFEB"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not conceding that the Purchasers are entitled to a constructive trust, the Trustee argues that even if a constructive trust were imposed, the Trustee's rights under section 544(a)(3) are not subordinate to a constructive trust and that as a bona fide purchaser for value under section 544(a)(3), he is entitled to prevail over any rights of the Purchasers under a constructive trust.</w:t>
      </w:r>
    </w:p>
    <w:p w14:paraId="735634C6" w14:textId="5F021F2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issue thus presented is whether section 541(d) trumps the Trustee's rights and powers under section 544(a)(3).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89"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that section 541(d) does not trump the trustee's rights and powers under section 544(a)(3).</w:t>
      </w:r>
    </w:p>
    <w:p w14:paraId="4D3377E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section 541(d). Prior to those amendments, section 541(d) referred to property that became property of the estate under "subsection (a)." The 1984 amendments significantly modified the language of section 541(d) by deleting "subsection (a)" and replacing it with "subsection (a)(1) or (2)." This court agrees with the conclusion that "[b]y excluding from the operation of § 541(d) those portions of § 541(a) other than subsections (a)(1) and (a)(2), Congress clearly signaled its intention that the trustee's avoidance powers would trump claims based solely on the debtor's lack of equitable title." </w:t>
      </w:r>
    </w:p>
    <w:p w14:paraId="4A8CC3CC"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section 544(a)(3)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the text of section 544(a)(3)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6AEB9BDE" w14:textId="754BE337" w:rsidR="0060344D" w:rsidRDefault="00047168" w:rsidP="00F56C0E">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7B58B135" w14:textId="77777777" w:rsidR="00F56C0E" w:rsidRPr="007A5BBC" w:rsidRDefault="00F56C0E" w:rsidP="00F56C0E">
      <w:pPr>
        <w:ind w:firstLine="720"/>
        <w:jc w:val="both"/>
        <w:rPr>
          <w:rFonts w:ascii="Times New Roman" w:hAnsi="Times New Roman"/>
          <w:szCs w:val="24"/>
        </w:rPr>
      </w:pPr>
    </w:p>
    <w:p w14:paraId="497349AD" w14:textId="6BC77354" w:rsidR="00047168" w:rsidRPr="0060344D" w:rsidRDefault="007C1024" w:rsidP="00D95675">
      <w:pPr>
        <w:pStyle w:val="Heading4"/>
        <w:rPr>
          <w:u w:val="single"/>
        </w:rPr>
      </w:pPr>
      <w:hyperlink r:id="rId190" w:history="1">
        <w:bookmarkStart w:id="3321" w:name="_Toc87039287"/>
        <w:bookmarkStart w:id="3322" w:name="_Toc90983683"/>
        <w:r w:rsidR="00047168" w:rsidRPr="0060344D">
          <w:rPr>
            <w:rStyle w:val="Hyperlink"/>
          </w:rPr>
          <w:t>I</w:t>
        </w:r>
        <w:r w:rsidR="00680A90" w:rsidRPr="0060344D">
          <w:rPr>
            <w:rStyle w:val="Hyperlink"/>
          </w:rPr>
          <w:t xml:space="preserve">N RE LOUISE CARY MORENO, </w:t>
        </w:r>
        <w:r w:rsidR="00047168" w:rsidRPr="0060344D">
          <w:rPr>
            <w:rStyle w:val="Hyperlink"/>
          </w:rPr>
          <w:t>293 B.R. 777 (Bankr. D. Col. 2003)</w:t>
        </w:r>
        <w:bookmarkEnd w:id="3321"/>
        <w:bookmarkEnd w:id="3322"/>
      </w:hyperlink>
      <w:bookmarkStart w:id="3323" w:name="_Toc79693061"/>
      <w:bookmarkStart w:id="3324" w:name="_Toc79693381"/>
      <w:bookmarkStart w:id="3325" w:name="_Toc79693701"/>
      <w:bookmarkStart w:id="3326" w:name="_Toc79694018"/>
      <w:bookmarkStart w:id="3327" w:name="_Toc79694336"/>
      <w:bookmarkStart w:id="3328" w:name="_Toc79694970"/>
      <w:bookmarkStart w:id="3329" w:name="_Toc79695286"/>
      <w:bookmarkStart w:id="3330" w:name="_Toc79695602"/>
      <w:bookmarkStart w:id="3331" w:name="_Toc79695918"/>
      <w:bookmarkStart w:id="3332" w:name="_Toc79696234"/>
      <w:bookmarkStart w:id="3333" w:name="_Toc79696550"/>
      <w:bookmarkStart w:id="3334" w:name="_Toc79696871"/>
      <w:bookmarkStart w:id="3335" w:name="_Toc79697203"/>
      <w:bookmarkStart w:id="3336" w:name="_Toc79697532"/>
      <w:bookmarkStart w:id="3337" w:name="_Toc79699203"/>
      <w:bookmarkStart w:id="3338" w:name="_Toc79699529"/>
      <w:bookmarkStart w:id="3339" w:name="_Toc79699867"/>
      <w:bookmarkStart w:id="3340" w:name="_Toc79700187"/>
      <w:bookmarkStart w:id="3341" w:name="_Toc79700509"/>
      <w:bookmarkStart w:id="3342" w:name="_Toc79700831"/>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r w:rsidR="0060344D" w:rsidRPr="0060344D">
        <w:rPr>
          <w:rStyle w:val="Hyperlink"/>
        </w:rPr>
        <w:br/>
      </w:r>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 Whether a defective deed of trust provided constructive notice and/or inquiry notice of the Bank's purported lien on the Property to the Trustee — as a hypothetical lien creditor — so as to trump the Trustee's avoidance powers under 11 U.S.C. § 544.</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Repayment of the Note was to be secured by a December 1, 1999 Deed of Trust ("Deed of Trust") which was intended to encumber the Property. The first page of the Deed of Trust sets 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08C35C1F" w14:textId="5DA05C11" w:rsidR="003931CD" w:rsidRPr="007A5BBC" w:rsidRDefault="00047168" w:rsidP="0060344D">
      <w:pPr>
        <w:ind w:firstLine="720"/>
        <w:jc w:val="both"/>
        <w:rPr>
          <w:rFonts w:ascii="Times New Roman" w:hAnsi="Times New Roman"/>
          <w:szCs w:val="24"/>
        </w:rPr>
      </w:pPr>
      <w:r w:rsidRPr="007A5BBC">
        <w:rPr>
          <w:rFonts w:ascii="Times New Roman" w:hAnsi="Times New Roman"/>
          <w:szCs w:val="24"/>
        </w:rPr>
        <w:t>The Trustee is seeking to avoid the lien created by the Deed of Trust under 11 U.S.C. § 544(a)</w:t>
      </w:r>
      <w:r w:rsidR="00083725">
        <w:rPr>
          <w:rFonts w:ascii="Times New Roman" w:hAnsi="Times New Roman"/>
          <w:szCs w:val="24"/>
        </w:rPr>
        <w:t xml:space="preserve">. </w:t>
      </w:r>
      <w:r w:rsidRPr="007A5BBC">
        <w:rPr>
          <w:rFonts w:ascii="Times New Roman" w:hAnsi="Times New Roman"/>
          <w:szCs w:val="24"/>
        </w:rPr>
        <w:t xml:space="preserve">As part of the legal fiction created, is the reality that despite any actual knowledge the trustee or the debtor has at the time of the bankruptcy filing, no such actual knowledge will be imputed to the trustee in his or her pursuit in avoiding claims under 11 U.S.C. § 544.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t xml:space="preserve">B. </w:t>
      </w:r>
      <w:r w:rsidRPr="007A5BBC">
        <w:rPr>
          <w:rFonts w:ascii="Times New Roman" w:hAnsi="Times New Roman"/>
          <w:b/>
          <w:szCs w:val="24"/>
        </w:rPr>
        <w:t>There is No Constructive and/or Inquiry Notice of the Bank's Purported Lien on the Property</w:t>
      </w:r>
    </w:p>
    <w:p w14:paraId="4E33238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11 U.S.C. § 544 is measured by the substantive law of the jurisdiction governing the property in question. The Bank asserts that under applicable Colorado state law, the trustee's avoidance powers under 11 U.S.C. § 544 are subject to constructive notice and/or inquiry notice. Here, the Bank contends that under the circumstances, such constructive notice and/or inquiry notice precludes the Trustee from avoiding its admittedly defective lien on the property. </w:t>
      </w:r>
    </w:p>
    <w:p w14:paraId="1AE74D36" w14:textId="6C4486B3"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191"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bankruptcy, he should be imputed with constructive notice of a deed of trust "as recorded in the appropriate fashion." </w:t>
      </w:r>
      <w:hyperlink r:id="rId192"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6BF8F06F" w:rsidR="00D13F09" w:rsidRDefault="00047168" w:rsidP="00307601">
      <w:pPr>
        <w:ind w:firstLine="720"/>
        <w:jc w:val="both"/>
        <w:rPr>
          <w:rFonts w:ascii="Times New Roman" w:hAnsi="Times New Roman"/>
          <w:szCs w:val="24"/>
        </w:rPr>
      </w:pPr>
      <w:r w:rsidRPr="007A5BBC">
        <w:rPr>
          <w:rFonts w:ascii="Times New Roman" w:hAnsi="Times New Roman"/>
          <w:szCs w:val="24"/>
        </w:rPr>
        <w:t>The Bank admits it made a mistake. Thus, the Bank, as a banking institution, presumably with some experience in the area of securing loans, is "properly charged with the responsibility for compliance with applicable statutes." Id.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11 U.S.C. § 544 for the benefit of the estate.</w:t>
      </w:r>
    </w:p>
    <w:p w14:paraId="482CC09E" w14:textId="149344C1" w:rsidR="0060344D" w:rsidRDefault="0060344D" w:rsidP="00307601">
      <w:pPr>
        <w:ind w:firstLine="720"/>
        <w:jc w:val="both"/>
        <w:rPr>
          <w:rFonts w:ascii="Times New Roman" w:hAnsi="Times New Roman"/>
          <w:szCs w:val="24"/>
        </w:rPr>
      </w:pPr>
    </w:p>
    <w:p w14:paraId="70C15562" w14:textId="77777777" w:rsidR="00F56C0E" w:rsidRPr="007A5BBC" w:rsidRDefault="00F56C0E" w:rsidP="00307601">
      <w:pPr>
        <w:ind w:firstLine="720"/>
        <w:jc w:val="both"/>
        <w:rPr>
          <w:rFonts w:ascii="Times New Roman" w:hAnsi="Times New Roman"/>
          <w:szCs w:val="24"/>
        </w:rPr>
      </w:pPr>
    </w:p>
    <w:p w14:paraId="20BBA894" w14:textId="426F962C" w:rsidR="00E37AE3" w:rsidRPr="007A5BBC" w:rsidRDefault="00047168" w:rsidP="0060344D">
      <w:pPr>
        <w:pStyle w:val="Heading2"/>
        <w:spacing w:line="240" w:lineRule="auto"/>
      </w:pPr>
      <w:bookmarkStart w:id="3343" w:name="_Toc417380840"/>
      <w:bookmarkStart w:id="3344" w:name="_Toc79699204"/>
      <w:bookmarkStart w:id="3345" w:name="_Toc79699530"/>
      <w:bookmarkStart w:id="3346" w:name="_Toc79699868"/>
      <w:bookmarkStart w:id="3347" w:name="_Toc79700188"/>
      <w:bookmarkStart w:id="3348" w:name="_Toc79700510"/>
      <w:bookmarkStart w:id="3349" w:name="_Toc87039288"/>
      <w:bookmarkStart w:id="3350" w:name="_Toc90983684"/>
      <w:r w:rsidRPr="007A5BBC">
        <w:t>Preferences</w:t>
      </w:r>
      <w:r w:rsidR="005F76D5">
        <w:t xml:space="preserve"> – </w:t>
      </w:r>
      <w:r w:rsidR="0002797A" w:rsidRPr="007A5BBC">
        <w:t>11 U.S.C. § 547</w:t>
      </w:r>
      <w:bookmarkStart w:id="3351" w:name="_Toc79693062"/>
      <w:bookmarkStart w:id="3352" w:name="_Toc79693382"/>
      <w:bookmarkStart w:id="3353" w:name="_Toc79693702"/>
      <w:bookmarkStart w:id="3354" w:name="_Toc79694019"/>
      <w:bookmarkStart w:id="3355" w:name="_Toc79694657"/>
      <w:bookmarkStart w:id="3356" w:name="_Toc79695287"/>
      <w:bookmarkStart w:id="3357" w:name="_Toc79697533"/>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r w:rsidR="0060344D">
        <w:br/>
      </w:r>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Congress picked a bright line period (generally 90 days before bankruptcy), and provided that creditors who received a preferential benefit during that period must give it back and accept equality of treatment with other similarly situated creditors.</w:t>
      </w:r>
    </w:p>
    <w:p w14:paraId="41088899" w14:textId="43F5966C" w:rsidR="003A7F4C" w:rsidRDefault="00211D2B" w:rsidP="00F56C0E">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B8D2ABA" w14:textId="77777777" w:rsidR="003A7F4C" w:rsidRPr="007A5BBC" w:rsidRDefault="003A7F4C" w:rsidP="00307601">
      <w:pPr>
        <w:ind w:firstLine="720"/>
        <w:jc w:val="both"/>
        <w:rPr>
          <w:rFonts w:ascii="Times New Roman" w:hAnsi="Times New Roman"/>
          <w:szCs w:val="24"/>
        </w:rPr>
      </w:pPr>
    </w:p>
    <w:p w14:paraId="1197CE12" w14:textId="146ED47C" w:rsidR="00B55B5F" w:rsidRPr="007A5BBC" w:rsidRDefault="00B55B5F" w:rsidP="0060344D">
      <w:pPr>
        <w:pStyle w:val="Heading2"/>
        <w:spacing w:line="240" w:lineRule="auto"/>
      </w:pPr>
      <w:bookmarkStart w:id="3358" w:name="_Toc417380841"/>
      <w:bookmarkStart w:id="3359" w:name="_Toc79699205"/>
      <w:bookmarkStart w:id="3360" w:name="_Toc79699531"/>
      <w:bookmarkStart w:id="3361" w:name="_Toc79699869"/>
      <w:bookmarkStart w:id="3362" w:name="_Toc79700189"/>
      <w:bookmarkStart w:id="3363" w:name="_Toc79700511"/>
      <w:bookmarkStart w:id="3364" w:name="_Toc87039289"/>
      <w:bookmarkStart w:id="3365" w:name="_Toc90983685"/>
      <w:r w:rsidRPr="007A5BBC">
        <w:t>P</w:t>
      </w:r>
      <w:r w:rsidR="00680A90">
        <w:t xml:space="preserve">ractice Problems: The </w:t>
      </w:r>
      <w:r w:rsidRPr="007A5BBC">
        <w:t>Preference Law</w:t>
      </w:r>
      <w:bookmarkStart w:id="3366" w:name="_Toc79693063"/>
      <w:bookmarkStart w:id="3367" w:name="_Toc79693383"/>
      <w:bookmarkStart w:id="3368" w:name="_Toc79693703"/>
      <w:bookmarkStart w:id="3369" w:name="_Toc79694020"/>
      <w:bookmarkStart w:id="3370" w:name="_Toc79694658"/>
      <w:bookmarkStart w:id="3371" w:name="_Toc79695288"/>
      <w:bookmarkStart w:id="3372" w:name="_Toc79697534"/>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r w:rsidR="0060344D">
        <w:br/>
      </w:r>
    </w:p>
    <w:p w14:paraId="63E2CFCF" w14:textId="2D77E8B6" w:rsidR="00136602" w:rsidRPr="007A5BBC" w:rsidRDefault="00B55B5F" w:rsidP="004965B6">
      <w:pPr>
        <w:ind w:firstLine="720"/>
        <w:jc w:val="both"/>
        <w:rPr>
          <w:rFonts w:ascii="Times New Roman" w:hAnsi="Times New Roman"/>
          <w:szCs w:val="24"/>
        </w:rPr>
      </w:pPr>
      <w:r w:rsidRPr="007A5BBC">
        <w:rPr>
          <w:rFonts w:ascii="Times New Roman" w:hAnsi="Times New Roman"/>
          <w:szCs w:val="24"/>
        </w:rPr>
        <w:t>Are the following transactions avoidable as preferences under Section 547(b)? Do not</w:t>
      </w:r>
      <w:r w:rsidR="00C0322E">
        <w:rPr>
          <w:rFonts w:ascii="Times New Roman" w:hAnsi="Times New Roman"/>
          <w:szCs w:val="24"/>
        </w:rPr>
        <w:t xml:space="preserve"> </w:t>
      </w:r>
      <w:r w:rsidRPr="007A5BBC">
        <w:rPr>
          <w:rFonts w:ascii="Times New Roman" w:hAnsi="Times New Roman"/>
          <w:szCs w:val="24"/>
        </w:rPr>
        <w:t>consider any preference exceptions or who may be liable for the recovery.</w:t>
      </w:r>
      <w:bookmarkStart w:id="3373" w:name="OLE_LINK50"/>
      <w:bookmarkStart w:id="3374" w:name="OLE_LINK51"/>
    </w:p>
    <w:p w14:paraId="15A14B67" w14:textId="62A5E829" w:rsidR="00EB4EAA" w:rsidRDefault="00EB4EAA" w:rsidP="00EB4EAA">
      <w:pPr>
        <w:pStyle w:val="0-NORMAL"/>
      </w:pPr>
      <w:r w:rsidRPr="00EB4EAA">
        <w:rPr>
          <w:b/>
        </w:rPr>
        <w:t>Problem 1</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4C28E224" w:rsidR="00EB4EAA" w:rsidRDefault="00EB4EAA" w:rsidP="00EB4EAA">
      <w:pPr>
        <w:pStyle w:val="0-NORMAL"/>
      </w:pPr>
      <w:r w:rsidRPr="00EB4EAA">
        <w:rPr>
          <w:b/>
        </w:rPr>
        <w:t>Problem 2</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3DF54CAF" w:rsidR="00EB4EAA" w:rsidRDefault="00EB4EAA" w:rsidP="00EB4EAA">
      <w:pPr>
        <w:pStyle w:val="0-NORMAL"/>
      </w:pPr>
      <w:r w:rsidRPr="00EB4EAA">
        <w:rPr>
          <w:b/>
        </w:rPr>
        <w:t>Problem 3</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35DB5DF1" w:rsidR="00EB4EAA" w:rsidRDefault="00EB4EAA" w:rsidP="00EB4EAA">
      <w:pPr>
        <w:pStyle w:val="0-NORMAL"/>
      </w:pPr>
      <w:r w:rsidRPr="00EB4EAA">
        <w:rPr>
          <w:b/>
        </w:rPr>
        <w:t>Problem 4</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3375" w:name="OLE_LINK52"/>
      <w:bookmarkStart w:id="3376" w:name="OLE_LINK53"/>
      <w:bookmarkEnd w:id="3373"/>
      <w:bookmarkEnd w:id="3374"/>
    </w:p>
    <w:p w14:paraId="425E37EE" w14:textId="12C064A3" w:rsidR="00EB4EAA" w:rsidRDefault="00EB4EAA" w:rsidP="00EB4EAA">
      <w:pPr>
        <w:pStyle w:val="0-NORMAL"/>
      </w:pPr>
      <w:r w:rsidRPr="00EB4EAA">
        <w:rPr>
          <w:b/>
        </w:rPr>
        <w:t>Problem 5</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701F4392" w:rsidR="00EB4EAA" w:rsidRDefault="00EB4EAA" w:rsidP="00EB4EAA">
      <w:pPr>
        <w:pStyle w:val="0-NORMAL"/>
      </w:pPr>
      <w:r w:rsidRPr="00EB4EAA">
        <w:rPr>
          <w:b/>
        </w:rPr>
        <w:t>Problem 6</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584C8DA2" w:rsidR="00EB4EAA" w:rsidRDefault="00EB4EAA" w:rsidP="00EB4EAA">
      <w:pPr>
        <w:pStyle w:val="0-NORMAL"/>
      </w:pPr>
      <w:r w:rsidRPr="00EB4EAA">
        <w:rPr>
          <w:b/>
        </w:rPr>
        <w:t>Problem 7</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ebtor believes was worth $250,000</w:t>
      </w:r>
      <w:r w:rsidR="005F6A8B">
        <w:t xml:space="preserve">. </w:t>
      </w:r>
      <w:r w:rsidR="00052915" w:rsidRPr="00EB4EAA">
        <w:t>Bank of America bought the house with a credit bid of $200,000 at the foreclosure sale.</w:t>
      </w:r>
    </w:p>
    <w:p w14:paraId="7D3CFEC5" w14:textId="080A50C9" w:rsidR="00EB4EAA" w:rsidRDefault="00EB4EAA" w:rsidP="00EB4EAA">
      <w:pPr>
        <w:pStyle w:val="0-NORMAL"/>
      </w:pPr>
      <w:r w:rsidRPr="00EB4EAA">
        <w:rPr>
          <w:b/>
        </w:rPr>
        <w:t>Problem 8</w:t>
      </w:r>
      <w:r w:rsidR="005F6A8B">
        <w:t xml:space="preserve">. </w:t>
      </w:r>
      <w:r w:rsidR="00646220" w:rsidRPr="00EB4EAA">
        <w:t>Debtor made</w:t>
      </w:r>
      <w:r w:rsidR="00052915" w:rsidRPr="00EB4EAA">
        <w:t xml:space="preserve"> credit card payments of $1,000 on the 15th of every month, and filed bankruptcy on April 16th.</w:t>
      </w:r>
      <w:bookmarkStart w:id="3377" w:name="OLE_LINK54"/>
      <w:bookmarkStart w:id="3378" w:name="OLE_LINK55"/>
      <w:bookmarkEnd w:id="3375"/>
      <w:bookmarkEnd w:id="3376"/>
    </w:p>
    <w:p w14:paraId="110E5FAC" w14:textId="2629F38C" w:rsidR="00EB4EAA" w:rsidRDefault="00EB4EAA" w:rsidP="00EB4EAA">
      <w:pPr>
        <w:pStyle w:val="0-NORMAL"/>
      </w:pPr>
      <w:r w:rsidRPr="00EB4EAA">
        <w:rPr>
          <w:b/>
        </w:rPr>
        <w:t>Problem 9</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609210B4" w:rsidR="00EB4EAA" w:rsidRDefault="00EB4EAA" w:rsidP="00EB4EAA">
      <w:pPr>
        <w:pStyle w:val="0-NORMAL"/>
      </w:pPr>
      <w:r w:rsidRPr="00EB4EAA">
        <w:rPr>
          <w:b/>
        </w:rPr>
        <w:t>Problem 10</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7065C6">
        <w:rPr>
          <w:i/>
          <w:iCs/>
        </w:rPr>
        <w:t xml:space="preserve">See </w:t>
      </w:r>
      <w:r w:rsidR="00F903A4" w:rsidRPr="00EB4EAA">
        <w:t>11 U.S.C. § 547(e)(2).</w:t>
      </w:r>
      <w:bookmarkStart w:id="3379" w:name="OLE_LINK56"/>
      <w:bookmarkStart w:id="3380" w:name="OLE_LINK57"/>
      <w:bookmarkEnd w:id="3377"/>
      <w:bookmarkEnd w:id="3378"/>
    </w:p>
    <w:p w14:paraId="4DF1C328" w14:textId="7610043F" w:rsidR="00EB4EAA" w:rsidRDefault="00EB4EAA" w:rsidP="00EB4EAA">
      <w:pPr>
        <w:pStyle w:val="0-NORMAL"/>
      </w:pPr>
      <w:r w:rsidRPr="00EB4EAA">
        <w:rPr>
          <w:b/>
        </w:rPr>
        <w:t>Problem 11</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47736150" w:rsidR="00EB4EAA" w:rsidRDefault="00EB4EAA" w:rsidP="00EB4EAA">
      <w:pPr>
        <w:pStyle w:val="0-NORMAL"/>
      </w:pPr>
      <w:r w:rsidRPr="00EB4EAA">
        <w:rPr>
          <w:b/>
        </w:rPr>
        <w:t>Problem 12</w:t>
      </w:r>
      <w:r w:rsidR="005F6A8B">
        <w:t xml:space="preserve">. </w:t>
      </w:r>
      <w:r w:rsidR="00F903A4" w:rsidRPr="00EB4EAA">
        <w:t>Same facts as Problem (</w:t>
      </w:r>
      <w:r w:rsidRPr="00EB4EAA">
        <w:t>11</w:t>
      </w:r>
      <w:r w:rsidR="00F903A4" w:rsidRPr="00EB4EAA">
        <w:t>) except that the equipment was worth $75,000.</w:t>
      </w:r>
    </w:p>
    <w:p w14:paraId="0AF93444" w14:textId="4B49E9C9" w:rsidR="00EB4EAA" w:rsidRDefault="00EB4EAA" w:rsidP="00EB4EAA">
      <w:pPr>
        <w:pStyle w:val="0-NORMAL"/>
      </w:pPr>
      <w:r w:rsidRPr="00EB4EAA">
        <w:rPr>
          <w:b/>
        </w:rPr>
        <w:t>Problem 13</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06D1C579" w:rsidR="00EB4EAA" w:rsidRDefault="00EB4EAA" w:rsidP="00EB4EAA">
      <w:pPr>
        <w:pStyle w:val="0-NORMAL"/>
      </w:pPr>
      <w:r w:rsidRPr="00EB4EAA">
        <w:rPr>
          <w:b/>
        </w:rPr>
        <w:t>Problem 14</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3C8F47F2" w:rsidR="00EB4EAA" w:rsidRDefault="00EB4EAA" w:rsidP="00EB4EAA">
      <w:pPr>
        <w:pStyle w:val="0-NORMAL"/>
      </w:pPr>
      <w:r w:rsidRPr="00EB4EAA">
        <w:rPr>
          <w:b/>
        </w:rPr>
        <w:t>Problem 16</w:t>
      </w:r>
      <w:r w:rsidR="005F6A8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3379"/>
      <w:bookmarkEnd w:id="3380"/>
    </w:p>
    <w:p w14:paraId="3BA03A56" w14:textId="3365E620" w:rsidR="00EB4EAA" w:rsidRDefault="00EB4EAA" w:rsidP="00EB4EAA">
      <w:pPr>
        <w:pStyle w:val="0-NORMAL"/>
      </w:pPr>
      <w:r w:rsidRPr="00EB4EAA">
        <w:rPr>
          <w:b/>
        </w:rPr>
        <w:t>Problem 17</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 xml:space="preserve">On January 1, </w:t>
      </w:r>
      <w:r w:rsidR="004965B6">
        <w:t>D</w:t>
      </w:r>
      <w:r w:rsidR="009B43C7" w:rsidRPr="00EB4EAA">
        <w:t>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2AF7CF2" w:rsidR="00EB4EAA" w:rsidRDefault="00EB4EAA" w:rsidP="00EB4EAA">
      <w:pPr>
        <w:pStyle w:val="0-NORMAL"/>
      </w:pPr>
      <w:r w:rsidRPr="00EB4EAA">
        <w:rPr>
          <w:b/>
        </w:rPr>
        <w:t>Problem 18</w:t>
      </w:r>
      <w:r w:rsidR="005F6A8B">
        <w:t xml:space="preserve">. </w:t>
      </w:r>
      <w:r w:rsidR="009B43C7" w:rsidRPr="00EB4EAA">
        <w:t xml:space="preserve">What if </w:t>
      </w:r>
      <w:r w:rsidR="0093515D" w:rsidRPr="00EB4EAA">
        <w:t>D</w:t>
      </w:r>
      <w:r w:rsidR="009B43C7" w:rsidRPr="00EB4EAA">
        <w:t>ebtor in Problem (</w:t>
      </w:r>
      <w:r>
        <w:t>17</w:t>
      </w:r>
      <w:r w:rsidR="009B43C7" w:rsidRPr="00EB4EAA">
        <w:t xml:space="preserve">) filed bankruptcy on </w:t>
      </w:r>
      <w:r w:rsidR="00DF5D83" w:rsidRPr="00EB4EAA">
        <w:t xml:space="preserve">April </w:t>
      </w:r>
      <w:r w:rsidR="00FA7B3C" w:rsidRPr="00EB4EAA">
        <w:t>4</w:t>
      </w:r>
      <w:r w:rsidR="009B43C7" w:rsidRPr="00EB4EAA">
        <w:t>?</w:t>
      </w:r>
    </w:p>
    <w:p w14:paraId="18787FA6" w14:textId="31E1568E" w:rsidR="00EB4EAA" w:rsidRDefault="00EB4EAA" w:rsidP="00EB4EAA">
      <w:pPr>
        <w:pStyle w:val="0-NORMAL"/>
      </w:pPr>
      <w:r w:rsidRPr="00EB4EAA">
        <w:rPr>
          <w:b/>
        </w:rPr>
        <w:t>Problem 19</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Is the payment preferential</w:t>
      </w:r>
      <w:r w:rsidR="00083725" w:rsidRPr="00EB4EAA">
        <w:t xml:space="preserve">? </w:t>
      </w:r>
      <w:hyperlink r:id="rId193" w:history="1">
        <w:r w:rsidR="0075053D" w:rsidRPr="004965B6">
          <w:rPr>
            <w:i/>
            <w:iCs/>
          </w:rPr>
          <w:t>Barnhill v. Johnson</w:t>
        </w:r>
        <w:r w:rsidR="0075053D" w:rsidRPr="00756AF6">
          <w:t>, 503 US 393 (1992)</w:t>
        </w:r>
      </w:hyperlink>
      <w:r w:rsidR="0075053D" w:rsidRPr="00EB4EAA">
        <w:t xml:space="preserve"> (because of debtor’s ability to stop payment, transfer by check “takes effect” within the meaning of section 547Ie)(2)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6F860065" w:rsidR="00EB4EAA" w:rsidRDefault="00EB4EAA" w:rsidP="00EB4EAA">
      <w:pPr>
        <w:pStyle w:val="0-NORMAL"/>
      </w:pPr>
      <w:r w:rsidRPr="00EB4EAA">
        <w:rPr>
          <w:b/>
        </w:rPr>
        <w:t>Problem 20</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r w:rsidR="00083725" w:rsidRPr="00EB4EAA">
        <w:t>?</w:t>
      </w:r>
      <w:r w:rsidR="00083725">
        <w:t xml:space="preserve"> </w:t>
      </w:r>
      <w:r w:rsidR="00CA5FA4">
        <w:t>What if the house had a fair market value of only $75,000?</w:t>
      </w:r>
    </w:p>
    <w:p w14:paraId="7AB9AA48" w14:textId="3F9896F5" w:rsidR="0060344D" w:rsidRPr="00EB4EAA" w:rsidRDefault="00EB4EAA" w:rsidP="00F56C0E">
      <w:pPr>
        <w:pStyle w:val="0-NORMAL"/>
      </w:pPr>
      <w:r w:rsidRPr="00EB4EAA">
        <w:rPr>
          <w:b/>
        </w:rPr>
        <w:t>Problem 21</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7C0923E5" w14:textId="03900057" w:rsidR="0075053D" w:rsidRPr="007A5BBC" w:rsidRDefault="00646EC9" w:rsidP="0060344D">
      <w:pPr>
        <w:pStyle w:val="Heading2"/>
        <w:spacing w:line="240" w:lineRule="auto"/>
      </w:pPr>
      <w:bookmarkStart w:id="3381" w:name="_Toc417380842"/>
      <w:bookmarkStart w:id="3382" w:name="_Toc79699206"/>
      <w:bookmarkStart w:id="3383" w:name="_Toc79699532"/>
      <w:bookmarkStart w:id="3384" w:name="_Toc79699870"/>
      <w:bookmarkStart w:id="3385" w:name="_Toc79700190"/>
      <w:bookmarkStart w:id="3386" w:name="_Toc79700512"/>
      <w:bookmarkStart w:id="3387" w:name="_Toc87039290"/>
      <w:bookmarkStart w:id="3388" w:name="_Toc90983686"/>
      <w:r>
        <w:t xml:space="preserve">Cases on </w:t>
      </w:r>
      <w:r w:rsidR="00D056F6" w:rsidRPr="007A5BBC">
        <w:t>Preferences</w:t>
      </w:r>
      <w:bookmarkStart w:id="3389" w:name="_Toc79693064"/>
      <w:bookmarkStart w:id="3390" w:name="_Toc79693384"/>
      <w:bookmarkStart w:id="3391" w:name="_Toc79693704"/>
      <w:bookmarkStart w:id="3392" w:name="_Toc79694021"/>
      <w:bookmarkStart w:id="3393" w:name="_Toc79694659"/>
      <w:bookmarkStart w:id="3394" w:name="_Toc79695289"/>
      <w:bookmarkStart w:id="3395" w:name="_Toc79697535"/>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r w:rsidR="0060344D">
        <w:br/>
      </w:r>
    </w:p>
    <w:p w14:paraId="139A2273" w14:textId="2D87DAD7" w:rsidR="00066A8E" w:rsidRPr="0060344D" w:rsidRDefault="007C1024" w:rsidP="0060344D">
      <w:pPr>
        <w:pStyle w:val="Heading3"/>
        <w:rPr>
          <w:u w:val="single"/>
        </w:rPr>
      </w:pPr>
      <w:hyperlink r:id="rId194" w:history="1">
        <w:bookmarkStart w:id="3396" w:name="_Toc87039291"/>
        <w:bookmarkStart w:id="3397" w:name="_Toc90983687"/>
        <w:r w:rsidR="00066A8E" w:rsidRPr="0060344D">
          <w:rPr>
            <w:rStyle w:val="Hyperlink"/>
          </w:rPr>
          <w:t>B</w:t>
        </w:r>
        <w:r w:rsidR="00756AF6" w:rsidRPr="0060344D">
          <w:rPr>
            <w:rStyle w:val="Hyperlink"/>
          </w:rPr>
          <w:t xml:space="preserve">EIGIER v. IRS, </w:t>
        </w:r>
        <w:r w:rsidR="00066A8E" w:rsidRPr="0060344D">
          <w:rPr>
            <w:rStyle w:val="Hyperlink"/>
          </w:rPr>
          <w:t>496 U.S. 53 (1990)</w:t>
        </w:r>
        <w:bookmarkEnd w:id="3396"/>
        <w:bookmarkEnd w:id="3397"/>
      </w:hyperlink>
      <w:bookmarkStart w:id="3398" w:name="_Toc79693065"/>
      <w:bookmarkStart w:id="3399" w:name="_Toc79693385"/>
      <w:bookmarkStart w:id="3400" w:name="_Toc79693705"/>
      <w:bookmarkStart w:id="3401" w:name="_Toc79694022"/>
      <w:bookmarkStart w:id="3402" w:name="_Toc79694340"/>
      <w:bookmarkStart w:id="3403" w:name="_Toc79694660"/>
      <w:bookmarkStart w:id="3404" w:name="_Toc79694974"/>
      <w:bookmarkStart w:id="3405" w:name="_Toc79695290"/>
      <w:bookmarkStart w:id="3406" w:name="_Toc79695606"/>
      <w:bookmarkStart w:id="3407" w:name="_Toc79695922"/>
      <w:bookmarkStart w:id="3408" w:name="_Toc79696238"/>
      <w:bookmarkStart w:id="3409" w:name="_Toc79696554"/>
      <w:bookmarkStart w:id="3410" w:name="_Toc79696875"/>
      <w:bookmarkStart w:id="3411" w:name="_Toc79697207"/>
      <w:bookmarkStart w:id="3412" w:name="_Toc79697536"/>
      <w:bookmarkStart w:id="3413" w:name="_Toc79699207"/>
      <w:bookmarkStart w:id="3414" w:name="_Toc79699533"/>
      <w:bookmarkStart w:id="3415" w:name="_Toc79699871"/>
      <w:bookmarkStart w:id="3416" w:name="_Toc79700191"/>
      <w:bookmarkStart w:id="3417" w:name="_Toc79700513"/>
      <w:bookmarkStart w:id="3418" w:name="_Toc79700835"/>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r w:rsidR="0060344D" w:rsidRPr="0060344D">
        <w:rPr>
          <w:rStyle w:val="Hyperlink"/>
        </w:rPr>
        <w:br/>
      </w:r>
    </w:p>
    <w:p w14:paraId="1B285D56" w14:textId="77777777" w:rsidR="00066A8E" w:rsidRPr="007A5BBC" w:rsidRDefault="00066A8E" w:rsidP="00066A8E">
      <w:pPr>
        <w:ind w:firstLine="720"/>
        <w:rPr>
          <w:rFonts w:ascii="Times New Roman" w:hAnsi="Times New Roman"/>
          <w:szCs w:val="24"/>
        </w:rPr>
      </w:pPr>
      <w:r w:rsidRPr="007A5BBC">
        <w:rPr>
          <w:rFonts w:ascii="Times New Roman" w:hAnsi="Times New Roman"/>
          <w:szCs w:val="24"/>
        </w:rPr>
        <w:t>JUSTICE MARSHALL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On September 19, the Bankruptcy Court appointed petitioner Harry P. Begier, Jr., trustee, and a plan of liquidation in Chapter 11 was confirmed. Seeking to exercise his avoidance power, Begier filed an adversary action against the Government to recover the entire amount that AIA had paid the IRS for trust-fund taxes during the 90 days before the bankruptcy filing.</w:t>
      </w:r>
    </w:p>
    <w:p w14:paraId="37A86849"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3419" w:name="OLE_LINK58"/>
      <w:bookmarkStart w:id="3420" w:name="OLE_LINK59"/>
      <w:r w:rsidRPr="007A5BBC">
        <w:rPr>
          <w:rFonts w:ascii="Times New Roman" w:hAnsi="Times New Roman"/>
          <w:szCs w:val="24"/>
        </w:rPr>
        <w:t>, if the debtor transfers property that would not have been available for distribution to his creditors in a bankruptcy proceeding, the policy behind the avoidance power is not implicated. The reach of 547(b)'s avoidance power is therefore limited to transfers of "property of the debtor."</w:t>
      </w:r>
    </w:p>
    <w:p w14:paraId="52B59A86" w14:textId="653BD4C9"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3419"/>
      <w:bookmarkEnd w:id="3420"/>
      <w:r w:rsidR="005F6A8B">
        <w:rPr>
          <w:rFonts w:ascii="Times New Roman" w:hAnsi="Times New Roman"/>
          <w:szCs w:val="24"/>
        </w:rPr>
        <w:t xml:space="preserve">. </w:t>
      </w:r>
      <w:r w:rsidRPr="007A5BBC">
        <w:rPr>
          <w:rFonts w:ascii="Times New Roman" w:hAnsi="Times New Roman"/>
          <w:szCs w:val="24"/>
        </w:rPr>
        <w:t>For guidance, then, we must turn to 541, which delineates the scope of "property of the estate" and serves as the postpetition analog to 547(b)'s "property of the debtor."</w:t>
      </w:r>
    </w:p>
    <w:p w14:paraId="1BF5F700" w14:textId="7D65B10B"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Section 541(d) provides: "Property in which the debtor holds, as of the commencement of the case, only legal title and not an equitable interest . . . becomes property of the estate under 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not "property of the estate." Nor is such an equitable interest "property of the debtor" for purposes of 547(b).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3421" w:name="OLE_LINK60"/>
      <w:bookmarkStart w:id="3422"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3421"/>
    <w:bookmarkEnd w:id="3422"/>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3423" w:name="OLE_LINK62"/>
      <w:bookmarkStart w:id="3424"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3423"/>
      <w:bookmarkEnd w:id="3424"/>
      <w:r w:rsidRPr="007A5BBC">
        <w:rPr>
          <w:rFonts w:ascii="Times New Roman" w:hAnsi="Times New Roman"/>
          <w:szCs w:val="24"/>
        </w:rPr>
        <w:t xml:space="preserve"> 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payments." The debtor's act of voluntarily paying its trust-fund tax obligation therefore is alone sufficient to establish the required nexus between the "amount" held in trust and the funds paid.</w:t>
      </w:r>
    </w:p>
    <w:p w14:paraId="0BC44F34" w14:textId="41F151AC" w:rsidR="00066A8E" w:rsidRDefault="00066A8E" w:rsidP="00307601">
      <w:pPr>
        <w:ind w:firstLine="720"/>
        <w:jc w:val="both"/>
        <w:rPr>
          <w:rFonts w:ascii="Times New Roman" w:hAnsi="Times New Roman"/>
          <w:szCs w:val="24"/>
        </w:rPr>
      </w:pPr>
      <w:bookmarkStart w:id="3425" w:name="OLE_LINK64"/>
      <w:bookmarkStart w:id="3426"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3425"/>
      <w:bookmarkEnd w:id="3426"/>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43550A8D" w14:textId="77777777" w:rsidR="003A7F4C" w:rsidRPr="007A5BBC" w:rsidRDefault="003A7F4C" w:rsidP="00F56C0E">
      <w:pPr>
        <w:jc w:val="both"/>
        <w:rPr>
          <w:rFonts w:ascii="Times New Roman" w:hAnsi="Times New Roman"/>
          <w:szCs w:val="24"/>
        </w:rPr>
      </w:pPr>
    </w:p>
    <w:p w14:paraId="5B62A790" w14:textId="12B6B45C" w:rsidR="0017516A" w:rsidRPr="0065771D" w:rsidRDefault="007C1024" w:rsidP="00D95675">
      <w:pPr>
        <w:pStyle w:val="Heading3"/>
        <w:rPr>
          <w:u w:val="single"/>
        </w:rPr>
      </w:pPr>
      <w:hyperlink r:id="rId195" w:history="1">
        <w:bookmarkStart w:id="3427" w:name="_Toc87039292"/>
        <w:bookmarkStart w:id="3428" w:name="_Toc90983688"/>
        <w:r w:rsidR="0017516A" w:rsidRPr="0065771D">
          <w:rPr>
            <w:rStyle w:val="Hyperlink"/>
          </w:rPr>
          <w:t>I</w:t>
        </w:r>
        <w:r w:rsidR="00756AF6" w:rsidRPr="0065771D">
          <w:rPr>
            <w:rStyle w:val="Hyperlink"/>
          </w:rPr>
          <w:t xml:space="preserve">N RE CASTILLO, </w:t>
        </w:r>
        <w:r w:rsidR="0017516A" w:rsidRPr="0065771D">
          <w:rPr>
            <w:rStyle w:val="Hyperlink"/>
          </w:rPr>
          <w:t>39 B.R. 45 (Bankr. D. Col. 1984)</w:t>
        </w:r>
        <w:bookmarkEnd w:id="3427"/>
        <w:bookmarkEnd w:id="3428"/>
      </w:hyperlink>
      <w:bookmarkStart w:id="3429" w:name="_Toc79693066"/>
      <w:bookmarkStart w:id="3430" w:name="_Toc79693386"/>
      <w:bookmarkStart w:id="3431" w:name="_Toc79693706"/>
      <w:bookmarkStart w:id="3432" w:name="_Toc79694023"/>
      <w:bookmarkStart w:id="3433" w:name="_Toc79694341"/>
      <w:bookmarkStart w:id="3434" w:name="_Toc79694661"/>
      <w:bookmarkStart w:id="3435" w:name="_Toc79694975"/>
      <w:bookmarkStart w:id="3436" w:name="_Toc79695291"/>
      <w:bookmarkStart w:id="3437" w:name="_Toc79695607"/>
      <w:bookmarkStart w:id="3438" w:name="_Toc79695923"/>
      <w:bookmarkStart w:id="3439" w:name="_Toc79696239"/>
      <w:bookmarkStart w:id="3440" w:name="_Toc79696555"/>
      <w:bookmarkStart w:id="3441" w:name="_Toc79696876"/>
      <w:bookmarkStart w:id="3442" w:name="_Toc79697208"/>
      <w:bookmarkStart w:id="3443" w:name="_Toc79697537"/>
      <w:bookmarkStart w:id="3444" w:name="_Toc79699208"/>
      <w:bookmarkStart w:id="3445" w:name="_Toc79699534"/>
      <w:bookmarkStart w:id="3446" w:name="_Toc79699872"/>
      <w:bookmarkStart w:id="3447" w:name="_Toc79700192"/>
      <w:bookmarkStart w:id="3448" w:name="_Toc79700514"/>
      <w:bookmarkStart w:id="3449" w:name="_Toc79700836"/>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r w:rsidR="0065771D" w:rsidRPr="0065771D">
        <w:rPr>
          <w:rStyle w:val="Hyperlink"/>
        </w:rPr>
        <w:br/>
      </w:r>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Debtors contracted for, and obtained, the services of the Defendant, Rivera Funeral Home (Rivera). The Debtors executed a note for $2,306.00 in favor of Rivera and paid this amount 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3450" w:name="OLE_LINK66"/>
      <w:bookmarkStart w:id="3451"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3450"/>
      <w:bookmarkEnd w:id="3451"/>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first element of a preferential transfer as set forth in section 547(b) requires that there be a transfer of property of the debtor. As a general rule, when a third person makes a loan to the 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49B1C8B5" w:rsidR="00C14EEB" w:rsidRDefault="0017516A" w:rsidP="0093515D">
      <w:pPr>
        <w:ind w:firstLine="720"/>
        <w:jc w:val="both"/>
        <w:rPr>
          <w:rFonts w:ascii="Times New Roman" w:hAnsi="Times New Roman"/>
          <w:szCs w:val="24"/>
        </w:rPr>
      </w:pPr>
      <w:r w:rsidRPr="007A5BBC">
        <w:rPr>
          <w:rFonts w:ascii="Times New Roman" w:hAnsi="Times New Roman"/>
          <w:szCs w:val="24"/>
        </w:rPr>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446DB17A" w14:textId="77777777" w:rsidR="003931CD" w:rsidRPr="007A5BBC" w:rsidRDefault="003931CD" w:rsidP="0093515D">
      <w:pPr>
        <w:ind w:firstLine="720"/>
        <w:jc w:val="both"/>
        <w:rPr>
          <w:rFonts w:ascii="Times New Roman" w:hAnsi="Times New Roman"/>
          <w:szCs w:val="24"/>
        </w:rPr>
      </w:pPr>
    </w:p>
    <w:p w14:paraId="6E2BEFAE" w14:textId="0631F894" w:rsidR="0017516A" w:rsidRPr="0065771D" w:rsidRDefault="007C1024" w:rsidP="00D95675">
      <w:pPr>
        <w:pStyle w:val="Heading3"/>
        <w:rPr>
          <w:u w:val="single"/>
        </w:rPr>
      </w:pPr>
      <w:hyperlink r:id="rId196" w:history="1">
        <w:bookmarkStart w:id="3452" w:name="_Toc87039293"/>
        <w:bookmarkStart w:id="3453" w:name="_Toc90983689"/>
        <w:r w:rsidR="0017516A" w:rsidRPr="0065771D">
          <w:rPr>
            <w:rStyle w:val="Hyperlink"/>
          </w:rPr>
          <w:t>P</w:t>
        </w:r>
        <w:r w:rsidR="00756AF6" w:rsidRPr="0065771D">
          <w:rPr>
            <w:rStyle w:val="Hyperlink"/>
          </w:rPr>
          <w:t xml:space="preserve">ARKS v. FIA CREDIT SERVICES, N.A., </w:t>
        </w:r>
        <w:r w:rsidR="0017516A" w:rsidRPr="0065771D">
          <w:rPr>
            <w:rStyle w:val="Hyperlink"/>
          </w:rPr>
          <w:t>550 F.3d 1251 (10</w:t>
        </w:r>
        <w:r w:rsidR="004965B6" w:rsidRPr="0065771D">
          <w:rPr>
            <w:rStyle w:val="Hyperlink"/>
          </w:rPr>
          <w:t>th</w:t>
        </w:r>
        <w:r w:rsidR="0017516A" w:rsidRPr="0065771D">
          <w:rPr>
            <w:rStyle w:val="Hyperlink"/>
          </w:rPr>
          <w:t xml:space="preserve"> Cir. 2008)</w:t>
        </w:r>
        <w:bookmarkEnd w:id="3452"/>
        <w:bookmarkEnd w:id="3453"/>
      </w:hyperlink>
      <w:bookmarkStart w:id="3454" w:name="_Toc79693067"/>
      <w:bookmarkStart w:id="3455" w:name="_Toc79693387"/>
      <w:bookmarkStart w:id="3456" w:name="_Toc79693707"/>
      <w:bookmarkStart w:id="3457" w:name="_Toc79694024"/>
      <w:bookmarkStart w:id="3458" w:name="_Toc79694342"/>
      <w:bookmarkStart w:id="3459" w:name="_Toc79694662"/>
      <w:bookmarkStart w:id="3460" w:name="_Toc79694976"/>
      <w:bookmarkStart w:id="3461" w:name="_Toc79695292"/>
      <w:bookmarkStart w:id="3462" w:name="_Toc79695608"/>
      <w:bookmarkStart w:id="3463" w:name="_Toc79695924"/>
      <w:bookmarkStart w:id="3464" w:name="_Toc79696240"/>
      <w:bookmarkStart w:id="3465" w:name="_Toc79696556"/>
      <w:bookmarkStart w:id="3466" w:name="_Toc79696877"/>
      <w:bookmarkStart w:id="3467" w:name="_Toc79697209"/>
      <w:bookmarkStart w:id="3468" w:name="_Toc79697538"/>
      <w:bookmarkStart w:id="3469" w:name="_Toc79699209"/>
      <w:bookmarkStart w:id="3470" w:name="_Toc79699535"/>
      <w:bookmarkStart w:id="3471" w:name="_Toc79699873"/>
      <w:bookmarkStart w:id="3472" w:name="_Toc79700193"/>
      <w:bookmarkStart w:id="3473" w:name="_Toc79700515"/>
      <w:bookmarkStart w:id="3474" w:name="_Toc79700837"/>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r w:rsidR="0065771D">
        <w:rPr>
          <w:rStyle w:val="Hyperlink"/>
        </w:rPr>
        <w:br/>
      </w:r>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bankruptcy court determined Debtors' payments to MBNA were not preferential transfers because they did not constitute transfers of an interest of Debtors in property as required by 11 U.S.C. § 547(b):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Parks appealed to the district court, [which] affirmed but analyzed the case under the earmarking doctrine which, in its broadest terms, exempts a debtor's use of borrowed funds from the 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6676E99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11 U.S.C. § 574(b) is at issue here, i.e., whether the payments made to Debtors' MBNA credit card accounts from their Capital One credit card accounts constitute transfers of "an interest of the debtor in property." </w:t>
      </w:r>
    </w:p>
    <w:p w14:paraId="61863FFD" w14:textId="74C3AA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197"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 541, which delineates the scope of "property of the estate" and serves as the postpetition analog to § 547(b)'s "property of the debtor."</w:t>
      </w:r>
    </w:p>
    <w:p w14:paraId="41FAEDA3" w14:textId="116FC48B" w:rsidR="0017516A" w:rsidRPr="007A5BBC" w:rsidRDefault="007C1024" w:rsidP="00307601">
      <w:pPr>
        <w:jc w:val="both"/>
        <w:rPr>
          <w:rFonts w:ascii="Times New Roman" w:hAnsi="Times New Roman"/>
          <w:szCs w:val="24"/>
        </w:rPr>
      </w:pPr>
      <w:hyperlink r:id="rId198"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3475" w:name="OLE_LINK68"/>
      <w:bookmarkStart w:id="3476"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3475"/>
      <w:bookmarkEnd w:id="3476"/>
    </w:p>
    <w:p w14:paraId="53961F44" w14:textId="0C210D0A" w:rsidR="0017516A" w:rsidRPr="007A5BBC" w:rsidRDefault="0017516A" w:rsidP="0093515D">
      <w:pPr>
        <w:ind w:firstLine="720"/>
        <w:jc w:val="both"/>
        <w:rPr>
          <w:rFonts w:ascii="Times New Roman" w:hAnsi="Times New Roman"/>
          <w:szCs w:val="24"/>
        </w:rPr>
      </w:pPr>
      <w:bookmarkStart w:id="3477" w:name="OLE_LINK70"/>
      <w:bookmarkStart w:id="3478" w:name="OLE_LINK71"/>
      <w:r w:rsidRPr="007A5BBC">
        <w:rPr>
          <w:rFonts w:ascii="Times New Roman" w:hAnsi="Times New Roman"/>
          <w:szCs w:val="24"/>
        </w:rPr>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3477"/>
      <w:bookmarkEnd w:id="3478"/>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3479" w:name="OLE_LINK72"/>
      <w:bookmarkStart w:id="3480"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3479"/>
      <w:bookmarkEnd w:id="3480"/>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agree with the majority view. Technology masks the processes involved here. </w:t>
      </w:r>
      <w:bookmarkStart w:id="3481" w:name="OLE_LINK74"/>
      <w:bookmarkStart w:id="3482"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3481"/>
      <w:bookmarkEnd w:id="3482"/>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3483" w:name="OLE_LINK76"/>
      <w:bookmarkStart w:id="3484"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3483"/>
      <w:bookmarkEnd w:id="3484"/>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3485" w:name="OLE_LINK78"/>
      <w:bookmarkStart w:id="3486"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3485"/>
      <w:bookmarkEnd w:id="3486"/>
      <w:r w:rsidRPr="007A5BBC">
        <w:rPr>
          <w:rFonts w:ascii="Times New Roman" w:hAnsi="Times New Roman"/>
          <w:szCs w:val="24"/>
        </w:rPr>
        <w:t xml:space="preserve"> </w:t>
      </w:r>
      <w:bookmarkStart w:id="3487" w:name="OLE_LINK80"/>
      <w:bookmarkStart w:id="3488" w:name="OLE_LINK81"/>
      <w:r w:rsidRPr="007A5BBC">
        <w:rPr>
          <w:rFonts w:ascii="Times New Roman" w:hAnsi="Times New Roman"/>
          <w:szCs w:val="24"/>
        </w:rPr>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3487"/>
      <w:bookmarkEnd w:id="3488"/>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3489" w:name="OLE_LINK82"/>
      <w:bookmarkStart w:id="3490"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3489"/>
    <w:bookmarkEnd w:id="3490"/>
    <w:p w14:paraId="3B883A37" w14:textId="461A005C" w:rsidR="00332493"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 547(b)'s policy of equality of distribution between similarly situated creditors. Recapture allows all qualifying creditors, including Capital One and FIA, to ratably share in a $38,000 estate asset. </w:t>
      </w:r>
    </w:p>
    <w:p w14:paraId="6E8CA4E8" w14:textId="5BE41A28" w:rsidR="0065771D" w:rsidRDefault="0065771D" w:rsidP="00307601">
      <w:pPr>
        <w:ind w:firstLine="720"/>
        <w:jc w:val="both"/>
        <w:rPr>
          <w:rFonts w:ascii="Times New Roman" w:hAnsi="Times New Roman"/>
          <w:szCs w:val="24"/>
        </w:rPr>
      </w:pPr>
    </w:p>
    <w:p w14:paraId="58CC529C" w14:textId="77777777" w:rsidR="00F56C0E" w:rsidRPr="007A5BBC" w:rsidRDefault="00F56C0E" w:rsidP="00307601">
      <w:pPr>
        <w:ind w:firstLine="720"/>
        <w:jc w:val="both"/>
        <w:rPr>
          <w:rFonts w:ascii="Times New Roman" w:hAnsi="Times New Roman"/>
          <w:szCs w:val="24"/>
        </w:rPr>
      </w:pPr>
    </w:p>
    <w:p w14:paraId="7B1A7097" w14:textId="249F502B" w:rsidR="00332493" w:rsidRPr="0065771D" w:rsidRDefault="007C1024" w:rsidP="00D95675">
      <w:pPr>
        <w:pStyle w:val="Heading3"/>
        <w:rPr>
          <w:u w:val="single"/>
        </w:rPr>
      </w:pPr>
      <w:hyperlink r:id="rId199" w:history="1">
        <w:bookmarkStart w:id="3491" w:name="_Toc87039294"/>
        <w:bookmarkStart w:id="3492" w:name="_Toc90983690"/>
        <w:r w:rsidR="00332493" w:rsidRPr="0065771D">
          <w:rPr>
            <w:rStyle w:val="Hyperlink"/>
          </w:rPr>
          <w:t>I</w:t>
        </w:r>
        <w:r w:rsidR="00756AF6" w:rsidRPr="0065771D">
          <w:rPr>
            <w:rStyle w:val="Hyperlink"/>
          </w:rPr>
          <w:t xml:space="preserve">N RE UNICOM COMPUTER CORPORATION, </w:t>
        </w:r>
        <w:r w:rsidR="00332493" w:rsidRPr="0065771D">
          <w:rPr>
            <w:rStyle w:val="Hyperlink"/>
          </w:rPr>
          <w:t>13 F.3d 321 (9</w:t>
        </w:r>
        <w:r w:rsidR="00AB3EFD" w:rsidRPr="0065771D">
          <w:rPr>
            <w:rStyle w:val="Hyperlink"/>
          </w:rPr>
          <w:t xml:space="preserve">th </w:t>
        </w:r>
        <w:r w:rsidR="00332493" w:rsidRPr="0065771D">
          <w:rPr>
            <w:rStyle w:val="Hyperlink"/>
          </w:rPr>
          <w:t>Cir. 1994)</w:t>
        </w:r>
        <w:bookmarkEnd w:id="3491"/>
        <w:bookmarkEnd w:id="3492"/>
      </w:hyperlink>
      <w:bookmarkStart w:id="3493" w:name="_Toc79693068"/>
      <w:bookmarkStart w:id="3494" w:name="_Toc79693388"/>
      <w:bookmarkStart w:id="3495" w:name="_Toc79693708"/>
      <w:bookmarkStart w:id="3496" w:name="_Toc79694025"/>
      <w:bookmarkStart w:id="3497" w:name="_Toc79694343"/>
      <w:bookmarkStart w:id="3498" w:name="_Toc79694663"/>
      <w:bookmarkStart w:id="3499" w:name="_Toc79694977"/>
      <w:bookmarkStart w:id="3500" w:name="_Toc79695293"/>
      <w:bookmarkStart w:id="3501" w:name="_Toc79695609"/>
      <w:bookmarkStart w:id="3502" w:name="_Toc79695925"/>
      <w:bookmarkStart w:id="3503" w:name="_Toc79696241"/>
      <w:bookmarkStart w:id="3504" w:name="_Toc79696557"/>
      <w:bookmarkStart w:id="3505" w:name="_Toc79696878"/>
      <w:bookmarkStart w:id="3506" w:name="_Toc79697210"/>
      <w:bookmarkStart w:id="3507" w:name="_Toc79697539"/>
      <w:bookmarkStart w:id="3508" w:name="_Toc79699210"/>
      <w:bookmarkStart w:id="3509" w:name="_Toc79699536"/>
      <w:bookmarkStart w:id="3510" w:name="_Toc79699874"/>
      <w:bookmarkStart w:id="3511" w:name="_Toc79700194"/>
      <w:bookmarkStart w:id="3512" w:name="_Toc79700516"/>
      <w:bookmarkStart w:id="3513" w:name="_Toc79700838"/>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r w:rsidR="0065771D" w:rsidRPr="0065771D">
        <w:rPr>
          <w:rStyle w:val="Hyperlink"/>
        </w:rPr>
        <w:br/>
      </w:r>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3514" w:name="OLE_LINK84"/>
      <w:bookmarkStart w:id="3515" w:name="OLE_LINK85"/>
      <w:r w:rsidRPr="007A5BBC">
        <w:rPr>
          <w:rFonts w:ascii="Times New Roman" w:hAnsi="Times New Roman"/>
          <w:szCs w:val="24"/>
        </w:rPr>
        <w:t>five years at a monthly rental of $44,197. Pitney made its monthly lease payments directly to [Mitsui]</w:t>
      </w:r>
    </w:p>
    <w:bookmarkEnd w:id="3514"/>
    <w:bookmarkEnd w:id="3515"/>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failed to bill Pitney for the final two payments until late April 1988, nearly two months after the five-year lease term had expired. Unicom then compounded its error by instructing Pitney to send its payment to Unicom instead of to Mitsui. As a final complication, 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11 U.S.C. Sec. 547(b). Put another way, a transfer may be avoided under section 547(b) if it involves property of the debtor and the transfer reduces the amount of the bankruptcy estate available for the payment of other creditors. </w:t>
      </w:r>
    </w:p>
    <w:p w14:paraId="0474CD86"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11 U.S.C. Sec. 541(a)(1). However, it does not include "any power that the debtor may exercise solely for the benefit" of another, 11 U.S.C. Sec. 541(b)(1), nor does it include "[p]roperty in which the debtor holds ... only legal title and not an equitable interest". 11 U.S.C. Sec. 541(d). Thus, something held in trust by a debtor for another is neither property of the bankruptcy estate under section 541(d), nor property of the debtor for purposes of section 547(b).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6FEBB601" w:rsidR="00332493"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3516" w:name="OLE_LINK86"/>
      <w:bookmarkStart w:id="3517" w:name="OLE_LINK87"/>
      <w:r w:rsidRPr="007A5BBC">
        <w:rPr>
          <w:rFonts w:ascii="Times New Roman" w:hAnsi="Times New Roman"/>
          <w:szCs w:val="24"/>
        </w:rPr>
        <w:t>, it is clear that Unicom, having wrongfully and by virtue of its own mistake(s) acquired and retained funds properly belonging to Mitsui, had at most only a bare legal title to those funds. Once Mitsui had established as a matter of state law that grounds properly 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3516"/>
      <w:bookmarkEnd w:id="3517"/>
    </w:p>
    <w:p w14:paraId="40B239C7" w14:textId="77777777" w:rsidR="00950C74" w:rsidRPr="007A5BBC" w:rsidRDefault="00950C74" w:rsidP="00307601">
      <w:pPr>
        <w:ind w:firstLine="720"/>
        <w:jc w:val="both"/>
        <w:rPr>
          <w:rFonts w:ascii="Times New Roman" w:hAnsi="Times New Roman"/>
          <w:szCs w:val="24"/>
        </w:rPr>
      </w:pPr>
    </w:p>
    <w:p w14:paraId="1FBF5E90" w14:textId="4DAD4C05" w:rsidR="00332493" w:rsidRPr="007A5BBC" w:rsidRDefault="00623621" w:rsidP="00950C74">
      <w:pPr>
        <w:pStyle w:val="Heading2"/>
        <w:spacing w:line="240" w:lineRule="auto"/>
      </w:pPr>
      <w:bookmarkStart w:id="3518" w:name="_Toc417380843"/>
      <w:bookmarkStart w:id="3519" w:name="_Toc79699211"/>
      <w:bookmarkStart w:id="3520" w:name="_Toc79699537"/>
      <w:bookmarkStart w:id="3521" w:name="_Toc79699875"/>
      <w:bookmarkStart w:id="3522" w:name="_Toc79700195"/>
      <w:bookmarkStart w:id="3523" w:name="_Toc79700517"/>
      <w:bookmarkStart w:id="3524" w:name="_Toc87039295"/>
      <w:bookmarkStart w:id="3525" w:name="_Toc90983691"/>
      <w:r w:rsidRPr="007A5BBC">
        <w:t>Preference Defenses – 11 U.S.C. § 547(c)</w:t>
      </w:r>
      <w:bookmarkStart w:id="3526" w:name="_Toc79693069"/>
      <w:bookmarkStart w:id="3527" w:name="_Toc79693389"/>
      <w:bookmarkStart w:id="3528" w:name="_Toc79693709"/>
      <w:bookmarkStart w:id="3529" w:name="_Toc79694026"/>
      <w:bookmarkStart w:id="3530" w:name="_Toc79694664"/>
      <w:bookmarkStart w:id="3531" w:name="_Toc79695294"/>
      <w:bookmarkStart w:id="3532" w:name="_Toc79697540"/>
      <w:bookmarkStart w:id="3533" w:name="_Hlk90562943"/>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r w:rsidR="00950C74">
        <w:br/>
      </w:r>
    </w:p>
    <w:bookmarkEnd w:id="3533"/>
    <w:p w14:paraId="4BB276EE" w14:textId="7D47ACE3" w:rsidR="00623621" w:rsidRPr="007A5BBC" w:rsidRDefault="00F23B45" w:rsidP="00307601">
      <w:pPr>
        <w:ind w:firstLine="720"/>
        <w:jc w:val="both"/>
        <w:rPr>
          <w:rFonts w:ascii="Times New Roman" w:hAnsi="Times New Roman"/>
          <w:szCs w:val="24"/>
        </w:rPr>
      </w:pPr>
      <w:r w:rsidRPr="007A5BBC">
        <w:rPr>
          <w:rFonts w:ascii="Times New Roman" w:hAnsi="Times New Roman"/>
          <w:szCs w:val="24"/>
        </w:rPr>
        <w:t>Section 547(c) of the Bankruptcy Code now contains nine statutory defenses to preference actions</w:t>
      </w:r>
      <w:r w:rsidR="005F6A8B">
        <w:rPr>
          <w:rFonts w:ascii="Times New Roman" w:hAnsi="Times New Roman"/>
          <w:szCs w:val="24"/>
        </w:rPr>
        <w:t xml:space="preserve">. </w:t>
      </w:r>
      <w:r w:rsidRPr="007A5BBC">
        <w:rPr>
          <w:rFonts w:ascii="Times New Roman" w:hAnsi="Times New Roman"/>
          <w:szCs w:val="24"/>
        </w:rPr>
        <w:t>Each will be discussed in order.</w:t>
      </w:r>
    </w:p>
    <w:p w14:paraId="742E1D9B" w14:textId="162C5D91"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r w:rsidRPr="007A5BBC">
        <w:rPr>
          <w:rFonts w:ascii="Times New Roman" w:hAnsi="Times New Roman"/>
          <w:szCs w:val="24"/>
        </w:rPr>
        <w:t>11 U.S.C. § 547(c)(1)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5275FE11"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r w:rsidR="00D01685" w:rsidRPr="007A5BBC">
        <w:rPr>
          <w:rFonts w:ascii="Times New Roman" w:hAnsi="Times New Roman"/>
          <w:szCs w:val="24"/>
        </w:rPr>
        <w:t>11 U.S.C. § 547(c)(2)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For many years, the payment had to be made both 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r w:rsidR="00BF4961">
        <w:rPr>
          <w:rFonts w:ascii="Times New Roman" w:hAnsi="Times New Roman"/>
          <w:szCs w:val="24"/>
        </w:rPr>
        <w:t xml:space="preserve">Section </w:t>
      </w:r>
      <w:r w:rsidR="00DF03CC" w:rsidRPr="007A5BBC">
        <w:rPr>
          <w:rFonts w:ascii="Times New Roman" w:hAnsi="Times New Roman"/>
          <w:szCs w:val="24"/>
        </w:rPr>
        <w:t xml:space="preserve">547(c)(2)(A) </w:t>
      </w:r>
      <w:r w:rsidR="00BF4961">
        <w:rPr>
          <w:rFonts w:ascii="Times New Roman" w:hAnsi="Times New Roman"/>
          <w:szCs w:val="24"/>
        </w:rPr>
        <w:t xml:space="preserve">and Section 547(c)(2)(B)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1643955C"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in Section 547(c)(3)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r w:rsidR="006A2D96" w:rsidRPr="007A5BBC">
        <w:rPr>
          <w:rFonts w:ascii="Times New Roman" w:hAnsi="Times New Roman"/>
          <w:szCs w:val="24"/>
        </w:rPr>
        <w:t>547(e)(2)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With the expansion of the 547(e)(2)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Because the 30 day period in Section 547(c)(3) for purchase money security interests runs from the date the debtor receives possession of the collateral, rather than from the date of attachment under 547(e)(2), the defense will help the purchase money secured creditor by providing a longer relation-back period when the debtor received possession of the collateral after the date that the lien attached.</w:t>
      </w:r>
    </w:p>
    <w:p w14:paraId="246DD8C2" w14:textId="2A1AA7D2"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r w:rsidRPr="007A5BBC">
        <w:rPr>
          <w:rFonts w:ascii="Times New Roman" w:hAnsi="Times New Roman"/>
          <w:szCs w:val="24"/>
        </w:rPr>
        <w:t>11 U.S.C. § 547(c)(4)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New value given during the preference period but 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4145E650"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r w:rsidRPr="007A5BBC">
        <w:rPr>
          <w:rFonts w:ascii="Times New Roman" w:hAnsi="Times New Roman"/>
          <w:szCs w:val="24"/>
        </w:rPr>
        <w:t>11 U.S.C. § 547(c)(5)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31A15385"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08F9F940"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475450" w:rsidRPr="007A5BBC">
        <w:rPr>
          <w:rFonts w:ascii="Times New Roman" w:hAnsi="Times New Roman"/>
          <w:szCs w:val="24"/>
        </w:rPr>
        <w:t xml:space="preserve">  11 U.S.C. § 547(c)(6).</w:t>
      </w:r>
    </w:p>
    <w:p w14:paraId="5E8D475C" w14:textId="1F490BE9"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r w:rsidRPr="007A5BBC">
        <w:rPr>
          <w:rFonts w:ascii="Times New Roman" w:hAnsi="Times New Roman"/>
          <w:szCs w:val="24"/>
        </w:rPr>
        <w:t>11 U.S.C. § 547(c)(7).</w:t>
      </w:r>
    </w:p>
    <w:p w14:paraId="2F4AA07E" w14:textId="66E7CB24" w:rsidR="00475450" w:rsidRDefault="00475450" w:rsidP="00307601">
      <w:pPr>
        <w:ind w:firstLine="720"/>
        <w:jc w:val="both"/>
        <w:rPr>
          <w:rFonts w:ascii="Times New Roman" w:hAnsi="Times New Roman"/>
          <w:szCs w:val="24"/>
        </w:rPr>
      </w:pPr>
      <w:bookmarkStart w:id="3534" w:name="_Hlk90562971"/>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r w:rsidR="006B0F36" w:rsidRPr="007A5BBC">
        <w:rPr>
          <w:rFonts w:ascii="Times New Roman" w:hAnsi="Times New Roman"/>
          <w:szCs w:val="24"/>
        </w:rPr>
        <w:t>11 U.S.C. § 547(c)(8),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 </w:t>
      </w:r>
      <w:r w:rsidR="001D3855" w:rsidRPr="007A5BBC">
        <w:rPr>
          <w:rFonts w:ascii="Times New Roman" w:hAnsi="Times New Roman"/>
          <w:b/>
          <w:szCs w:val="24"/>
        </w:rPr>
        <w:t xml:space="preserve">debtors </w:t>
      </w:r>
      <w:bookmarkStart w:id="3535" w:name="OLE_LINK88"/>
      <w:bookmarkStart w:id="3536"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bookmarkEnd w:id="3534"/>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3535"/>
      <w:bookmarkEnd w:id="3536"/>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65692015" w14:textId="318A21F5" w:rsidR="00950C74" w:rsidRDefault="00950C74" w:rsidP="00307601">
      <w:pPr>
        <w:ind w:firstLine="720"/>
        <w:jc w:val="both"/>
        <w:rPr>
          <w:rFonts w:ascii="Times New Roman" w:hAnsi="Times New Roman"/>
          <w:szCs w:val="24"/>
        </w:rPr>
      </w:pPr>
    </w:p>
    <w:p w14:paraId="1B459470" w14:textId="77777777" w:rsidR="00F56C0E" w:rsidRPr="007A5BBC" w:rsidRDefault="00F56C0E" w:rsidP="00307601">
      <w:pPr>
        <w:ind w:firstLine="720"/>
        <w:jc w:val="both"/>
        <w:rPr>
          <w:rFonts w:ascii="Times New Roman" w:hAnsi="Times New Roman"/>
          <w:szCs w:val="24"/>
        </w:rPr>
      </w:pPr>
    </w:p>
    <w:p w14:paraId="1E52E1EF" w14:textId="68BC46A6" w:rsidR="006B0F36" w:rsidRPr="007A5BBC" w:rsidRDefault="00646EC9" w:rsidP="00950C74">
      <w:pPr>
        <w:pStyle w:val="Heading2"/>
        <w:spacing w:line="240" w:lineRule="auto"/>
      </w:pPr>
      <w:bookmarkStart w:id="3537" w:name="_Toc417380844"/>
      <w:bookmarkStart w:id="3538" w:name="_Toc79699212"/>
      <w:bookmarkStart w:id="3539" w:name="_Toc79699538"/>
      <w:bookmarkStart w:id="3540" w:name="_Toc79699876"/>
      <w:bookmarkStart w:id="3541" w:name="_Toc79700196"/>
      <w:bookmarkStart w:id="3542" w:name="_Toc79700518"/>
      <w:bookmarkStart w:id="3543" w:name="_Toc87039296"/>
      <w:bookmarkStart w:id="3544" w:name="_Toc90983692"/>
      <w:r>
        <w:t xml:space="preserve">Cases on </w:t>
      </w:r>
      <w:r w:rsidR="006B0F36" w:rsidRPr="007A5BBC">
        <w:t xml:space="preserve">Preference </w:t>
      </w:r>
      <w:r w:rsidR="0009710D" w:rsidRPr="007A5BBC">
        <w:t>D</w:t>
      </w:r>
      <w:r w:rsidR="006B0F36" w:rsidRPr="007A5BBC">
        <w:t>efenses</w:t>
      </w:r>
      <w:bookmarkStart w:id="3545" w:name="_Toc79693070"/>
      <w:bookmarkStart w:id="3546" w:name="_Toc79693390"/>
      <w:bookmarkStart w:id="3547" w:name="_Toc79693710"/>
      <w:bookmarkStart w:id="3548" w:name="_Toc79694027"/>
      <w:bookmarkStart w:id="3549" w:name="_Toc79694665"/>
      <w:bookmarkStart w:id="3550" w:name="_Toc79695295"/>
      <w:bookmarkStart w:id="3551" w:name="_Toc79697541"/>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r w:rsidR="00950C74">
        <w:br/>
      </w:r>
    </w:p>
    <w:p w14:paraId="1E6D1191" w14:textId="4D700AA0" w:rsidR="0019728C" w:rsidRPr="00950C74" w:rsidRDefault="007C1024" w:rsidP="00950C74">
      <w:pPr>
        <w:pStyle w:val="Heading3"/>
        <w:rPr>
          <w:u w:val="single"/>
        </w:rPr>
      </w:pPr>
      <w:hyperlink r:id="rId200" w:history="1">
        <w:bookmarkStart w:id="3552" w:name="_Toc87039297"/>
        <w:bookmarkStart w:id="3553" w:name="_Toc90983693"/>
        <w:r w:rsidR="00BF5A65" w:rsidRPr="00950C74">
          <w:rPr>
            <w:rStyle w:val="Hyperlink"/>
          </w:rPr>
          <w:t>U</w:t>
        </w:r>
        <w:r w:rsidR="00FF297E" w:rsidRPr="00950C74">
          <w:rPr>
            <w:rStyle w:val="Hyperlink"/>
          </w:rPr>
          <w:t>NION BANK v. WOLAS</w:t>
        </w:r>
        <w:r w:rsidR="00756AF6" w:rsidRPr="00950C74">
          <w:rPr>
            <w:rStyle w:val="Hyperlink"/>
          </w:rPr>
          <w:t xml:space="preserve">, </w:t>
        </w:r>
        <w:r w:rsidR="0019728C" w:rsidRPr="00950C74">
          <w:rPr>
            <w:rStyle w:val="Hyperlink"/>
          </w:rPr>
          <w:t>502 U.S. 151 (1991)</w:t>
        </w:r>
        <w:bookmarkEnd w:id="3552"/>
        <w:bookmarkEnd w:id="3553"/>
      </w:hyperlink>
      <w:bookmarkStart w:id="3554" w:name="_Toc79693071"/>
      <w:bookmarkStart w:id="3555" w:name="_Toc79693391"/>
      <w:bookmarkStart w:id="3556" w:name="_Toc79693711"/>
      <w:bookmarkStart w:id="3557" w:name="_Toc79694028"/>
      <w:bookmarkStart w:id="3558" w:name="_Toc79694346"/>
      <w:bookmarkStart w:id="3559" w:name="_Toc79694666"/>
      <w:bookmarkStart w:id="3560" w:name="_Toc79694980"/>
      <w:bookmarkStart w:id="3561" w:name="_Toc79695296"/>
      <w:bookmarkStart w:id="3562" w:name="_Toc79695612"/>
      <w:bookmarkStart w:id="3563" w:name="_Toc79695928"/>
      <w:bookmarkStart w:id="3564" w:name="_Toc79696244"/>
      <w:bookmarkStart w:id="3565" w:name="_Toc79696560"/>
      <w:bookmarkStart w:id="3566" w:name="_Toc79696881"/>
      <w:bookmarkStart w:id="3567" w:name="_Toc79697213"/>
      <w:bookmarkStart w:id="3568" w:name="_Toc79697542"/>
      <w:bookmarkStart w:id="3569" w:name="_Toc79699213"/>
      <w:bookmarkStart w:id="3570" w:name="_Toc79699539"/>
      <w:bookmarkStart w:id="3571" w:name="_Toc79699877"/>
      <w:bookmarkStart w:id="3572" w:name="_Toc79700197"/>
      <w:bookmarkStart w:id="3573" w:name="_Toc79700519"/>
      <w:bookmarkStart w:id="3574" w:name="_Toc79700841"/>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00950C74" w:rsidRPr="00950C74">
        <w:rPr>
          <w:rStyle w:val="Hyperlink"/>
        </w:rPr>
        <w:br/>
      </w:r>
    </w:p>
    <w:p w14:paraId="3AAECC48"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JUSTICE STEVENS delivered the opinion of the Court.</w:t>
      </w:r>
    </w:p>
    <w:p w14:paraId="5EDFB86D"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Section 547(b) of the Bankruptcy Code, 11 U.S.C. 547(b), authorizes a trustee to avoid certain property transfers made by a debtor within 90 days before bankruptcy. The Code makes an exception, however, for transfers made in the ordinary course of business, 11 U.S.C. 547(c)(2). The question presented is whether payments on long-term debt may qualify for that exception.</w:t>
      </w:r>
    </w:p>
    <w:p w14:paraId="47B3185F" w14:textId="2B476E8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547(b).</w:t>
      </w:r>
    </w:p>
    <w:p w14:paraId="3CBAC822" w14:textId="43DC163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As a matter of law, the Bankruptcy Court concluded that the payments satisfied the requirements of 547(c)(2),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046EF51A"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 xml:space="preserve">The text provides no support for respondent's contention that 547(c)(2)'s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2FBD8E29"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547(c)(2).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JUSTICE SCALIA, concurring.</w:t>
      </w:r>
    </w:p>
    <w:p w14:paraId="7DE0F780" w14:textId="6AE0A5F0" w:rsidR="003A7F4C" w:rsidRPr="00706A7C" w:rsidRDefault="0019728C" w:rsidP="00706A7C">
      <w:pPr>
        <w:ind w:firstLine="720"/>
        <w:jc w:val="both"/>
        <w:rPr>
          <w:rFonts w:ascii="Times New Roman" w:hAnsi="Times New Roman"/>
          <w:szCs w:val="24"/>
        </w:rPr>
      </w:pPr>
      <w:r w:rsidRPr="007A5BBC">
        <w:rPr>
          <w:rFonts w:ascii="Times New Roman" w:hAnsi="Times New Roman"/>
          <w:szCs w:val="24"/>
        </w:rPr>
        <w:t xml:space="preserve">I join the opinion of the Court, including Parts II and III, which respond persuasively to legislative history and policy arguments made by respondent. </w:t>
      </w:r>
      <w:bookmarkStart w:id="3575" w:name="OLE_LINK90"/>
      <w:bookmarkStart w:id="3576"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3575"/>
      <w:bookmarkEnd w:id="3576"/>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281E30D9" w14:textId="77777777" w:rsidR="003A7F4C" w:rsidRPr="007A5BBC" w:rsidRDefault="003A7F4C" w:rsidP="00B976D7">
      <w:pPr>
        <w:rPr>
          <w:rFonts w:ascii="Times New Roman" w:hAnsi="Times New Roman"/>
          <w:b/>
          <w:szCs w:val="24"/>
        </w:rPr>
      </w:pPr>
    </w:p>
    <w:p w14:paraId="652284A2" w14:textId="5E548B9E" w:rsidR="00B976D7" w:rsidRPr="007A5BBC" w:rsidRDefault="00B976D7" w:rsidP="00B976D7">
      <w:pPr>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Prior to the 2005 amendments, current 547(c)(2)(A) and (B) were numbered as 547(c)(2)(B) and (C)</w:t>
      </w:r>
      <w:r w:rsidR="005F6A8B">
        <w:rPr>
          <w:rFonts w:ascii="Times New Roman" w:hAnsi="Times New Roman"/>
          <w:b/>
          <w:szCs w:val="24"/>
        </w:rPr>
        <w:t xml:space="preserve">. </w:t>
      </w:r>
      <w:r w:rsidRPr="007A5BBC">
        <w:rPr>
          <w:rFonts w:ascii="Times New Roman" w:hAnsi="Times New Roman"/>
          <w:b/>
          <w:szCs w:val="24"/>
        </w:rPr>
        <w:t xml:space="preserve">More importantly, in 2005 Congress changed </w:t>
      </w:r>
      <w:r w:rsidR="00BA37E3">
        <w:rPr>
          <w:rFonts w:ascii="Times New Roman" w:hAnsi="Times New Roman"/>
          <w:b/>
          <w:szCs w:val="24"/>
        </w:rPr>
        <w:t xml:space="preserve">the </w:t>
      </w:r>
      <w:r w:rsidRPr="007A5BBC">
        <w:rPr>
          <w:rFonts w:ascii="Times New Roman" w:hAnsi="Times New Roman"/>
          <w:b/>
          <w:szCs w:val="24"/>
        </w:rPr>
        <w:t>word connecting the two provisions from “and” to “or.”  Consider the effect of this change in light of the decision below regarding the m</w:t>
      </w:r>
      <w:r w:rsidR="00526F16">
        <w:rPr>
          <w:rFonts w:ascii="Times New Roman" w:hAnsi="Times New Roman"/>
          <w:b/>
          <w:szCs w:val="24"/>
        </w:rPr>
        <w:t>eaning of current 547(c)(2)(A).</w:t>
      </w:r>
      <w:r w:rsidR="00950C74">
        <w:rPr>
          <w:rFonts w:ascii="Times New Roman" w:hAnsi="Times New Roman"/>
          <w:b/>
          <w:szCs w:val="24"/>
        </w:rPr>
        <w:br/>
      </w:r>
    </w:p>
    <w:p w14:paraId="24465763" w14:textId="6C7D1106" w:rsidR="00DF03CC" w:rsidRPr="00950C74" w:rsidRDefault="007C1024" w:rsidP="00D95675">
      <w:pPr>
        <w:pStyle w:val="Heading3"/>
        <w:rPr>
          <w:u w:val="single"/>
        </w:rPr>
      </w:pPr>
      <w:hyperlink r:id="rId201" w:history="1">
        <w:bookmarkStart w:id="3577" w:name="_Toc87039298"/>
        <w:bookmarkStart w:id="3578" w:name="_Toc90983694"/>
        <w:r w:rsidR="006B0F36" w:rsidRPr="00950C74">
          <w:rPr>
            <w:rStyle w:val="Hyperlink"/>
          </w:rPr>
          <w:t>I</w:t>
        </w:r>
        <w:r w:rsidR="00756AF6" w:rsidRPr="00950C74">
          <w:rPr>
            <w:rStyle w:val="Hyperlink"/>
          </w:rPr>
          <w:t xml:space="preserve">N RE TOLANA PIZZA, </w:t>
        </w:r>
        <w:r w:rsidR="003C2790" w:rsidRPr="00950C74">
          <w:rPr>
            <w:rStyle w:val="Hyperlink"/>
          </w:rPr>
          <w:t>3 F.</w:t>
        </w:r>
        <w:r w:rsidR="0019728C" w:rsidRPr="00950C74">
          <w:rPr>
            <w:rStyle w:val="Hyperlink"/>
          </w:rPr>
          <w:t>3d 1029 (7th Cir. 1993)</w:t>
        </w:r>
        <w:bookmarkEnd w:id="3577"/>
        <w:bookmarkEnd w:id="3578"/>
      </w:hyperlink>
      <w:bookmarkStart w:id="3579" w:name="_Toc79693072"/>
      <w:bookmarkStart w:id="3580" w:name="_Toc79693392"/>
      <w:bookmarkStart w:id="3581" w:name="_Toc79693712"/>
      <w:bookmarkStart w:id="3582" w:name="_Toc79694029"/>
      <w:bookmarkStart w:id="3583" w:name="_Toc79694347"/>
      <w:bookmarkStart w:id="3584" w:name="_Toc79694667"/>
      <w:bookmarkStart w:id="3585" w:name="_Toc79694981"/>
      <w:bookmarkStart w:id="3586" w:name="_Toc79695297"/>
      <w:bookmarkStart w:id="3587" w:name="_Toc79695613"/>
      <w:bookmarkStart w:id="3588" w:name="_Toc79695929"/>
      <w:bookmarkStart w:id="3589" w:name="_Toc79696245"/>
      <w:bookmarkStart w:id="3590" w:name="_Toc79696561"/>
      <w:bookmarkStart w:id="3591" w:name="_Toc79696882"/>
      <w:bookmarkStart w:id="3592" w:name="_Toc79697214"/>
      <w:bookmarkStart w:id="3593" w:name="_Toc79697543"/>
      <w:bookmarkStart w:id="3594" w:name="_Toc79699214"/>
      <w:bookmarkStart w:id="3595" w:name="_Toc79699540"/>
      <w:bookmarkStart w:id="3596" w:name="_Toc79699878"/>
      <w:bookmarkStart w:id="3597" w:name="_Toc79700198"/>
      <w:bookmarkStart w:id="3598" w:name="_Toc79700520"/>
      <w:bookmarkStart w:id="3599" w:name="_Toc79700842"/>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r w:rsidR="00950C74" w:rsidRPr="00950C74">
        <w:rPr>
          <w:rStyle w:val="Hyperlink"/>
        </w:rPr>
        <w:br/>
      </w:r>
    </w:p>
    <w:p w14:paraId="02D06E6C"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POSNER, Circuit Judge.</w:t>
      </w:r>
    </w:p>
    <w:p w14:paraId="7A21544F" w14:textId="6B3DD3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When, within 90 days before declaring bankruptcy, the debtor makes a payment to an unsecured creditor, the payment is a "preference," and the trustee in bankruptcy can recover it and thus make the creditor take pot luck with the rest of the debtor's unsecured creditors. 11 U.S.C. Sec. 547. But there is an exception if the creditor can show that the debt had been incurred in the ordinary course of the business of both the debtor and the creditor, Sec. 547(c)(2)(A); that the payment, too, had been made and received in the ordinary course of their businesses, Sec. 547(c)(2)(B); and that the payment had been "made according to ordinary business terms." Sec. 547(c)(2)(C).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to ordinary business terms"--add? And in particular does it refer to what is "ordinary" between this debtor and this creditor, or what is ordinary in the market or industry in which they operate? The circuits are divided on this question</w:t>
      </w:r>
    </w:p>
    <w:p w14:paraId="6BAC63AA" w14:textId="3DF3ED7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section 547(c)(2)(C), have to prove that the terms on which it had extended credit to Tolona were standard terms in the industry, but that if this was wrong the testimony of Rose's executive vice-president, Stiehl, did prove it. The parties agree that the other requirements of section 547(c)(2)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section 547(c)(2)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From this standpoint, however, the most important thing is not that the dealings between the debtor and the allegedly favored creditor conform to some industry norm but that they conform 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5DD1EB99"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But if this is all that the third subsection of 547(c)(2)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he functions that we have identified, combined with a natural reluctance to cut out and throw away one-third of an important provision of the Bankruptcy Code, persuade us that the creditor must show that the payment he received was made in accordance with the ordinary 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BBBD90D" w:rsidR="0019728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7082B80A" w14:textId="474AE6F7" w:rsidR="00950C74" w:rsidRDefault="00950C74" w:rsidP="003A2153">
      <w:pPr>
        <w:ind w:firstLine="720"/>
        <w:jc w:val="both"/>
        <w:rPr>
          <w:rFonts w:ascii="Times New Roman" w:hAnsi="Times New Roman"/>
          <w:szCs w:val="24"/>
        </w:rPr>
      </w:pPr>
    </w:p>
    <w:p w14:paraId="1F8B7876" w14:textId="4498FB78" w:rsidR="00706A7C" w:rsidRDefault="00706A7C" w:rsidP="003A2153">
      <w:pPr>
        <w:ind w:firstLine="720"/>
        <w:jc w:val="both"/>
        <w:rPr>
          <w:rFonts w:ascii="Times New Roman" w:hAnsi="Times New Roman"/>
          <w:szCs w:val="24"/>
        </w:rPr>
      </w:pPr>
    </w:p>
    <w:p w14:paraId="3BF3F1B4" w14:textId="77777777" w:rsidR="00706A7C" w:rsidRPr="007A5BBC" w:rsidRDefault="00706A7C" w:rsidP="003A2153">
      <w:pPr>
        <w:ind w:firstLine="720"/>
        <w:jc w:val="both"/>
        <w:rPr>
          <w:rFonts w:ascii="Times New Roman" w:hAnsi="Times New Roman"/>
          <w:szCs w:val="24"/>
        </w:rPr>
      </w:pPr>
    </w:p>
    <w:p w14:paraId="171C4A0C" w14:textId="3A0A420E" w:rsidR="0019728C" w:rsidRPr="007A5BBC" w:rsidRDefault="00FF68EC" w:rsidP="00950C74">
      <w:pPr>
        <w:pStyle w:val="Heading2"/>
        <w:spacing w:line="240" w:lineRule="auto"/>
      </w:pPr>
      <w:bookmarkStart w:id="3600" w:name="_Toc417380845"/>
      <w:bookmarkStart w:id="3601" w:name="_Toc79699215"/>
      <w:bookmarkStart w:id="3602" w:name="_Toc79699541"/>
      <w:bookmarkStart w:id="3603" w:name="_Toc79699879"/>
      <w:bookmarkStart w:id="3604" w:name="_Toc79700199"/>
      <w:bookmarkStart w:id="3605" w:name="_Toc79700521"/>
      <w:bookmarkStart w:id="3606" w:name="_Toc87039299"/>
      <w:bookmarkStart w:id="3607" w:name="_Toc90983695"/>
      <w:r w:rsidRPr="007A5BBC">
        <w:t>P</w:t>
      </w:r>
      <w:r w:rsidR="00756AF6">
        <w:t xml:space="preserve">ractice Problems: </w:t>
      </w:r>
      <w:r w:rsidRPr="007A5BBC">
        <w:t>Preference Exceptions</w:t>
      </w:r>
      <w:bookmarkStart w:id="3608" w:name="_Toc79693073"/>
      <w:bookmarkStart w:id="3609" w:name="_Toc79693393"/>
      <w:bookmarkStart w:id="3610" w:name="_Toc79693713"/>
      <w:bookmarkStart w:id="3611" w:name="_Toc79694030"/>
      <w:bookmarkStart w:id="3612" w:name="_Toc79694668"/>
      <w:bookmarkStart w:id="3613" w:name="_Toc79695298"/>
      <w:bookmarkStart w:id="3614" w:name="_Toc79697544"/>
      <w:bookmarkStart w:id="3615" w:name="OLE_LINK92"/>
      <w:bookmarkStart w:id="3616" w:name="OLE_LINK93"/>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r w:rsidR="00950C74">
        <w:br/>
      </w:r>
    </w:p>
    <w:p w14:paraId="39E1D3CD" w14:textId="1D5677A3" w:rsidR="00756AF6" w:rsidRDefault="00756AF6" w:rsidP="00CA016D">
      <w:pPr>
        <w:pStyle w:val="0-NORMAL"/>
      </w:pPr>
      <w:r w:rsidRPr="00CA016D">
        <w:rPr>
          <w:b/>
        </w:rPr>
        <w:t>Problem 1</w:t>
      </w:r>
      <w:r w:rsidR="004965B6">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11 U.S.C. § 547(c)(1)</w:t>
      </w:r>
      <w:r w:rsidR="00083725" w:rsidRPr="00756AF6">
        <w:t xml:space="preserve">? </w:t>
      </w:r>
      <w:hyperlink r:id="rId202"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1A4BDF44" w:rsidR="00756AF6" w:rsidRDefault="00756AF6" w:rsidP="00CA016D">
      <w:pPr>
        <w:pStyle w:val="0-NORMAL"/>
      </w:pPr>
      <w:r w:rsidRPr="00CA016D">
        <w:rPr>
          <w:b/>
        </w:rPr>
        <w:t>Problem 2</w:t>
      </w:r>
      <w:r w:rsidR="004965B6">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3615"/>
      <w:bookmarkEnd w:id="3616"/>
      <w:r w:rsidR="00FF297E">
        <w:t xml:space="preserve"> </w:t>
      </w:r>
      <w:r w:rsidR="001E205A" w:rsidRPr="007065C6">
        <w:rPr>
          <w:i/>
          <w:iCs/>
        </w:rPr>
        <w:t xml:space="preserve">See </w:t>
      </w:r>
      <w:r w:rsidR="001E205A" w:rsidRPr="00756AF6">
        <w:t>11 U.S.C. § 547</w:t>
      </w:r>
      <w:r w:rsidR="00847D84">
        <w:t xml:space="preserve">(c)(3), </w:t>
      </w:r>
      <w:r w:rsidR="001E205A" w:rsidRPr="00756AF6">
        <w:t>(e).</w:t>
      </w:r>
    </w:p>
    <w:p w14:paraId="034E4FF8" w14:textId="351EA7AE" w:rsidR="00F865D4" w:rsidRPr="00756AF6" w:rsidRDefault="00756AF6" w:rsidP="00CA016D">
      <w:pPr>
        <w:pStyle w:val="0-NORMAL"/>
      </w:pPr>
      <w:r w:rsidRPr="00CA016D">
        <w:rPr>
          <w:b/>
        </w:rPr>
        <w:t>Problem 3</w:t>
      </w:r>
      <w:r w:rsidR="004965B6">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r w:rsidR="001E205A" w:rsidRPr="00756AF6">
        <w:t>11 U.S.C. § 547(c)(4).</w:t>
      </w:r>
    </w:p>
    <w:p w14:paraId="3EE26B6F" w14:textId="371DCCC7" w:rsidR="00F865D4" w:rsidRPr="007A5BBC" w:rsidRDefault="00706A7C" w:rsidP="00096F17">
      <w:pPr>
        <w:ind w:left="720"/>
        <w:jc w:val="center"/>
        <w:rPr>
          <w:rFonts w:ascii="Times New Roman" w:hAnsi="Times New Roman"/>
          <w:szCs w:val="24"/>
        </w:rPr>
      </w:pPr>
      <w:r w:rsidRPr="007A5BBC">
        <w:rPr>
          <w:rFonts w:ascii="Times New Roman" w:hAnsi="Times New Roman"/>
          <w:szCs w:val="24"/>
        </w:rPr>
        <w:object w:dxaOrig="4350" w:dyaOrig="4927" w14:anchorId="10845516">
          <v:shape id="_x0000_i1027" type="#_x0000_t75" style="width:195.75pt;height:222.75pt" o:ole="">
            <v:imagedata r:id="rId203" o:title=""/>
          </v:shape>
          <o:OLEObject Type="Embed" ProgID="Excel.Sheet.12" ShapeID="_x0000_i1027" DrawAspect="Content" ObjectID="_1702891101" r:id="rId204"/>
        </w:object>
      </w:r>
      <w:bookmarkStart w:id="3617" w:name="OLE_LINK94"/>
      <w:bookmarkStart w:id="3618" w:name="OLE_LINK95"/>
    </w:p>
    <w:p w14:paraId="77565708" w14:textId="565C9CC1" w:rsidR="001619FC" w:rsidRDefault="00756AF6" w:rsidP="00CA016D">
      <w:pPr>
        <w:pStyle w:val="0-NORMAL"/>
      </w:pPr>
      <w:r w:rsidRPr="00CA016D">
        <w:rPr>
          <w:b/>
        </w:rPr>
        <w:t>Problem 4</w:t>
      </w:r>
      <w:r w:rsidR="004965B6">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The value of the Debtor’s inventory was in flux, because he would use ingredients to make 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rsidRPr="007065C6">
        <w:rPr>
          <w:i/>
          <w:iCs/>
        </w:rPr>
        <w:t xml:space="preserve">See </w:t>
      </w:r>
      <w:r w:rsidR="001E205A">
        <w:t>11 U.S.C. § 547(c)(5).</w:t>
      </w:r>
    </w:p>
    <w:p w14:paraId="4C124BFE" w14:textId="05DEDB8D" w:rsidR="001619FC" w:rsidRDefault="001619FC" w:rsidP="003A7F4C">
      <w:pPr>
        <w:pStyle w:val="0-NORMAL"/>
        <w:ind w:firstLine="0"/>
        <w:jc w:val="left"/>
      </w:pPr>
      <w:r w:rsidRPr="001619FC">
        <w:object w:dxaOrig="9776" w:dyaOrig="9328" w14:anchorId="0BE7A25C">
          <v:shape id="_x0000_i1028" type="#_x0000_t75" style="width:467.25pt;height:446.25pt" o:ole="">
            <v:imagedata r:id="rId205" o:title=""/>
          </v:shape>
          <o:OLEObject Type="Embed" ProgID="Excel.Sheet.12" ShapeID="_x0000_i1028" DrawAspect="Content" ObjectID="_1702891102" r:id="rId206"/>
        </w:object>
      </w:r>
    </w:p>
    <w:p w14:paraId="070217ED" w14:textId="0D45B807" w:rsidR="00950C74" w:rsidRDefault="00756AF6" w:rsidP="003A7F4C">
      <w:pPr>
        <w:pStyle w:val="0-NORMAL"/>
      </w:pPr>
      <w:bookmarkStart w:id="3619" w:name="OLE_LINK96"/>
      <w:bookmarkStart w:id="3620" w:name="OLE_LINK97"/>
      <w:bookmarkEnd w:id="3617"/>
      <w:bookmarkEnd w:id="3618"/>
      <w:r w:rsidRPr="00CA016D">
        <w:rPr>
          <w:b/>
        </w:rPr>
        <w:t>Problem 5</w:t>
      </w:r>
      <w:r w:rsidR="004965B6">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On the date of bankruptcy, the value of the gold inventory 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Consider 11 U.S.C. §§ 547(c)(5), 547(b).</w:t>
      </w:r>
    </w:p>
    <w:p w14:paraId="46B18DD4" w14:textId="77777777" w:rsidR="00706A7C" w:rsidRPr="007A5BBC" w:rsidRDefault="00706A7C" w:rsidP="003A7F4C">
      <w:pPr>
        <w:pStyle w:val="0-NORMAL"/>
      </w:pPr>
    </w:p>
    <w:p w14:paraId="40484513" w14:textId="63D27A5D" w:rsidR="001A1C9A" w:rsidRPr="007A5BBC" w:rsidRDefault="001A1C9A" w:rsidP="00950C74">
      <w:pPr>
        <w:pStyle w:val="Heading2"/>
        <w:spacing w:line="240" w:lineRule="auto"/>
      </w:pPr>
      <w:bookmarkStart w:id="3621" w:name="_Toc417380846"/>
      <w:bookmarkStart w:id="3622" w:name="_Toc79699216"/>
      <w:bookmarkStart w:id="3623" w:name="_Toc79699542"/>
      <w:bookmarkStart w:id="3624" w:name="_Toc79699880"/>
      <w:bookmarkStart w:id="3625" w:name="_Toc79700200"/>
      <w:bookmarkStart w:id="3626" w:name="_Toc79700522"/>
      <w:bookmarkStart w:id="3627" w:name="_Toc87039300"/>
      <w:bookmarkStart w:id="3628" w:name="_Toc90983696"/>
      <w:bookmarkEnd w:id="3619"/>
      <w:bookmarkEnd w:id="3620"/>
      <w:r w:rsidRPr="007A5BBC">
        <w:t>Statutory Liens</w:t>
      </w:r>
      <w:r w:rsidR="005F76D5">
        <w:t xml:space="preserve"> – </w:t>
      </w:r>
      <w:r w:rsidRPr="007A5BBC">
        <w:t>11 U.S.C. § 545</w:t>
      </w:r>
      <w:bookmarkStart w:id="3629" w:name="_Toc79693074"/>
      <w:bookmarkStart w:id="3630" w:name="_Toc79693394"/>
      <w:bookmarkStart w:id="3631" w:name="_Toc79693714"/>
      <w:bookmarkStart w:id="3632" w:name="_Toc79694031"/>
      <w:bookmarkStart w:id="3633" w:name="_Toc79694669"/>
      <w:bookmarkStart w:id="3634" w:name="_Toc79695299"/>
      <w:bookmarkStart w:id="3635" w:name="_Toc79697545"/>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r w:rsidR="00950C74">
        <w:br/>
      </w:r>
    </w:p>
    <w:p w14:paraId="71DA43ED" w14:textId="47F81D76"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The 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Section 545(1)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3B6FA708"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Section 545(2) invalidates unperfected statutory liens – those not enforceable against a bona fide purchaser on the filing date</w:t>
      </w:r>
      <w:r w:rsidR="005F6A8B">
        <w:rPr>
          <w:rFonts w:ascii="Times New Roman" w:hAnsi="Times New Roman"/>
          <w:szCs w:val="24"/>
        </w:rPr>
        <w:t xml:space="preserve">. </w:t>
      </w:r>
      <w:r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6E94C67B" w:rsidR="00222E1B" w:rsidRDefault="00222E1B" w:rsidP="003A2153">
      <w:pPr>
        <w:ind w:firstLine="720"/>
        <w:jc w:val="both"/>
        <w:rPr>
          <w:rFonts w:ascii="Times New Roman" w:hAnsi="Times New Roman"/>
          <w:szCs w:val="24"/>
        </w:rPr>
      </w:pPr>
      <w:r w:rsidRPr="007A5BBC">
        <w:rPr>
          <w:rFonts w:ascii="Times New Roman" w:hAnsi="Times New Roman"/>
          <w:szCs w:val="24"/>
        </w:rPr>
        <w:t>Section 545(3) invalidates landlord statutory liens</w:t>
      </w:r>
      <w:r w:rsidR="005F6A8B">
        <w:rPr>
          <w:rFonts w:ascii="Times New Roman" w:hAnsi="Times New Roman"/>
          <w:szCs w:val="24"/>
        </w:rPr>
        <w:t xml:space="preserve">. </w:t>
      </w:r>
      <w:r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5C8F5F0F" w14:textId="77777777" w:rsidR="00950C74" w:rsidRPr="007A5BBC" w:rsidRDefault="00950C74" w:rsidP="003A2153">
      <w:pPr>
        <w:ind w:firstLine="720"/>
        <w:jc w:val="both"/>
        <w:rPr>
          <w:rFonts w:ascii="Times New Roman" w:hAnsi="Times New Roman"/>
          <w:szCs w:val="24"/>
        </w:rPr>
      </w:pPr>
    </w:p>
    <w:p w14:paraId="0F4B1796" w14:textId="3B11EA2D" w:rsidR="00136602" w:rsidRPr="007A5BBC" w:rsidRDefault="001A1C9A" w:rsidP="00950C74">
      <w:pPr>
        <w:pStyle w:val="Heading2"/>
        <w:spacing w:line="240" w:lineRule="auto"/>
      </w:pPr>
      <w:bookmarkStart w:id="3636" w:name="_Toc417380847"/>
      <w:bookmarkStart w:id="3637" w:name="_Toc79699217"/>
      <w:bookmarkStart w:id="3638" w:name="_Toc79699543"/>
      <w:bookmarkStart w:id="3639" w:name="_Toc79699881"/>
      <w:bookmarkStart w:id="3640" w:name="_Toc79700201"/>
      <w:bookmarkStart w:id="3641" w:name="_Toc79700523"/>
      <w:bookmarkStart w:id="3642" w:name="_Toc87039301"/>
      <w:bookmarkStart w:id="3643" w:name="_Toc90983697"/>
      <w:r w:rsidRPr="007A5BBC">
        <w:t>Setoffs</w:t>
      </w:r>
      <w:r w:rsidR="005F76D5">
        <w:t xml:space="preserve"> – </w:t>
      </w:r>
      <w:r w:rsidRPr="007A5BBC">
        <w:t>11 U.S.C. § 553</w:t>
      </w:r>
      <w:bookmarkStart w:id="3644" w:name="_Toc79693075"/>
      <w:bookmarkStart w:id="3645" w:name="_Toc79693395"/>
      <w:bookmarkStart w:id="3646" w:name="_Toc79693715"/>
      <w:bookmarkStart w:id="3647" w:name="_Toc79694032"/>
      <w:bookmarkStart w:id="3648" w:name="_Toc79694670"/>
      <w:bookmarkStart w:id="3649" w:name="_Toc79695300"/>
      <w:bookmarkStart w:id="3650" w:name="_Toc79697546"/>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r w:rsidR="00950C74">
        <w:br/>
      </w:r>
    </w:p>
    <w:p w14:paraId="4782DAC7" w14:textId="05DF3344"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 unnecessary transaction costs</w:t>
      </w:r>
      <w:r w:rsidR="005F6A8B">
        <w:rPr>
          <w:rFonts w:ascii="Times New Roman" w:hAnsi="Times New Roman"/>
          <w:szCs w:val="24"/>
        </w:rPr>
        <w:t xml:space="preserve">. </w:t>
      </w:r>
    </w:p>
    <w:p w14:paraId="7552B0D2" w14:textId="586CD7D0"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While the automatic stay prevents the bank from exercising its right of setoff during the case, 11 U.S.C. § 362(a)(7),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207"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52A925C7" w:rsidR="00BD462C" w:rsidRPr="007A5BBC" w:rsidRDefault="00BD462C" w:rsidP="003A2153">
      <w:pPr>
        <w:ind w:firstLine="720"/>
        <w:jc w:val="both"/>
        <w:rPr>
          <w:rFonts w:ascii="Times New Roman" w:hAnsi="Times New Roman"/>
          <w:szCs w:val="24"/>
        </w:rPr>
      </w:pPr>
      <w:r w:rsidRPr="007A5BBC">
        <w:rPr>
          <w:rFonts w:ascii="Times New Roman" w:hAnsi="Times New Roman"/>
          <w:szCs w:val="24"/>
        </w:rPr>
        <w:t xml:space="preserve">Section 553(a) of the </w:t>
      </w:r>
      <w:r w:rsidR="00222E1B" w:rsidRPr="007A5BBC">
        <w:rPr>
          <w:rFonts w:ascii="Times New Roman" w:hAnsi="Times New Roman"/>
          <w:szCs w:val="24"/>
        </w:rPr>
        <w:t xml:space="preserve">bankruptcy code preserves the right of setoff as long as the two reciprocal claims are </w:t>
      </w:r>
      <w:r w:rsidRPr="007A5BBC">
        <w:rPr>
          <w:rFonts w:ascii="Times New Roman" w:hAnsi="Times New Roman"/>
          <w:szCs w:val="24"/>
        </w:rPr>
        <w:t xml:space="preserve">allowed, </w:t>
      </w:r>
      <w:r w:rsidR="00222E1B" w:rsidRPr="007A5BBC">
        <w:rPr>
          <w:rFonts w:ascii="Times New Roman" w:hAnsi="Times New Roman"/>
          <w:szCs w:val="24"/>
        </w:rPr>
        <w:t>of the same class</w:t>
      </w:r>
      <w:r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38F04F20" w:rsidR="00222E1B" w:rsidRPr="007A5BBC" w:rsidRDefault="00BD462C" w:rsidP="003A2153">
      <w:pPr>
        <w:ind w:firstLine="720"/>
        <w:jc w:val="both"/>
        <w:rPr>
          <w:rFonts w:ascii="Times New Roman" w:hAnsi="Times New Roman"/>
          <w:szCs w:val="24"/>
        </w:rPr>
      </w:pPr>
      <w:r w:rsidRPr="007A5BBC">
        <w:rPr>
          <w:rFonts w:ascii="Times New Roman" w:hAnsi="Times New Roman"/>
          <w:szCs w:val="24"/>
        </w:rPr>
        <w:t>Section 553(a)(2) contains a mini preference provision preventing the transfer of setoff claims during the preference period to obtain setoff priority</w:t>
      </w:r>
      <w:r w:rsidR="005F6A8B">
        <w:rPr>
          <w:rFonts w:ascii="Times New Roman" w:hAnsi="Times New Roman"/>
          <w:szCs w:val="24"/>
        </w:rPr>
        <w:t xml:space="preserve">. </w:t>
      </w:r>
      <w:r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Pr="007A5BBC">
        <w:rPr>
          <w:rFonts w:ascii="Times New Roman" w:hAnsi="Times New Roman"/>
          <w:szCs w:val="24"/>
        </w:rPr>
        <w:t>Also assume that the Debtor is 50% insolvent</w:t>
      </w:r>
      <w:r w:rsidR="005F6A8B">
        <w:rPr>
          <w:rFonts w:ascii="Times New Roman" w:hAnsi="Times New Roman"/>
          <w:szCs w:val="24"/>
        </w:rPr>
        <w:t xml:space="preserve">. </w:t>
      </w:r>
      <w:r w:rsidRPr="007A5BBC">
        <w:rPr>
          <w:rFonts w:ascii="Times New Roman" w:hAnsi="Times New Roman"/>
          <w:szCs w:val="24"/>
        </w:rPr>
        <w:t>In Bankruptcy, Creditor B would pay $100 to the estate, and Creditor A would get $50</w:t>
      </w:r>
      <w:r w:rsidR="005F6A8B">
        <w:rPr>
          <w:rFonts w:ascii="Times New Roman" w:hAnsi="Times New Roman"/>
          <w:szCs w:val="24"/>
        </w:rPr>
        <w:t xml:space="preserve">. </w:t>
      </w:r>
      <w:r w:rsidRPr="007A5BBC">
        <w:rPr>
          <w:rFonts w:ascii="Times New Roman" w:hAnsi="Times New Roman"/>
          <w:szCs w:val="24"/>
        </w:rPr>
        <w:t>If Creditor A transferred the claim to Creditor B during the preference period, and the setoff were allowed, the estate would get $50 less than it would if the claim had not been transferred</w:t>
      </w:r>
      <w:r w:rsidR="005F6A8B">
        <w:rPr>
          <w:rFonts w:ascii="Times New Roman" w:hAnsi="Times New Roman"/>
          <w:szCs w:val="24"/>
        </w:rPr>
        <w:t xml:space="preserve">. </w:t>
      </w:r>
      <w:r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1B677E10" w:rsidR="00BD462C" w:rsidRDefault="006D4913" w:rsidP="003A2153">
      <w:pPr>
        <w:ind w:firstLine="720"/>
        <w:jc w:val="both"/>
        <w:rPr>
          <w:rFonts w:ascii="Times New Roman" w:hAnsi="Times New Roman"/>
          <w:szCs w:val="24"/>
        </w:rPr>
      </w:pPr>
      <w:r w:rsidRPr="007A5BBC">
        <w:rPr>
          <w:rFonts w:ascii="Times New Roman" w:hAnsi="Times New Roman"/>
          <w:szCs w:val="24"/>
        </w:rPr>
        <w:t>Finally, Section 553(b)(1)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6C5BF038" w14:textId="77777777" w:rsidR="00950C74" w:rsidRPr="007A5BBC" w:rsidRDefault="00950C74" w:rsidP="003A2153">
      <w:pPr>
        <w:ind w:firstLine="720"/>
        <w:jc w:val="both"/>
        <w:rPr>
          <w:rFonts w:ascii="Times New Roman" w:hAnsi="Times New Roman"/>
          <w:szCs w:val="24"/>
        </w:rPr>
      </w:pPr>
    </w:p>
    <w:p w14:paraId="7118C4D7" w14:textId="765FE0A4" w:rsidR="006D4913" w:rsidRPr="007A5BBC" w:rsidRDefault="006D4913" w:rsidP="00950C74">
      <w:pPr>
        <w:pStyle w:val="Heading2"/>
        <w:spacing w:line="240" w:lineRule="auto"/>
      </w:pPr>
      <w:bookmarkStart w:id="3651" w:name="_Toc417380848"/>
      <w:bookmarkStart w:id="3652" w:name="_Toc79699218"/>
      <w:bookmarkStart w:id="3653" w:name="_Toc79699544"/>
      <w:bookmarkStart w:id="3654" w:name="_Toc79699882"/>
      <w:bookmarkStart w:id="3655" w:name="_Toc79700202"/>
      <w:bookmarkStart w:id="3656" w:name="_Toc79700524"/>
      <w:bookmarkStart w:id="3657" w:name="_Toc87039302"/>
      <w:bookmarkStart w:id="3658" w:name="_Toc90983698"/>
      <w:r w:rsidRPr="007A5BBC">
        <w:t>P</w:t>
      </w:r>
      <w:r w:rsidR="00756AF6">
        <w:t xml:space="preserve">ractice Problems: </w:t>
      </w:r>
      <w:r w:rsidRPr="007A5BBC">
        <w:t>Setoff Preferences</w:t>
      </w:r>
      <w:bookmarkStart w:id="3659" w:name="_Toc79693076"/>
      <w:bookmarkStart w:id="3660" w:name="_Toc79693396"/>
      <w:bookmarkStart w:id="3661" w:name="_Toc79693716"/>
      <w:bookmarkStart w:id="3662" w:name="_Toc79694033"/>
      <w:bookmarkStart w:id="3663" w:name="_Toc79694671"/>
      <w:bookmarkStart w:id="3664" w:name="_Toc79695301"/>
      <w:bookmarkStart w:id="3665" w:name="_Toc79697547"/>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r w:rsidR="00950C74">
        <w:br/>
      </w:r>
    </w:p>
    <w:p w14:paraId="0E87A217" w14:textId="1BEE7D62" w:rsidR="00756AF6" w:rsidRDefault="00756AF6" w:rsidP="00CA016D">
      <w:pPr>
        <w:pStyle w:val="0-NORMAL"/>
      </w:pPr>
      <w:r w:rsidRPr="00CA016D">
        <w:rPr>
          <w:b/>
        </w:rPr>
        <w:t>Problem 1</w:t>
      </w:r>
      <w:r w:rsidR="00F9595D">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After the Debtor makes the deposit, 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r w:rsidR="00337831" w:rsidRPr="00756AF6">
        <w:t>11 U.S.C. § 553(</w:t>
      </w:r>
      <w:r w:rsidR="00F516AC" w:rsidRPr="00756AF6">
        <w:t>b</w:t>
      </w:r>
      <w:r w:rsidR="00337831" w:rsidRPr="00756AF6">
        <w:t>)(</w:t>
      </w:r>
      <w:r w:rsidR="00F516AC" w:rsidRPr="00756AF6">
        <w:t>1</w:t>
      </w:r>
      <w:r w:rsidR="00337831" w:rsidRPr="00756AF6">
        <w:t>).</w:t>
      </w:r>
    </w:p>
    <w:p w14:paraId="52533B0F" w14:textId="29E94192" w:rsidR="00756AF6" w:rsidRDefault="00756AF6" w:rsidP="00CA016D">
      <w:pPr>
        <w:pStyle w:val="0-NORMAL"/>
      </w:pPr>
      <w:r w:rsidRPr="00CA016D">
        <w:rPr>
          <w:b/>
        </w:rPr>
        <w:t>Problem 2</w:t>
      </w:r>
      <w:r w:rsidR="00F9595D">
        <w:t xml:space="preserve">. </w:t>
      </w:r>
      <w:r w:rsidR="00337831" w:rsidRPr="00756AF6">
        <w:t>On the same facts, what if the Bank does not exercise the right of setoff prior to bankruptcy and wants relief from stay to do so</w:t>
      </w:r>
      <w:r w:rsidR="00083725" w:rsidRPr="00756AF6">
        <w:t xml:space="preserve">? </w:t>
      </w:r>
      <w:r w:rsidR="00F516AC" w:rsidRPr="00756AF6">
        <w:t>11 U.S.C. § 553(a)(3).</w:t>
      </w:r>
    </w:p>
    <w:p w14:paraId="10842964" w14:textId="0BE5D7BE" w:rsidR="000023DD" w:rsidRDefault="00756AF6" w:rsidP="00CA016D">
      <w:pPr>
        <w:pStyle w:val="0-NORMAL"/>
      </w:pPr>
      <w:r w:rsidRPr="00CA016D">
        <w:rPr>
          <w:b/>
        </w:rPr>
        <w:t>Problem 3</w:t>
      </w:r>
      <w:r w:rsidR="00F9595D">
        <w:t xml:space="preserve">. </w:t>
      </w:r>
      <w:r w:rsidR="000023DD">
        <w:t xml:space="preserve">Would it make any difference in Problem </w:t>
      </w:r>
      <w:r w:rsidR="001A5F10">
        <w:t>(</w:t>
      </w:r>
      <w:r w:rsidR="000023DD">
        <w:t>2</w:t>
      </w:r>
      <w:r w:rsidR="001A5F10">
        <w:t>)</w:t>
      </w:r>
      <w:r w:rsidR="000023DD">
        <w:t xml:space="preserve"> if the Debtor just deposited $500,000 in the Bank without any discussion about paying the Bank a preference?</w:t>
      </w:r>
    </w:p>
    <w:p w14:paraId="444C0AEB" w14:textId="1EF7155F" w:rsidR="00337831" w:rsidRDefault="000023DD" w:rsidP="00CA016D">
      <w:pPr>
        <w:pStyle w:val="0-NORMAL"/>
      </w:pPr>
      <w:r w:rsidRPr="000023DD">
        <w:rPr>
          <w:b/>
        </w:rPr>
        <w:t>Problem 4</w:t>
      </w:r>
      <w:r w:rsidR="00F9595D">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07FB9962" w14:textId="77777777" w:rsidR="00950C74" w:rsidRPr="00756AF6" w:rsidRDefault="00950C74" w:rsidP="00CA016D">
      <w:pPr>
        <w:pStyle w:val="0-NORMAL"/>
      </w:pPr>
    </w:p>
    <w:p w14:paraId="2F5FA778" w14:textId="07B130C7" w:rsidR="006D4913" w:rsidRPr="007A5BBC" w:rsidRDefault="00646EC9" w:rsidP="00950C74">
      <w:pPr>
        <w:pStyle w:val="Heading2"/>
        <w:spacing w:line="240" w:lineRule="auto"/>
      </w:pPr>
      <w:bookmarkStart w:id="3666" w:name="_Toc417380849"/>
      <w:bookmarkStart w:id="3667" w:name="_Toc79699219"/>
      <w:bookmarkStart w:id="3668" w:name="_Toc79699545"/>
      <w:bookmarkStart w:id="3669" w:name="_Toc79699883"/>
      <w:bookmarkStart w:id="3670" w:name="_Toc79700203"/>
      <w:bookmarkStart w:id="3671" w:name="_Toc79700525"/>
      <w:bookmarkStart w:id="3672" w:name="_Toc87039303"/>
      <w:bookmarkStart w:id="3673" w:name="_Toc90983699"/>
      <w:r>
        <w:t xml:space="preserve">Cases on </w:t>
      </w:r>
      <w:r w:rsidR="00337831" w:rsidRPr="007A5BBC">
        <w:t>Setoff</w:t>
      </w:r>
      <w:r w:rsidR="0009710D" w:rsidRPr="007A5BBC">
        <w:t>s</w:t>
      </w:r>
      <w:bookmarkStart w:id="3674" w:name="_Toc79693077"/>
      <w:bookmarkStart w:id="3675" w:name="_Toc79693397"/>
      <w:bookmarkStart w:id="3676" w:name="_Toc79693717"/>
      <w:bookmarkStart w:id="3677" w:name="_Toc79694034"/>
      <w:bookmarkStart w:id="3678" w:name="_Toc79694672"/>
      <w:bookmarkStart w:id="3679" w:name="_Toc79695302"/>
      <w:bookmarkStart w:id="3680" w:name="_Toc79697548"/>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rsidR="00950C74">
        <w:br/>
      </w:r>
    </w:p>
    <w:bookmarkStart w:id="3681" w:name="_Toc87039304"/>
    <w:p w14:paraId="4EB39910" w14:textId="4DABAF4C" w:rsidR="003C2790" w:rsidRPr="00950C74" w:rsidRDefault="00950C74" w:rsidP="00950C74">
      <w:pPr>
        <w:pStyle w:val="Heading3"/>
        <w:rPr>
          <w:u w:val="single"/>
        </w:rPr>
      </w:pPr>
      <w:r w:rsidRPr="00950C74">
        <w:rPr>
          <w:u w:val="single"/>
        </w:rPr>
        <w:fldChar w:fldCharType="begin"/>
      </w:r>
      <w:r w:rsidRPr="00950C74">
        <w:rPr>
          <w:u w:val="single"/>
        </w:rPr>
        <w:instrText xml:space="preserve"> HYPERLINK "https://scholar.google.com/scholar_case?case=2276072343687557204&amp;q=882+F.2d+881+&amp;hl=en&amp;as_sdt=6,33" </w:instrText>
      </w:r>
      <w:r w:rsidRPr="00950C74">
        <w:rPr>
          <w:u w:val="single"/>
        </w:rPr>
        <w:fldChar w:fldCharType="separate"/>
      </w:r>
      <w:bookmarkStart w:id="3682" w:name="_Toc90983700"/>
      <w:r w:rsidR="003C2790" w:rsidRPr="00950C74">
        <w:rPr>
          <w:rStyle w:val="Hyperlink"/>
        </w:rPr>
        <w:t>D</w:t>
      </w:r>
      <w:r w:rsidR="00756AF6" w:rsidRPr="00950C74">
        <w:rPr>
          <w:rStyle w:val="Hyperlink"/>
        </w:rPr>
        <w:t xml:space="preserve">URHAM v. SMI </w:t>
      </w:r>
      <w:r w:rsidR="00D11E02" w:rsidRPr="00950C74">
        <w:rPr>
          <w:rStyle w:val="Hyperlink"/>
        </w:rPr>
        <w:t>INDUSTRIES</w:t>
      </w:r>
      <w:r w:rsidR="00756AF6" w:rsidRPr="00950C74">
        <w:rPr>
          <w:rStyle w:val="Hyperlink"/>
        </w:rPr>
        <w:t xml:space="preserve">, INC., </w:t>
      </w:r>
      <w:r w:rsidR="003C2790" w:rsidRPr="00950C74">
        <w:rPr>
          <w:rStyle w:val="Hyperlink"/>
        </w:rPr>
        <w:t>882 F.2d 881 (4th Cir. 1989)</w:t>
      </w:r>
      <w:bookmarkStart w:id="3683" w:name="_Toc79693078"/>
      <w:bookmarkStart w:id="3684" w:name="_Toc79693398"/>
      <w:bookmarkStart w:id="3685" w:name="_Toc79693718"/>
      <w:bookmarkStart w:id="3686" w:name="_Toc79694035"/>
      <w:bookmarkStart w:id="3687" w:name="_Toc79694353"/>
      <w:bookmarkStart w:id="3688" w:name="_Toc79694673"/>
      <w:bookmarkStart w:id="3689" w:name="_Toc79694987"/>
      <w:bookmarkStart w:id="3690" w:name="_Toc79695303"/>
      <w:bookmarkStart w:id="3691" w:name="_Toc79695619"/>
      <w:bookmarkStart w:id="3692" w:name="_Toc79695935"/>
      <w:bookmarkStart w:id="3693" w:name="_Toc79696251"/>
      <w:bookmarkStart w:id="3694" w:name="_Toc79696567"/>
      <w:bookmarkStart w:id="3695" w:name="_Toc79696888"/>
      <w:bookmarkStart w:id="3696" w:name="_Toc79697220"/>
      <w:bookmarkStart w:id="3697" w:name="_Toc79697549"/>
      <w:bookmarkStart w:id="3698" w:name="_Toc79699220"/>
      <w:bookmarkStart w:id="3699" w:name="_Toc79699546"/>
      <w:bookmarkStart w:id="3700" w:name="_Toc79699884"/>
      <w:bookmarkStart w:id="3701" w:name="_Toc79700204"/>
      <w:bookmarkStart w:id="3702" w:name="_Toc79700526"/>
      <w:bookmarkStart w:id="3703" w:name="_Toc79700848"/>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r w:rsidRPr="00950C74">
        <w:rPr>
          <w:u w:val="single"/>
        </w:rPr>
        <w:fldChar w:fldCharType="end"/>
      </w:r>
      <w:r w:rsidRPr="00950C74">
        <w:rPr>
          <w:rStyle w:val="Hyperlink"/>
        </w:rPr>
        <w:br/>
      </w:r>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SMI for invoiced deliveries from September 3, 1982 to June 28, 1983. On August 29 SMI sent Continental its check for $271,967.20 for invoiced deliveries by Continental from February 22, 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5374D1A"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547(b)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section 547,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section 547 applied</w:t>
      </w:r>
      <w:r w:rsidR="005F6A8B">
        <w:rPr>
          <w:rFonts w:ascii="Times New Roman" w:hAnsi="Times New Roman"/>
          <w:szCs w:val="24"/>
        </w:rPr>
        <w:t xml:space="preserve">. </w:t>
      </w:r>
      <w:r w:rsidRPr="007A5BBC">
        <w:rPr>
          <w:rFonts w:ascii="Times New Roman" w:hAnsi="Times New Roman"/>
          <w:szCs w:val="24"/>
        </w:rPr>
        <w:t>We hold that the lower courts erred by attempting to resolve this case under section 547 after SMI asserted that it and Continental had completed a pre-petition setoff of their mutual debts.</w:t>
      </w:r>
    </w:p>
    <w:p w14:paraId="4FE2BE5F" w14:textId="4B240C7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Section 553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3832029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section 553(b).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However, the clear intent of the parties, as expressed through their overt acts, may not be so readily ignored. As part of their general and longstanding business practice SMI and Continental customarily accrued and then set off, sometimes by accounting entries and sometimes by check exchange, debts to the other. In the check exchange in question SMI and Continental took every 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058502"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r w:rsidRPr="007A5BBC">
        <w:rPr>
          <w:rFonts w:ascii="Times New Roman" w:hAnsi="Times New Roman"/>
          <w:szCs w:val="24"/>
        </w:rPr>
        <w:t xml:space="preserve">11 U.S.C. Sec. 553(a)(3)(C)). It would be inequitable to construe section 553(b) to prevent "the parties from voluntarily doing, before the petition is filed, what the law itself requires to be done after proceedings in bankruptcy are instituted." </w:t>
      </w:r>
    </w:p>
    <w:p w14:paraId="7A529F3B" w14:textId="2ABE537D" w:rsidR="003C2790"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recoverable from SMI, was created pursuant to sections 553(b)(1) and (b)(2). SMI must return this insufficiency to Continental's estate. </w:t>
      </w:r>
    </w:p>
    <w:p w14:paraId="6295A312" w14:textId="77777777" w:rsidR="00264992" w:rsidRDefault="00264992" w:rsidP="003A2153">
      <w:pPr>
        <w:ind w:firstLine="720"/>
        <w:jc w:val="both"/>
        <w:rPr>
          <w:rFonts w:ascii="Times New Roman" w:hAnsi="Times New Roman"/>
          <w:szCs w:val="24"/>
        </w:rPr>
      </w:pPr>
    </w:p>
    <w:p w14:paraId="7AC636C3" w14:textId="7B22E1AB" w:rsidR="00A07B0D" w:rsidRDefault="00A07B0D" w:rsidP="00264992">
      <w:pPr>
        <w:pStyle w:val="Heading2"/>
        <w:spacing w:line="240" w:lineRule="auto"/>
      </w:pPr>
      <w:bookmarkStart w:id="3704" w:name="_Toc79699221"/>
      <w:bookmarkStart w:id="3705" w:name="_Toc79699547"/>
      <w:bookmarkStart w:id="3706" w:name="_Toc79699885"/>
      <w:bookmarkStart w:id="3707" w:name="_Toc79700205"/>
      <w:bookmarkStart w:id="3708" w:name="_Toc79700527"/>
      <w:bookmarkStart w:id="3709" w:name="_Toc87039305"/>
      <w:bookmarkStart w:id="3710" w:name="_Toc90983701"/>
      <w:r>
        <w:t xml:space="preserve">The </w:t>
      </w:r>
      <w:r w:rsidR="00AE4E0E">
        <w:t>“</w:t>
      </w:r>
      <w:r>
        <w:t>Mutuality</w:t>
      </w:r>
      <w:r w:rsidR="00AE4E0E">
        <w:t>”</w:t>
      </w:r>
      <w:r>
        <w:t xml:space="preserve"> Requirement</w:t>
      </w:r>
      <w:bookmarkStart w:id="3711" w:name="_Toc79693079"/>
      <w:bookmarkStart w:id="3712" w:name="_Toc79693399"/>
      <w:bookmarkStart w:id="3713" w:name="_Toc79693719"/>
      <w:bookmarkStart w:id="3714" w:name="_Toc79694036"/>
      <w:bookmarkStart w:id="3715" w:name="_Toc79694674"/>
      <w:bookmarkStart w:id="3716" w:name="_Toc79695304"/>
      <w:bookmarkStart w:id="3717" w:name="_Toc79697550"/>
      <w:bookmarkStart w:id="3718" w:name="_Hlk90563019"/>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r w:rsidR="00264992">
        <w:br/>
      </w:r>
    </w:p>
    <w:p w14:paraId="5F7E4466" w14:textId="50BDB6E7" w:rsidR="00A07B0D" w:rsidRDefault="00A07B0D" w:rsidP="00A07B0D">
      <w:pPr>
        <w:pStyle w:val="0-NORMAL"/>
      </w:pPr>
      <w:bookmarkStart w:id="3719" w:name="_Hlk90563038"/>
      <w:bookmarkEnd w:id="3718"/>
      <w:r>
        <w:t>Section 553 of the Bankruptcy Code preserves the state-law right</w:t>
      </w:r>
      <w:r w:rsidR="007D061B">
        <w:t>s</w:t>
      </w:r>
      <w:r>
        <w:t xml:space="preserve"> </w:t>
      </w:r>
      <w:r w:rsidR="007D061B">
        <w:t>that creditors have under state law to setoff mutual prepetition debts</w:t>
      </w:r>
      <w:r>
        <w:t>. A creditor cannot setoff a debt owing by the debtor to the creditor post-petition against the creditor’s obligation to pay a prepetition debt, because the debts are not mutual.</w:t>
      </w:r>
    </w:p>
    <w:bookmarkEnd w:id="3719"/>
    <w:p w14:paraId="64D1EFEC" w14:textId="38C03A71" w:rsidR="0084292D" w:rsidRDefault="00A07B0D" w:rsidP="00A07B0D">
      <w:pPr>
        <w:pStyle w:val="0-NORMAL"/>
      </w:pPr>
      <w:r>
        <w:t>Many court</w:t>
      </w:r>
      <w:r w:rsidR="00BA37E3">
        <w:t>s</w:t>
      </w:r>
      <w:r>
        <w:t xml:space="preserve"> have rigidly applied the “mutuality” requirement to prohibit bankruptcy setoffs that would have been allowed under applicable state law outside of bankruptcy. For example, in </w:t>
      </w:r>
      <w:hyperlink r:id="rId208" w:history="1">
        <w:bookmarkStart w:id="3720" w:name="_Hlk80044506"/>
        <w:r w:rsidRPr="00AE4E0E">
          <w:rPr>
            <w:rStyle w:val="Hyperlink"/>
            <w:i/>
            <w:iCs/>
          </w:rPr>
          <w:t>In re Orexigen Therapeutics</w:t>
        </w:r>
        <w:bookmarkEnd w:id="3720"/>
        <w:r w:rsidRPr="00AE4E0E">
          <w:rPr>
            <w:rStyle w:val="Hyperlink"/>
            <w:i/>
            <w:iCs/>
          </w:rPr>
          <w:t>, Inc</w:t>
        </w:r>
        <w:r w:rsidRPr="00AE4E0E">
          <w:rPr>
            <w:rStyle w:val="Hyperlink"/>
          </w:rPr>
          <w:t>., 990 F. 3d 748 (3d Cir. 2021),</w:t>
        </w:r>
      </w:hyperlink>
      <w:r>
        <w:t xml:space="preserve"> McKesson contracted to distribute through its various subsidiaries drugs manufactured by Orexigon. The contract provided that McKesson could offset any debts owing by Orexigon to any of its subsidiaries against debts owing by McKesson or its other subsidiaries to Orexigon. At the time of Orexigon’s bankruptcy, McKesson owed Orexigon $7 million, and Orexigon owed a McKesson subsidiary </w:t>
      </w:r>
      <w:r w:rsidR="0084292D">
        <w:t xml:space="preserve">called </w:t>
      </w:r>
      <w:r w:rsidR="0084292D" w:rsidRPr="0084292D">
        <w:t>McKesson Patient Relationship Solutions ("MPRS")</w:t>
      </w:r>
      <w:r w:rsidR="0084292D">
        <w:t xml:space="preserve"> $9 million</w:t>
      </w:r>
      <w:r w:rsidR="00083725">
        <w:t xml:space="preserve">. </w:t>
      </w:r>
      <w:r w:rsidR="0084292D">
        <w:t>McKesson sought to avoid payment of the $7 million by asserting its right to offset the MPRS claim</w:t>
      </w:r>
      <w:r w:rsidR="00083725">
        <w:t xml:space="preserve">. </w:t>
      </w:r>
    </w:p>
    <w:p w14:paraId="16075348" w14:textId="10EF5E00" w:rsidR="0084292D" w:rsidRDefault="0084292D" w:rsidP="00A07B0D">
      <w:pPr>
        <w:pStyle w:val="0-NORMAL"/>
      </w:pPr>
      <w:r>
        <w:t>McKesson argued that the Bankruptcy Code preserves setoffs authorized by state law, and the parties explicitly provided in their contract for the setoff of debts owing to McKesson’s subsidiary</w:t>
      </w:r>
      <w:r w:rsidR="00083725">
        <w:t xml:space="preserve">. </w:t>
      </w:r>
      <w:r>
        <w:t xml:space="preserve">The court held, however, that the debts were not “mutual” within the meaning of the bankruptcy code, because there was no debt owed to McKesson directly that could offset McKesson’s liability to </w:t>
      </w:r>
      <w:r w:rsidRPr="0084292D">
        <w:t>Orexigen</w:t>
      </w:r>
      <w:r w:rsidR="00083725">
        <w:t xml:space="preserve">. </w:t>
      </w:r>
      <w:r>
        <w:t>The court explained the reason for the mutuality requirement as follows:</w:t>
      </w:r>
    </w:p>
    <w:p w14:paraId="3D88F7EB" w14:textId="77777777" w:rsidR="0084292D" w:rsidRDefault="0084292D" w:rsidP="0084292D">
      <w:pPr>
        <w:pStyle w:val="Quote"/>
        <w:ind w:firstLine="0"/>
      </w:pPr>
      <w:r>
        <w:t>Congress intended for mutuality to mean only debts owing between two parties, specifically those owing from a creditor directly to the debtor and, in turn, owing from the debtor directly to that creditor. Congress did not intend to include within the concept of mutuality any contractual elaboration on that kind of simple, bilateral relationship.</w:t>
      </w:r>
    </w:p>
    <w:p w14:paraId="1256749A" w14:textId="57745416" w:rsidR="0084292D" w:rsidRDefault="0084292D" w:rsidP="0084292D">
      <w:pPr>
        <w:pStyle w:val="Quote"/>
        <w:ind w:firstLine="0"/>
      </w:pPr>
      <w:r>
        <w:t xml:space="preserve">Given basic premises of the Bankruptcy Code, that is not surprising. "[S]etoff is at odds with a fundamental policy of bankruptcy, equality among creditors, because it permits a creditor to obtain full satisfaction of a claim by extinguishing an equal amount of the creditor's obligation to the debtor, i.e., in effect, the creditor receives a preference." Thus, we and our sister circuits have indicated that triangular setoffs — in which party A owes party B who next owes party C who then owes party A — are definitionally not mutual. </w:t>
      </w:r>
    </w:p>
    <w:p w14:paraId="0A115DB3" w14:textId="503612F7" w:rsidR="00A07B0D" w:rsidRDefault="007C1024" w:rsidP="00AE4E0E">
      <w:pPr>
        <w:pStyle w:val="0-NORMAL"/>
        <w:ind w:firstLine="0"/>
      </w:pPr>
      <w:hyperlink r:id="rId209" w:history="1">
        <w:r w:rsidR="0084292D" w:rsidRPr="00AE4E0E">
          <w:rPr>
            <w:rStyle w:val="Hyperlink"/>
            <w:i/>
            <w:iCs/>
          </w:rPr>
          <w:t>In re Orexigen Therapeutics</w:t>
        </w:r>
      </w:hyperlink>
      <w:r w:rsidR="0084292D">
        <w:rPr>
          <w:i/>
          <w:iCs/>
        </w:rPr>
        <w:t xml:space="preserve"> </w:t>
      </w:r>
      <w:r w:rsidR="0084292D" w:rsidRPr="0084292D">
        <w:t>at 754.</w:t>
      </w:r>
      <w:r w:rsidR="0084292D">
        <w:rPr>
          <w:i/>
          <w:iCs/>
        </w:rPr>
        <w:t xml:space="preserve"> </w:t>
      </w:r>
      <w:r w:rsidR="0084292D">
        <w:t xml:space="preserve">Therefore, McKesson had to pay the $7 million in cash to Orexigen, and would be repaid the $9 million </w:t>
      </w:r>
      <w:r w:rsidR="00AE4E0E">
        <w:t xml:space="preserve">Orexigen owed </w:t>
      </w:r>
      <w:r w:rsidR="0084292D">
        <w:t>to MPRS in bankruptcy dollars.</w:t>
      </w:r>
    </w:p>
    <w:p w14:paraId="45826BB1" w14:textId="77777777" w:rsidR="00264992" w:rsidRPr="00A07B0D" w:rsidRDefault="00264992" w:rsidP="00AE4E0E">
      <w:pPr>
        <w:pStyle w:val="0-NORMAL"/>
        <w:ind w:firstLine="0"/>
      </w:pPr>
    </w:p>
    <w:p w14:paraId="55FA1F53" w14:textId="18D908F0" w:rsidR="003912D5" w:rsidRDefault="003912D5" w:rsidP="00264992">
      <w:pPr>
        <w:pStyle w:val="Heading2"/>
        <w:spacing w:line="240" w:lineRule="auto"/>
      </w:pPr>
      <w:bookmarkStart w:id="3721" w:name="_Toc79699222"/>
      <w:bookmarkStart w:id="3722" w:name="_Toc79699548"/>
      <w:bookmarkStart w:id="3723" w:name="_Toc79699886"/>
      <w:bookmarkStart w:id="3724" w:name="_Toc79700206"/>
      <w:bookmarkStart w:id="3725" w:name="_Toc79700528"/>
      <w:bookmarkStart w:id="3726" w:name="_Toc87039306"/>
      <w:bookmarkStart w:id="3727" w:name="_Toc90983702"/>
      <w:r>
        <w:t>Unauthorized Post-Petition Transfers</w:t>
      </w:r>
      <w:r w:rsidR="00CB723B">
        <w:t xml:space="preserve"> – </w:t>
      </w:r>
      <w:r>
        <w:t>11 U.S.C. § 549</w:t>
      </w:r>
      <w:bookmarkStart w:id="3728" w:name="_Toc79693080"/>
      <w:bookmarkStart w:id="3729" w:name="_Toc79693400"/>
      <w:bookmarkStart w:id="3730" w:name="_Toc79693720"/>
      <w:bookmarkStart w:id="3731" w:name="_Toc79694037"/>
      <w:bookmarkStart w:id="3732" w:name="_Toc79694675"/>
      <w:bookmarkStart w:id="3733" w:name="_Toc79695305"/>
      <w:bookmarkStart w:id="3734" w:name="_Toc79697551"/>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r w:rsidR="00264992">
        <w:br/>
      </w:r>
    </w:p>
    <w:p w14:paraId="27BACB07" w14:textId="68FAFBB8" w:rsidR="003912D5" w:rsidRDefault="003912D5" w:rsidP="003912D5">
      <w:pPr>
        <w:pStyle w:val="0-NORMAL"/>
      </w:pPr>
      <w:r>
        <w:t>We have already seen that Section 363 limits the power of the trustee (or the debtor in possession in a Chapter 11 case) to engage in post-petition transactions</w:t>
      </w:r>
      <w:r w:rsidR="00083725">
        <w:t xml:space="preserve">. </w:t>
      </w:r>
      <w:r>
        <w:t>As we have seen, under Section 363(b)(1), the trustee may use, sell or lease property outside of the ordinary course of business only with bankruptcy court approval, and under Section 363(c)(2) may not use cash collateral without the consent of the secured creditor or an order from the court authorizing the use</w:t>
      </w:r>
      <w:r w:rsidR="00083725">
        <w:t xml:space="preserve">. </w:t>
      </w:r>
      <w:r>
        <w:t xml:space="preserve">A secured party at any time is entitled to adequate protection in connection with any use, sale or lease of property of the estate. 11 U.S.C. § 361. But what are the consequences of engaging in unpermitted post-petition transactions? </w:t>
      </w:r>
      <w:r w:rsidR="00FC4075">
        <w:t>Section 549 allows the trustee (or debtor in possession in a Chapter 11 case) to avoid any transaction that was “not authorized under this title or by the court.”  Section 549(c) contains an exception protecting a good faith buyer of real property who was not aware of the bankruptcy case if no notice of bankruptcy was filed in the real estate records.</w:t>
      </w:r>
    </w:p>
    <w:p w14:paraId="4E0850D6" w14:textId="3F4FB757" w:rsidR="00FC4075" w:rsidRDefault="00FC4075" w:rsidP="003912D5">
      <w:pPr>
        <w:pStyle w:val="0-NORMAL"/>
      </w:pPr>
      <w:r>
        <w:t xml:space="preserve">Note that Section 549(d) contains a special statute of limitations terminating claims under Section 549 which are not brought before the </w:t>
      </w:r>
      <w:r w:rsidR="001D2102">
        <w:t>bankruptcy</w:t>
      </w:r>
      <w:r>
        <w:t xml:space="preserve"> case is closed, or within 2 years from the transfer, whichever is earlier.</w:t>
      </w:r>
    </w:p>
    <w:p w14:paraId="19A9708A" w14:textId="03BFBA16" w:rsidR="00FC4075" w:rsidRDefault="00FC4075" w:rsidP="003912D5">
      <w:pPr>
        <w:pStyle w:val="0-NORMAL"/>
      </w:pPr>
      <w:r>
        <w:t xml:space="preserve">We have previously seen in </w:t>
      </w:r>
      <w:r w:rsidRPr="00FC4075">
        <w:rPr>
          <w:i/>
          <w:iCs/>
        </w:rPr>
        <w:t>Marathon Petroleum v. Cohen</w:t>
      </w:r>
      <w:r>
        <w:t xml:space="preserve">, </w:t>
      </w:r>
      <w:r w:rsidRPr="00FC4075">
        <w:t>599 F.3d 1255 (11th Cir. 2010)</w:t>
      </w:r>
      <w:r>
        <w:t>, how dangerous it is to engage in transactions with the debtor without obtaining court approval, unless it can clearly be shown that the transaction was in the “ordinary course of business” and did not involve cash collateral</w:t>
      </w:r>
      <w:r w:rsidR="00083725">
        <w:t xml:space="preserve">. </w:t>
      </w:r>
    </w:p>
    <w:p w14:paraId="6D529450" w14:textId="402726EA" w:rsidR="00264992" w:rsidRDefault="00264992" w:rsidP="003912D5">
      <w:pPr>
        <w:pStyle w:val="0-NORMAL"/>
      </w:pPr>
    </w:p>
    <w:p w14:paraId="390CA883" w14:textId="1BB513A3" w:rsidR="008F248C" w:rsidRDefault="008F248C" w:rsidP="003912D5">
      <w:pPr>
        <w:pStyle w:val="0-NORMAL"/>
      </w:pPr>
    </w:p>
    <w:p w14:paraId="0CBF206C" w14:textId="77777777" w:rsidR="008F248C" w:rsidRPr="007A5BBC" w:rsidRDefault="008F248C" w:rsidP="003912D5">
      <w:pPr>
        <w:pStyle w:val="0-NORMAL"/>
      </w:pPr>
    </w:p>
    <w:p w14:paraId="3573C8D9" w14:textId="1783167E" w:rsidR="009136B3" w:rsidRPr="007A5BBC" w:rsidRDefault="009136B3" w:rsidP="00264992">
      <w:pPr>
        <w:pStyle w:val="Heading2"/>
        <w:spacing w:line="240" w:lineRule="auto"/>
      </w:pPr>
      <w:bookmarkStart w:id="3735" w:name="_Toc417380850"/>
      <w:bookmarkStart w:id="3736" w:name="_Toc79699223"/>
      <w:bookmarkStart w:id="3737" w:name="_Toc79699549"/>
      <w:bookmarkStart w:id="3738" w:name="_Toc79699887"/>
      <w:bookmarkStart w:id="3739" w:name="_Toc79700207"/>
      <w:bookmarkStart w:id="3740" w:name="_Toc79700529"/>
      <w:bookmarkStart w:id="3741" w:name="_Toc87039307"/>
      <w:bookmarkStart w:id="3742" w:name="_Toc90983703"/>
      <w:r w:rsidRPr="007A5BBC">
        <w:t>Statute of Limitations on Avoiding Powers</w:t>
      </w:r>
      <w:r w:rsidR="00CB723B">
        <w:t xml:space="preserve"> – </w:t>
      </w:r>
      <w:r w:rsidRPr="007A5BBC">
        <w:t>11 U.S.C. § 546(a)</w:t>
      </w:r>
      <w:bookmarkStart w:id="3743" w:name="_Toc79693081"/>
      <w:bookmarkStart w:id="3744" w:name="_Toc79693401"/>
      <w:bookmarkStart w:id="3745" w:name="_Toc79693721"/>
      <w:bookmarkStart w:id="3746" w:name="_Toc79694038"/>
      <w:bookmarkStart w:id="3747" w:name="_Toc79694676"/>
      <w:bookmarkStart w:id="3748" w:name="_Toc79695306"/>
      <w:bookmarkStart w:id="3749" w:name="_Toc79697552"/>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r w:rsidR="00264992">
        <w:br/>
      </w:r>
    </w:p>
    <w:p w14:paraId="68F4917A" w14:textId="1F4761CD" w:rsidR="00DD4615"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Pr="007A5BBC">
        <w:rPr>
          <w:rFonts w:ascii="Times New Roman" w:hAnsi="Times New Roman"/>
          <w:szCs w:val="24"/>
        </w:rPr>
        <w:t xml:space="preserve">A trustee </w:t>
      </w:r>
      <w:r w:rsidR="00DD4615" w:rsidRPr="007A5BBC">
        <w:rPr>
          <w:rFonts w:ascii="Times New Roman" w:hAnsi="Times New Roman"/>
          <w:szCs w:val="24"/>
        </w:rPr>
        <w:t>has at least one year after appointment to exercise avoiding powers</w:t>
      </w:r>
      <w:r w:rsidR="005F6A8B">
        <w:rPr>
          <w:rFonts w:ascii="Times New Roman" w:hAnsi="Times New Roman"/>
          <w:szCs w:val="24"/>
        </w:rPr>
        <w:t xml:space="preserve">. </w:t>
      </w:r>
      <w:r w:rsidR="00DD4615" w:rsidRPr="007A5BBC">
        <w:rPr>
          <w:rFonts w:ascii="Times New Roman" w:hAnsi="Times New Roman"/>
          <w:szCs w:val="24"/>
        </w:rPr>
        <w:t>So, for example, if a debtor in possession operated for three years in a Chapter 11 case before conversion to Chapter 7 or the appointment of a Chapter 11 trustee, the trustee would still get a year to file avoidance actions even though the debtor’s time to avoid had 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107FC14E" w14:textId="77777777" w:rsidR="00264992" w:rsidRPr="007A5BBC" w:rsidRDefault="00264992" w:rsidP="003A2153">
      <w:pPr>
        <w:ind w:firstLine="720"/>
        <w:jc w:val="both"/>
        <w:rPr>
          <w:rFonts w:ascii="Times New Roman" w:hAnsi="Times New Roman"/>
          <w:szCs w:val="24"/>
        </w:rPr>
      </w:pPr>
    </w:p>
    <w:p w14:paraId="35ECFC55" w14:textId="22671301" w:rsidR="009136B3" w:rsidRPr="007A5BBC" w:rsidRDefault="00DD4615" w:rsidP="00264992">
      <w:pPr>
        <w:pStyle w:val="Heading2"/>
        <w:spacing w:line="240" w:lineRule="auto"/>
      </w:pPr>
      <w:bookmarkStart w:id="3750" w:name="_Toc417380851"/>
      <w:bookmarkStart w:id="3751" w:name="_Toc79699224"/>
      <w:bookmarkStart w:id="3752" w:name="_Toc79699550"/>
      <w:bookmarkStart w:id="3753" w:name="_Toc79699888"/>
      <w:bookmarkStart w:id="3754" w:name="_Toc79700208"/>
      <w:bookmarkStart w:id="3755" w:name="_Toc79700530"/>
      <w:bookmarkStart w:id="3756" w:name="_Toc87039308"/>
      <w:bookmarkStart w:id="3757" w:name="_Toc90983704"/>
      <w:r w:rsidRPr="007A5BBC">
        <w:t>Relation-back Perfection Rules</w:t>
      </w:r>
      <w:r w:rsidR="00CB723B">
        <w:t xml:space="preserve"> – </w:t>
      </w:r>
      <w:r w:rsidRPr="007A5BBC">
        <w:t>11 U.S.C. § 546(b)</w:t>
      </w:r>
      <w:bookmarkStart w:id="3758" w:name="_Toc79693082"/>
      <w:bookmarkStart w:id="3759" w:name="_Toc79693402"/>
      <w:bookmarkStart w:id="3760" w:name="_Toc79693722"/>
      <w:bookmarkStart w:id="3761" w:name="_Toc79694039"/>
      <w:bookmarkStart w:id="3762" w:name="_Toc79694677"/>
      <w:bookmarkStart w:id="3763" w:name="_Toc79695307"/>
      <w:bookmarkStart w:id="3764" w:name="_Toc79697553"/>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r w:rsidR="00264992">
        <w:br/>
      </w:r>
    </w:p>
    <w:p w14:paraId="35660E5A" w14:textId="05A9DE8A"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perfection 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w:t>
      </w:r>
      <w:r w:rsidR="009D1F69">
        <w:rPr>
          <w:rFonts w:ascii="Times New Roman" w:hAnsi="Times New Roman"/>
          <w:szCs w:val="24"/>
        </w:rPr>
        <w:t xml:space="preserve">for priority purposes </w:t>
      </w:r>
      <w:r w:rsidRPr="007A5BBC">
        <w:rPr>
          <w:rFonts w:ascii="Times New Roman" w:hAnsi="Times New Roman"/>
          <w:szCs w:val="24"/>
        </w:rPr>
        <w:t xml:space="preserve">to an earlier time under state 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even though a purchase money security interest was not perfected on the date of bankruptcy, if the 20 day relation-back period under state law has not expired</w:t>
      </w:r>
      <w:r w:rsidR="009D1F69">
        <w:rPr>
          <w:rFonts w:ascii="Times New Roman" w:hAnsi="Times New Roman"/>
          <w:szCs w:val="24"/>
        </w:rPr>
        <w:t xml:space="preserve"> (</w:t>
      </w:r>
      <w:hyperlink w:anchor="U9317" w:history="1">
        <w:r w:rsidR="0012491F" w:rsidRPr="0012491F">
          <w:rPr>
            <w:rStyle w:val="Hyperlink"/>
            <w:rFonts w:ascii="Times New Roman" w:hAnsi="Times New Roman"/>
            <w:szCs w:val="24"/>
          </w:rPr>
          <w:t>UCC</w:t>
        </w:r>
        <w:r w:rsidR="0012491F">
          <w:rPr>
            <w:rStyle w:val="Hyperlink"/>
            <w:rFonts w:ascii="Times New Roman" w:hAnsi="Times New Roman"/>
            <w:szCs w:val="24"/>
          </w:rPr>
          <w:t xml:space="preserve"> </w:t>
        </w:r>
        <w:r w:rsidR="00111832">
          <w:rPr>
            <w:rStyle w:val="Hyperlink"/>
            <w:rFonts w:ascii="Times New Roman" w:hAnsi="Times New Roman"/>
            <w:szCs w:val="24"/>
          </w:rPr>
          <w:t>§§</w:t>
        </w:r>
        <w:r w:rsidR="0012491F" w:rsidRPr="0012491F">
          <w:rPr>
            <w:rStyle w:val="Hyperlink"/>
            <w:rFonts w:ascii="Times New Roman" w:hAnsi="Times New Roman"/>
            <w:szCs w:val="24"/>
          </w:rPr>
          <w:t xml:space="preserve"> 9-317(e)</w:t>
        </w:r>
      </w:hyperlink>
      <w:r w:rsidR="0012491F">
        <w:rPr>
          <w:rFonts w:ascii="Times New Roman" w:hAnsi="Times New Roman"/>
          <w:szCs w:val="24"/>
        </w:rPr>
        <w:t xml:space="preserve">, </w:t>
      </w:r>
      <w:hyperlink w:anchor="U9324" w:history="1">
        <w:r w:rsidR="009D1F69" w:rsidRPr="0012491F">
          <w:rPr>
            <w:rStyle w:val="Hyperlink"/>
            <w:rFonts w:ascii="Times New Roman" w:hAnsi="Times New Roman"/>
            <w:szCs w:val="24"/>
          </w:rPr>
          <w:t>9-324</w:t>
        </w:r>
        <w:r w:rsidR="0012491F" w:rsidRPr="0012491F">
          <w:rPr>
            <w:rStyle w:val="Hyperlink"/>
            <w:rFonts w:ascii="Times New Roman" w:hAnsi="Times New Roman"/>
            <w:szCs w:val="24"/>
          </w:rPr>
          <w:t>(a)</w:t>
        </w:r>
      </w:hyperlink>
      <w:r w:rsidR="0012491F">
        <w:rPr>
          <w:rFonts w:ascii="Times New Roman" w:hAnsi="Times New Roman"/>
          <w:szCs w:val="24"/>
        </w:rPr>
        <w:t xml:space="preserve">), </w:t>
      </w:r>
      <w:r w:rsidR="006824EE" w:rsidRPr="007A5BBC">
        <w:rPr>
          <w:rFonts w:ascii="Times New Roman" w:hAnsi="Times New Roman"/>
          <w:szCs w:val="24"/>
        </w:rPr>
        <w:t>the interest can be perfected post-petition (</w:t>
      </w:r>
      <w:r w:rsidR="006824EE" w:rsidRPr="00DA5356">
        <w:rPr>
          <w:rFonts w:ascii="Times New Roman" w:hAnsi="Times New Roman"/>
          <w:i/>
          <w:iCs/>
          <w:szCs w:val="24"/>
        </w:rPr>
        <w:t xml:space="preserve">See </w:t>
      </w:r>
      <w:r w:rsidR="006824EE" w:rsidRPr="007A5BBC">
        <w:rPr>
          <w:rFonts w:ascii="Times New Roman" w:hAnsi="Times New Roman"/>
          <w:szCs w:val="24"/>
        </w:rPr>
        <w:t xml:space="preserve">11 U.S.C. § 362(b)(3)), and the 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3F986D02" w:rsidR="009136B3"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r w:rsidRPr="007A5BBC">
        <w:rPr>
          <w:rFonts w:ascii="Times New Roman" w:hAnsi="Times New Roman"/>
          <w:szCs w:val="24"/>
        </w:rPr>
        <w:t>11 U.S.C. § 546(b)(2)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559AC290" w14:textId="77777777" w:rsidR="00264992" w:rsidRPr="007A5BBC" w:rsidRDefault="00264992" w:rsidP="003A2153">
      <w:pPr>
        <w:ind w:firstLine="720"/>
        <w:jc w:val="both"/>
        <w:rPr>
          <w:rFonts w:ascii="Times New Roman" w:hAnsi="Times New Roman"/>
          <w:szCs w:val="24"/>
        </w:rPr>
      </w:pPr>
    </w:p>
    <w:p w14:paraId="15E8CA78" w14:textId="54AF8F38" w:rsidR="00DD4615" w:rsidRPr="007A5BBC" w:rsidRDefault="00DD4615" w:rsidP="00264992">
      <w:pPr>
        <w:pStyle w:val="Heading2"/>
        <w:spacing w:line="240" w:lineRule="auto"/>
      </w:pPr>
      <w:bookmarkStart w:id="3765" w:name="_Toc417380852"/>
      <w:bookmarkStart w:id="3766" w:name="_Toc79699225"/>
      <w:bookmarkStart w:id="3767" w:name="_Toc79699551"/>
      <w:bookmarkStart w:id="3768" w:name="_Toc79699889"/>
      <w:bookmarkStart w:id="3769" w:name="_Toc79700209"/>
      <w:bookmarkStart w:id="3770" w:name="_Toc79700531"/>
      <w:bookmarkStart w:id="3771" w:name="_Toc87039309"/>
      <w:bookmarkStart w:id="3772" w:name="_Toc90983705"/>
      <w:r w:rsidRPr="007A5BBC">
        <w:t>Reclamation Rights</w:t>
      </w:r>
      <w:r w:rsidR="00CB723B">
        <w:t xml:space="preserve"> – </w:t>
      </w:r>
      <w:r w:rsidRPr="007A5BBC">
        <w:t>11 U.S.C. § 546(c)</w:t>
      </w:r>
      <w:bookmarkStart w:id="3773" w:name="_Toc79693083"/>
      <w:bookmarkStart w:id="3774" w:name="_Toc79693403"/>
      <w:bookmarkStart w:id="3775" w:name="_Toc79693723"/>
      <w:bookmarkStart w:id="3776" w:name="_Toc79694040"/>
      <w:bookmarkStart w:id="3777" w:name="_Toc79694678"/>
      <w:bookmarkStart w:id="3778" w:name="_Toc79695308"/>
      <w:bookmarkStart w:id="3779" w:name="_Toc7969755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r w:rsidR="00264992">
        <w:br/>
      </w:r>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2C5C6EC9"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t xml:space="preserve">Section 2-702 of the Uniform Commercial </w:t>
      </w:r>
      <w:r w:rsidR="00F9595D">
        <w:rPr>
          <w:rFonts w:ascii="Times New Roman" w:hAnsi="Times New Roman"/>
          <w:szCs w:val="24"/>
        </w:rPr>
        <w:t>C</w:t>
      </w:r>
      <w:r w:rsidR="0005670A" w:rsidRPr="007A5BBC">
        <w:rPr>
          <w:rFonts w:ascii="Times New Roman" w:hAnsi="Times New Roman"/>
          <w:szCs w:val="24"/>
        </w:rPr>
        <w:t>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37F99DC5"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 xml:space="preserve">UCC 2-207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325654C"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Section 546(c)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1FEFD50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r w:rsidRPr="007A5BBC">
        <w:rPr>
          <w:rFonts w:ascii="Times New Roman" w:hAnsi="Times New Roman"/>
          <w:szCs w:val="24"/>
        </w:rPr>
        <w:t>11 U.S.C. § 503(b)(9)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227FB1D7" w:rsidR="0005670A"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11 U.S.C. § 546(c)(1)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17D63E81" w14:textId="77777777" w:rsidR="00264992" w:rsidRPr="007A5BBC" w:rsidRDefault="00264992" w:rsidP="003A2153">
      <w:pPr>
        <w:ind w:firstLine="720"/>
        <w:jc w:val="both"/>
        <w:rPr>
          <w:rFonts w:ascii="Times New Roman" w:hAnsi="Times New Roman"/>
          <w:szCs w:val="24"/>
        </w:rPr>
      </w:pPr>
    </w:p>
    <w:p w14:paraId="06237285" w14:textId="65A096BB" w:rsidR="006347D8" w:rsidRPr="007A5BBC" w:rsidRDefault="00646EC9" w:rsidP="00264992">
      <w:pPr>
        <w:pStyle w:val="Heading2"/>
        <w:spacing w:line="240" w:lineRule="auto"/>
      </w:pPr>
      <w:bookmarkStart w:id="3780" w:name="_Toc417380853"/>
      <w:bookmarkStart w:id="3781" w:name="_Toc79699226"/>
      <w:bookmarkStart w:id="3782" w:name="_Toc79699552"/>
      <w:bookmarkStart w:id="3783" w:name="_Toc79699890"/>
      <w:bookmarkStart w:id="3784" w:name="_Toc79700210"/>
      <w:bookmarkStart w:id="3785" w:name="_Toc79700532"/>
      <w:bookmarkStart w:id="3786" w:name="_Toc87039310"/>
      <w:bookmarkStart w:id="3787" w:name="_Toc90983706"/>
      <w:r>
        <w:t>Cases on</w:t>
      </w:r>
      <w:r w:rsidR="006347D8" w:rsidRPr="007A5BBC">
        <w:t xml:space="preserve"> Reclamation Rights</w:t>
      </w:r>
      <w:bookmarkStart w:id="3788" w:name="_Toc79693084"/>
      <w:bookmarkStart w:id="3789" w:name="_Toc79693404"/>
      <w:bookmarkStart w:id="3790" w:name="_Toc79693724"/>
      <w:bookmarkStart w:id="3791" w:name="_Toc79694041"/>
      <w:bookmarkStart w:id="3792" w:name="_Toc79694679"/>
      <w:bookmarkStart w:id="3793" w:name="_Toc79695309"/>
      <w:bookmarkStart w:id="3794" w:name="_Toc79697555"/>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00264992">
        <w:br/>
      </w:r>
    </w:p>
    <w:p w14:paraId="5D9CCCCC" w14:textId="27BEE97F" w:rsidR="006347D8" w:rsidRPr="00264992" w:rsidRDefault="007C1024" w:rsidP="00264992">
      <w:pPr>
        <w:pStyle w:val="Heading3"/>
        <w:rPr>
          <w:u w:val="single"/>
        </w:rPr>
      </w:pPr>
      <w:hyperlink r:id="rId210" w:history="1">
        <w:bookmarkStart w:id="3795" w:name="_Toc87039311"/>
        <w:bookmarkStart w:id="3796" w:name="_Toc90983707"/>
        <w:r w:rsidR="006347D8" w:rsidRPr="00264992">
          <w:rPr>
            <w:rStyle w:val="Hyperlink"/>
          </w:rPr>
          <w:t>I</w:t>
        </w:r>
        <w:r w:rsidR="00756AF6" w:rsidRPr="00264992">
          <w:rPr>
            <w:rStyle w:val="Hyperlink"/>
          </w:rPr>
          <w:t xml:space="preserve">N RE ARLCO, INC., </w:t>
        </w:r>
        <w:r w:rsidR="006347D8" w:rsidRPr="00264992">
          <w:rPr>
            <w:rStyle w:val="Hyperlink"/>
          </w:rPr>
          <w:t>239 B.R. 261 (Bankr. S.D.N.Y. 1999)</w:t>
        </w:r>
        <w:bookmarkEnd w:id="3795"/>
        <w:bookmarkEnd w:id="3796"/>
      </w:hyperlink>
      <w:bookmarkStart w:id="3797" w:name="_Toc79693085"/>
      <w:bookmarkStart w:id="3798" w:name="_Toc79693405"/>
      <w:bookmarkStart w:id="3799" w:name="_Toc79693725"/>
      <w:bookmarkStart w:id="3800" w:name="_Toc79694042"/>
      <w:bookmarkStart w:id="3801" w:name="_Toc79694360"/>
      <w:bookmarkStart w:id="3802" w:name="_Toc79694680"/>
      <w:bookmarkStart w:id="3803" w:name="_Toc79694994"/>
      <w:bookmarkStart w:id="3804" w:name="_Toc79695310"/>
      <w:bookmarkStart w:id="3805" w:name="_Toc79695626"/>
      <w:bookmarkStart w:id="3806" w:name="_Toc79695942"/>
      <w:bookmarkStart w:id="3807" w:name="_Toc79696258"/>
      <w:bookmarkStart w:id="3808" w:name="_Toc79696574"/>
      <w:bookmarkStart w:id="3809" w:name="_Toc79696895"/>
      <w:bookmarkStart w:id="3810" w:name="_Toc79697227"/>
      <w:bookmarkStart w:id="3811" w:name="_Toc79697556"/>
      <w:bookmarkStart w:id="3812" w:name="_Toc79699227"/>
      <w:bookmarkStart w:id="3813" w:name="_Toc79699553"/>
      <w:bookmarkStart w:id="3814" w:name="_Toc79699891"/>
      <w:bookmarkStart w:id="3815" w:name="_Toc79700211"/>
      <w:bookmarkStart w:id="3816" w:name="_Toc79700533"/>
      <w:bookmarkStart w:id="3817" w:name="_Toc79700855"/>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r w:rsidR="00264992" w:rsidRPr="00264992">
        <w:rPr>
          <w:rStyle w:val="Hyperlink"/>
        </w:rPr>
        <w:br/>
      </w:r>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1C2DF14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September 15, 1997, pursuant to 11 U.S.C. § 363,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62018D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The purpose of 11 U.S.C. § 546(c)[1]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 546(c),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567C482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 546(c) reclamation claim is that the debtor must possess the goods when the reclamation demand is made." However, it is not clear "whether possession is an element under § 546(c) of the Bankruptcy Code or in establishing an independent right of reclamation under nonbankruptcy law to be recognized under § 546(c)." Logic dictates that, if not possession, the debtor should at least have control over the goods if it is to be required to return them. For the same reason, if the goods are not identifiable, the debtor could not identify or extract the goods to return them to the reclaiming 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42216B2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Section 546(c)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2F1F45F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Uniform Com</w:t>
      </w:r>
      <w:r w:rsidR="00BF7B47">
        <w:rPr>
          <w:rFonts w:ascii="Times New Roman" w:hAnsi="Times New Roman"/>
          <w:szCs w:val="24"/>
        </w:rPr>
        <w:t>mercial Code ("U.C.C.") § 2-702</w:t>
      </w:r>
      <w:r w:rsidRPr="007A5BBC">
        <w:rPr>
          <w:rFonts w:ascii="Times New Roman" w:hAnsi="Times New Roman"/>
          <w:szCs w:val="24"/>
        </w:rPr>
        <w:t>[</w:t>
      </w:r>
      <w:r w:rsidR="00BF7B47">
        <w:rPr>
          <w:rFonts w:ascii="Times New Roman" w:hAnsi="Times New Roman"/>
          <w:szCs w:val="24"/>
        </w:rPr>
        <w:t>(</w:t>
      </w:r>
      <w:r w:rsidRPr="007A5BBC">
        <w:rPr>
          <w:rFonts w:ascii="Times New Roman" w:hAnsi="Times New Roman"/>
          <w:szCs w:val="24"/>
        </w:rPr>
        <w:t>2</w:t>
      </w:r>
      <w:r w:rsidR="00BF7B47">
        <w:rPr>
          <w:rFonts w:ascii="Times New Roman" w:hAnsi="Times New Roman"/>
          <w:szCs w:val="24"/>
        </w:rPr>
        <w:t>)</w:t>
      </w:r>
      <w:r w:rsidRPr="007A5BBC">
        <w:rPr>
          <w:rFonts w:ascii="Times New Roman" w:hAnsi="Times New Roman"/>
          <w:szCs w:val="24"/>
        </w:rPr>
        <w:t xml:space="preserve">]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3AA9217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previously noted, while a seller's right to reclamation is subject to the rights of a good faith purchaser, the reclamation right is not automatically extinguished. Relying on this principle, Galey argues that, pursuant to § 546,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consists of the very goods sold by the reclaiming seller or the traceable proceeds from those goods.</w:t>
      </w:r>
    </w:p>
    <w:p w14:paraId="0BC6BF8F" w14:textId="7C8E2D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Thus, it is only when the reclaiming seller's goods or traceable proceeds from those goods are in excess 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 546(c) which is to preserve any common law or statutory rights to reclamation, not to enhance those rights. It therefore follows that any administrative claim or lien substituted for the right to reclamation pursuant to § 546(c)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It is clear that whatever Galey goods may have been present on the date of the demand —all of which goods were subject to CIT's rights—were sold 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6210688E" w:rsidR="006347D8"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2A87EB00" w14:textId="77777777" w:rsidR="00264992" w:rsidRPr="007A5BBC" w:rsidRDefault="00264992" w:rsidP="003A2153">
      <w:pPr>
        <w:ind w:firstLine="720"/>
        <w:jc w:val="both"/>
        <w:rPr>
          <w:rFonts w:ascii="Times New Roman" w:hAnsi="Times New Roman"/>
          <w:szCs w:val="24"/>
        </w:rPr>
      </w:pPr>
    </w:p>
    <w:p w14:paraId="1FD4ED8F" w14:textId="3B4F298E" w:rsidR="00A13ADE" w:rsidRPr="00264992" w:rsidRDefault="007C1024" w:rsidP="00D95675">
      <w:pPr>
        <w:pStyle w:val="Heading3"/>
        <w:rPr>
          <w:u w:val="single"/>
        </w:rPr>
      </w:pPr>
      <w:hyperlink r:id="rId211" w:history="1">
        <w:bookmarkStart w:id="3818" w:name="_Toc87039312"/>
        <w:bookmarkStart w:id="3819" w:name="_Toc90983708"/>
        <w:r w:rsidR="008011E9" w:rsidRPr="00264992">
          <w:rPr>
            <w:rStyle w:val="Hyperlink"/>
          </w:rPr>
          <w:t>P</w:t>
        </w:r>
        <w:r w:rsidR="00756AF6" w:rsidRPr="00264992">
          <w:rPr>
            <w:rStyle w:val="Hyperlink"/>
          </w:rPr>
          <w:t xml:space="preserve">HAR-MOR v. McKESSON CORPORATION, </w:t>
        </w:r>
        <w:r w:rsidR="00A13ADE" w:rsidRPr="00264992">
          <w:rPr>
            <w:rStyle w:val="Hyperlink"/>
          </w:rPr>
          <w:t>534 F.3d 502 (6th Cir. 2008)</w:t>
        </w:r>
        <w:bookmarkEnd w:id="3818"/>
        <w:bookmarkEnd w:id="3819"/>
      </w:hyperlink>
      <w:bookmarkStart w:id="3820" w:name="_Toc79693086"/>
      <w:bookmarkStart w:id="3821" w:name="_Toc79693406"/>
      <w:bookmarkStart w:id="3822" w:name="_Toc79693726"/>
      <w:bookmarkStart w:id="3823" w:name="_Toc79694043"/>
      <w:bookmarkStart w:id="3824" w:name="_Toc79694361"/>
      <w:bookmarkStart w:id="3825" w:name="_Toc79694681"/>
      <w:bookmarkStart w:id="3826" w:name="_Toc79694995"/>
      <w:bookmarkStart w:id="3827" w:name="_Toc79695311"/>
      <w:bookmarkStart w:id="3828" w:name="_Toc79695627"/>
      <w:bookmarkStart w:id="3829" w:name="_Toc79695943"/>
      <w:bookmarkStart w:id="3830" w:name="_Toc79696259"/>
      <w:bookmarkStart w:id="3831" w:name="_Toc79696575"/>
      <w:bookmarkStart w:id="3832" w:name="_Toc79696896"/>
      <w:bookmarkStart w:id="3833" w:name="_Toc79697228"/>
      <w:bookmarkStart w:id="3834" w:name="_Toc79697557"/>
      <w:bookmarkStart w:id="3835" w:name="_Toc79699228"/>
      <w:bookmarkStart w:id="3836" w:name="_Toc79699554"/>
      <w:bookmarkStart w:id="3837" w:name="_Toc79699892"/>
      <w:bookmarkStart w:id="3838" w:name="_Toc79700212"/>
      <w:bookmarkStart w:id="3839" w:name="_Toc79700534"/>
      <w:bookmarkStart w:id="3840" w:name="_Toc79700856"/>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r w:rsidR="00264992" w:rsidRPr="00264992">
        <w:rPr>
          <w:rStyle w:val="Hyperlink"/>
        </w:rPr>
        <w:br/>
      </w:r>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51527C7E"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w:t>
      </w:r>
      <w:r w:rsidR="00A13ADE" w:rsidRPr="007A5BBC">
        <w:rPr>
          <w:rFonts w:ascii="Times New Roman" w:hAnsi="Times New Roman"/>
          <w:szCs w:val="24"/>
        </w:rPr>
        <w:t xml:space="preserve"> </w:t>
      </w:r>
      <w:r w:rsidRPr="007A5BBC">
        <w:rPr>
          <w:rFonts w:ascii="Times New Roman" w:hAnsi="Times New Roman"/>
          <w:szCs w:val="24"/>
        </w:rPr>
        <w:t>filed Chapter 11 bankruptcy on September 24, 2001, but continued to operate as a debtor in possession. In response, several vendors, including McKesson Corporation, filed timely "reclamation claims," pursuant to 11 U.S.C. § 546(c)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renders a seller's right to reclaim "subject to the rights of a buyer in ordinary course or other good faith purchaser or lien creditor." Phar-Mor contends that the DIP Lenders, who held a security interest 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3C22088A" w:rsidR="006347D8" w:rsidRDefault="008011E9" w:rsidP="003A2153">
      <w:pPr>
        <w:ind w:firstLine="720"/>
        <w:jc w:val="both"/>
        <w:rPr>
          <w:rFonts w:ascii="Times New Roman" w:hAnsi="Times New Roman"/>
          <w:szCs w:val="24"/>
        </w:rPr>
      </w:pPr>
      <w:r w:rsidRPr="007A5BBC">
        <w:rPr>
          <w:rFonts w:ascii="Times New Roman" w:hAnsi="Times New Roman"/>
          <w:szCs w:val="24"/>
        </w:rPr>
        <w:t xml:space="preserve">We find that UCC 2-207(2) grants a properly reclaiming vendor, such as McKesson, a right to reclaim its goods and that </w:t>
      </w:r>
      <w:r w:rsidR="00FA3549" w:rsidRPr="007A5BBC">
        <w:rPr>
          <w:rFonts w:ascii="Times New Roman" w:hAnsi="Times New Roman"/>
          <w:szCs w:val="24"/>
        </w:rPr>
        <w:t xml:space="preserve">UCC 2-207(3) </w:t>
      </w:r>
      <w:r w:rsidRPr="007A5BBC">
        <w:rPr>
          <w:rFonts w:ascii="Times New Roman" w:hAnsi="Times New Roman"/>
          <w:szCs w:val="24"/>
        </w:rPr>
        <w:t>does not allow a secured creditor's claim to defeat that right. But, correspondingly, we find that 11 U.S.C. § 546(c)(2)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00AE5DD8" w14:textId="77777777" w:rsidR="00720CD3" w:rsidRPr="007A5BBC" w:rsidRDefault="00720CD3" w:rsidP="003A2153">
      <w:pPr>
        <w:ind w:firstLine="720"/>
        <w:jc w:val="both"/>
        <w:rPr>
          <w:rFonts w:ascii="Times New Roman" w:hAnsi="Times New Roman"/>
          <w:szCs w:val="24"/>
        </w:rPr>
      </w:pPr>
    </w:p>
    <w:p w14:paraId="5CFFDE0E" w14:textId="6B4F60E6" w:rsidR="00DD4615" w:rsidRPr="007A5BBC" w:rsidRDefault="00FA3549" w:rsidP="00720CD3">
      <w:pPr>
        <w:pStyle w:val="Heading2"/>
        <w:spacing w:line="240" w:lineRule="auto"/>
      </w:pPr>
      <w:bookmarkStart w:id="3841" w:name="_Toc417380854"/>
      <w:bookmarkStart w:id="3842" w:name="_Toc79699229"/>
      <w:bookmarkStart w:id="3843" w:name="_Toc79699555"/>
      <w:bookmarkStart w:id="3844" w:name="_Toc79699893"/>
      <w:bookmarkStart w:id="3845" w:name="_Toc79700213"/>
      <w:bookmarkStart w:id="3846" w:name="_Toc79700535"/>
      <w:bookmarkStart w:id="3847" w:name="_Toc87039313"/>
      <w:bookmarkStart w:id="3848" w:name="_Toc90983709"/>
      <w:r w:rsidRPr="007A5BBC">
        <w:t>Recovering Avoided Transfers</w:t>
      </w:r>
      <w:r w:rsidR="00CB723B">
        <w:t xml:space="preserve"> – </w:t>
      </w:r>
      <w:r w:rsidRPr="007A5BBC">
        <w:t>11 U.S.C. § 550</w:t>
      </w:r>
      <w:bookmarkStart w:id="3849" w:name="_Toc79693087"/>
      <w:bookmarkStart w:id="3850" w:name="_Toc79693407"/>
      <w:bookmarkStart w:id="3851" w:name="_Toc79693727"/>
      <w:bookmarkStart w:id="3852" w:name="_Toc79694044"/>
      <w:bookmarkStart w:id="3853" w:name="_Toc79694682"/>
      <w:bookmarkStart w:id="3854" w:name="_Toc79695312"/>
      <w:bookmarkStart w:id="3855" w:name="_Toc79697558"/>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r w:rsidR="00720CD3">
        <w:br/>
      </w:r>
    </w:p>
    <w:p w14:paraId="226E247B" w14:textId="0BB89A7E" w:rsidR="00FA3549" w:rsidRPr="007A5BBC" w:rsidRDefault="004969B1" w:rsidP="003A2153">
      <w:pPr>
        <w:ind w:firstLine="720"/>
        <w:jc w:val="both"/>
        <w:rPr>
          <w:rFonts w:ascii="Times New Roman" w:hAnsi="Times New Roman"/>
          <w:szCs w:val="24"/>
        </w:rPr>
      </w:pPr>
      <w:r w:rsidRPr="007A5BBC">
        <w:rPr>
          <w:rFonts w:ascii="Times New Roman" w:hAnsi="Times New Roman"/>
          <w:szCs w:val="24"/>
        </w:rPr>
        <w:t>Section 550 puts important additional limits on the ability to recover avoided transfers</w:t>
      </w:r>
      <w:r w:rsidR="005F6A8B">
        <w:rPr>
          <w:rFonts w:ascii="Times New Roman" w:hAnsi="Times New Roman"/>
          <w:szCs w:val="24"/>
        </w:rPr>
        <w:t xml:space="preserve">. </w:t>
      </w:r>
      <w:r w:rsidRPr="007A5BBC">
        <w:rPr>
          <w:rFonts w:ascii="Times New Roman" w:hAnsi="Times New Roman"/>
          <w:szCs w:val="24"/>
        </w:rPr>
        <w:t>Not all avoided transfers need to be recovered</w:t>
      </w:r>
      <w:r w:rsidR="005F6A8B">
        <w:rPr>
          <w:rFonts w:ascii="Times New Roman" w:hAnsi="Times New Roman"/>
          <w:szCs w:val="24"/>
        </w:rPr>
        <w:t xml:space="preserve">. </w:t>
      </w:r>
      <w:r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Pr="007A5BBC">
        <w:rPr>
          <w:rFonts w:ascii="Times New Roman" w:hAnsi="Times New Roman"/>
          <w:szCs w:val="24"/>
        </w:rPr>
        <w:t>But if after avoiding a transfer the trustee wants to recover money or the property from someone then the strictures of Section 550 come into play</w:t>
      </w:r>
      <w:r w:rsidR="005F6A8B">
        <w:rPr>
          <w:rFonts w:ascii="Times New Roman" w:hAnsi="Times New Roman"/>
          <w:szCs w:val="24"/>
        </w:rPr>
        <w:t xml:space="preserve">. </w:t>
      </w:r>
    </w:p>
    <w:p w14:paraId="3FE2C176" w14:textId="6F171CE6" w:rsidR="00FF297E" w:rsidRDefault="00787C6F" w:rsidP="00AB2BC6">
      <w:pPr>
        <w:ind w:firstLine="720"/>
        <w:jc w:val="both"/>
        <w:rPr>
          <w:rFonts w:ascii="Times New Roman" w:hAnsi="Times New Roman"/>
          <w:szCs w:val="24"/>
        </w:rPr>
      </w:pPr>
      <w:r w:rsidRPr="007A5BBC">
        <w:rPr>
          <w:rFonts w:ascii="Times New Roman" w:hAnsi="Times New Roman"/>
          <w:szCs w:val="24"/>
        </w:rPr>
        <w:t>Section 550 provides protection for (1) innocent secondary transferees (11 U.S.C. § 550(b)); (2) non-insider transferees outside of the 90 day period (11 U.S.C. § 550(c)); and (3) good faith transferees who gave value (11 U.S.C. § 550(d))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r w:rsidRPr="007A5BBC">
        <w:rPr>
          <w:rFonts w:ascii="Times New Roman" w:hAnsi="Times New Roman"/>
          <w:szCs w:val="24"/>
        </w:rPr>
        <w:t>11 U.S.C. § 550(f).</w:t>
      </w:r>
    </w:p>
    <w:p w14:paraId="64BC8496" w14:textId="77777777" w:rsidR="00720CD3" w:rsidRDefault="00720CD3" w:rsidP="00AB2BC6">
      <w:pPr>
        <w:ind w:firstLine="720"/>
        <w:jc w:val="both"/>
        <w:rPr>
          <w:rFonts w:ascii="Times New Roman" w:hAnsi="Times New Roman"/>
          <w:szCs w:val="24"/>
        </w:rPr>
      </w:pPr>
    </w:p>
    <w:p w14:paraId="4B8D7CC5" w14:textId="049DEF42" w:rsidR="00FA3549" w:rsidRPr="007A5BBC" w:rsidRDefault="005D2DBF" w:rsidP="00720CD3">
      <w:pPr>
        <w:pStyle w:val="Heading2"/>
        <w:spacing w:line="240" w:lineRule="auto"/>
      </w:pPr>
      <w:bookmarkStart w:id="3856" w:name="_Toc417380855"/>
      <w:bookmarkStart w:id="3857" w:name="_Toc79699230"/>
      <w:bookmarkStart w:id="3858" w:name="_Toc79699556"/>
      <w:bookmarkStart w:id="3859" w:name="_Toc79699894"/>
      <w:bookmarkStart w:id="3860" w:name="_Toc79700214"/>
      <w:bookmarkStart w:id="3861" w:name="_Toc79700536"/>
      <w:bookmarkStart w:id="3862" w:name="_Toc87039314"/>
      <w:bookmarkStart w:id="3863" w:name="_Toc90983710"/>
      <w:r w:rsidRPr="007A5BBC">
        <w:t>P</w:t>
      </w:r>
      <w:r w:rsidR="00756AF6">
        <w:t xml:space="preserve">ractice Problems: </w:t>
      </w:r>
      <w:r w:rsidRPr="007A5BBC">
        <w:t>Recovering Avoided Transfers</w:t>
      </w:r>
      <w:bookmarkStart w:id="3864" w:name="_Toc79693088"/>
      <w:bookmarkStart w:id="3865" w:name="_Toc79693408"/>
      <w:bookmarkStart w:id="3866" w:name="_Toc79693728"/>
      <w:bookmarkStart w:id="3867" w:name="_Toc79694045"/>
      <w:bookmarkStart w:id="3868" w:name="_Toc79694683"/>
      <w:bookmarkStart w:id="3869" w:name="_Toc79695313"/>
      <w:bookmarkStart w:id="3870" w:name="_Toc79697559"/>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r w:rsidR="00720CD3">
        <w:br/>
      </w:r>
    </w:p>
    <w:p w14:paraId="308D3EEB" w14:textId="78D6EF9A" w:rsidR="005D2DBF" w:rsidRPr="00756AF6" w:rsidRDefault="00756AF6" w:rsidP="00CA016D">
      <w:pPr>
        <w:pStyle w:val="0-NORMAL"/>
      </w:pPr>
      <w:r w:rsidRPr="00CA016D">
        <w:rPr>
          <w:b/>
        </w:rPr>
        <w:t>Problem 1</w:t>
      </w:r>
      <w:r w:rsidR="00F9595D">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Can the trustee recover the $100,000 from the Bank</w:t>
      </w:r>
      <w:r w:rsidR="00083725" w:rsidRPr="00756AF6">
        <w:t xml:space="preserve">? </w:t>
      </w:r>
    </w:p>
    <w:p w14:paraId="51DCB524" w14:textId="35DBCE3E" w:rsidR="00756AF6" w:rsidRDefault="005D2DBF" w:rsidP="00756AF6">
      <w:pPr>
        <w:ind w:left="1080"/>
        <w:jc w:val="both"/>
        <w:rPr>
          <w:rFonts w:ascii="Times New Roman" w:hAnsi="Times New Roman"/>
          <w:szCs w:val="24"/>
        </w:rPr>
      </w:pPr>
      <w:r w:rsidRPr="007A5BBC">
        <w:rPr>
          <w:rFonts w:ascii="Times New Roman" w:hAnsi="Times New Roman"/>
          <w:szCs w:val="24"/>
        </w:rPr>
        <w:t xml:space="preserve">[This is a simplified example of the problem identified in </w:t>
      </w:r>
      <w:hyperlink r:id="rId212"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(7th Cir. 1989)</w:t>
        </w:r>
      </w:hyperlink>
      <w:r w:rsidRPr="007A5BBC">
        <w:rPr>
          <w:rFonts w:ascii="Times New Roman" w:hAnsi="Times New Roman"/>
          <w:szCs w:val="24"/>
        </w:rPr>
        <w:t>, decided before Congress attempted to fix the problem by enacting 11 U.S.C. § 550(c)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31D91472" w:rsidR="005D2DBF" w:rsidRPr="00756AF6" w:rsidRDefault="00756AF6" w:rsidP="00CA016D">
      <w:pPr>
        <w:pStyle w:val="0-NORMAL"/>
      </w:pPr>
      <w:r w:rsidRPr="00CA016D">
        <w:rPr>
          <w:b/>
        </w:rPr>
        <w:t>Problem 2</w:t>
      </w:r>
      <w:r w:rsidR="00F9595D">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Can the trustee avoid the security interest</w:t>
      </w:r>
      <w:r w:rsidR="00083725" w:rsidRPr="00756AF6">
        <w:t xml:space="preserve">? </w:t>
      </w:r>
    </w:p>
    <w:p w14:paraId="37D95310" w14:textId="0FFECD27" w:rsidR="003A7F4C" w:rsidRDefault="005D2DBF" w:rsidP="003A7F4C">
      <w:pPr>
        <w:ind w:left="1080"/>
        <w:jc w:val="both"/>
        <w:rPr>
          <w:rFonts w:ascii="Times New Roman" w:hAnsi="Times New Roman"/>
          <w:b/>
          <w:bCs/>
          <w:szCs w:val="24"/>
        </w:rPr>
      </w:pPr>
      <w:r w:rsidRPr="00F9595D">
        <w:rPr>
          <w:rFonts w:ascii="Times New Roman" w:hAnsi="Times New Roman"/>
          <w:b/>
          <w:bCs/>
          <w:szCs w:val="24"/>
        </w:rPr>
        <w:t>[</w:t>
      </w:r>
      <w:r w:rsidR="00756AF6" w:rsidRPr="00F9595D">
        <w:rPr>
          <w:rFonts w:ascii="Times New Roman" w:hAnsi="Times New Roman"/>
          <w:b/>
          <w:bCs/>
          <w:szCs w:val="24"/>
        </w:rPr>
        <w:t xml:space="preserve">NOTE: Because </w:t>
      </w:r>
      <w:r w:rsidRPr="00F9595D">
        <w:rPr>
          <w:rFonts w:ascii="Times New Roman" w:hAnsi="Times New Roman"/>
          <w:b/>
          <w:bCs/>
          <w:szCs w:val="24"/>
        </w:rPr>
        <w:t>Section 550(c) did not</w:t>
      </w:r>
      <w:r w:rsidR="00756AF6" w:rsidRPr="00F9595D">
        <w:rPr>
          <w:rFonts w:ascii="Times New Roman" w:hAnsi="Times New Roman"/>
          <w:b/>
          <w:bCs/>
          <w:szCs w:val="24"/>
        </w:rPr>
        <w:t xml:space="preserve"> completely</w:t>
      </w:r>
      <w:r w:rsidRPr="00F9595D">
        <w:rPr>
          <w:rFonts w:ascii="Times New Roman" w:hAnsi="Times New Roman"/>
          <w:b/>
          <w:bCs/>
          <w:szCs w:val="24"/>
        </w:rPr>
        <w:t xml:space="preserve"> fix this problem (where no recovery is required), Congress again amended the Bankruptcy Code by adding 11 U.S.C. § 547(i).]</w:t>
      </w:r>
    </w:p>
    <w:p w14:paraId="11EC1EF3" w14:textId="77777777" w:rsidR="003A7F4C" w:rsidRPr="00720CD3" w:rsidRDefault="003A7F4C" w:rsidP="00720CD3">
      <w:pPr>
        <w:ind w:left="1080"/>
        <w:jc w:val="both"/>
        <w:rPr>
          <w:rFonts w:ascii="Times New Roman" w:hAnsi="Times New Roman"/>
          <w:b/>
          <w:bCs/>
          <w:szCs w:val="24"/>
        </w:rPr>
      </w:pPr>
    </w:p>
    <w:p w14:paraId="526A3EDB" w14:textId="3E1BC743" w:rsidR="00D85A2E" w:rsidRPr="007A5BBC" w:rsidRDefault="00646EC9" w:rsidP="00720CD3">
      <w:pPr>
        <w:pStyle w:val="Heading2"/>
        <w:spacing w:line="240" w:lineRule="auto"/>
      </w:pPr>
      <w:bookmarkStart w:id="3871" w:name="_Toc417380856"/>
      <w:bookmarkStart w:id="3872" w:name="_Toc79699231"/>
      <w:bookmarkStart w:id="3873" w:name="_Toc79699557"/>
      <w:bookmarkStart w:id="3874" w:name="_Toc79699895"/>
      <w:bookmarkStart w:id="3875" w:name="_Toc79700215"/>
      <w:bookmarkStart w:id="3876" w:name="_Toc79700537"/>
      <w:bookmarkStart w:id="3877" w:name="_Toc87039315"/>
      <w:bookmarkStart w:id="3878" w:name="_Toc90983711"/>
      <w:r>
        <w:t xml:space="preserve">Cases on </w:t>
      </w:r>
      <w:r w:rsidR="00D85A2E" w:rsidRPr="007A5BBC">
        <w:t>Recovering Avoided Transfers</w:t>
      </w:r>
      <w:bookmarkStart w:id="3879" w:name="_Toc79693089"/>
      <w:bookmarkStart w:id="3880" w:name="_Toc79693409"/>
      <w:bookmarkStart w:id="3881" w:name="_Toc79693729"/>
      <w:bookmarkStart w:id="3882" w:name="_Toc79694046"/>
      <w:bookmarkStart w:id="3883" w:name="_Toc79694684"/>
      <w:bookmarkStart w:id="3884" w:name="_Toc79695314"/>
      <w:bookmarkStart w:id="3885" w:name="_Toc7969756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r w:rsidR="00720CD3">
        <w:br/>
      </w:r>
    </w:p>
    <w:p w14:paraId="2AFC61A3" w14:textId="089170C4" w:rsidR="00D85A2E" w:rsidRPr="00720CD3" w:rsidRDefault="007C1024" w:rsidP="00720CD3">
      <w:pPr>
        <w:pStyle w:val="Heading3"/>
        <w:rPr>
          <w:u w:val="single"/>
        </w:rPr>
      </w:pPr>
      <w:hyperlink r:id="rId213" w:history="1">
        <w:bookmarkStart w:id="3886" w:name="_Toc87039316"/>
        <w:bookmarkStart w:id="3887" w:name="_Toc90983712"/>
        <w:r w:rsidR="00D85A2E" w:rsidRPr="00720CD3">
          <w:rPr>
            <w:rStyle w:val="Hyperlink"/>
          </w:rPr>
          <w:t>B</w:t>
        </w:r>
        <w:r w:rsidR="00756AF6" w:rsidRPr="00720CD3">
          <w:rPr>
            <w:rStyle w:val="Hyperlink"/>
          </w:rPr>
          <w:t xml:space="preserve">ONDED </w:t>
        </w:r>
        <w:r w:rsidR="00083725" w:rsidRPr="00720CD3">
          <w:rPr>
            <w:rStyle w:val="Hyperlink"/>
          </w:rPr>
          <w:t xml:space="preserve">FIN. </w:t>
        </w:r>
        <w:r w:rsidR="00756AF6" w:rsidRPr="00720CD3">
          <w:rPr>
            <w:rStyle w:val="Hyperlink"/>
          </w:rPr>
          <w:t>SERV</w:t>
        </w:r>
        <w:r w:rsidR="00850A70" w:rsidRPr="00720CD3">
          <w:rPr>
            <w:rStyle w:val="Hyperlink"/>
          </w:rPr>
          <w:t>.</w:t>
        </w:r>
        <w:r w:rsidR="00756AF6" w:rsidRPr="00720CD3">
          <w:rPr>
            <w:rStyle w:val="Hyperlink"/>
          </w:rPr>
          <w:t xml:space="preserve">, INC., v. </w:t>
        </w:r>
        <w:r w:rsidR="00D85A2E" w:rsidRPr="00720CD3">
          <w:rPr>
            <w:rStyle w:val="Hyperlink"/>
          </w:rPr>
          <w:t>E</w:t>
        </w:r>
        <w:r w:rsidR="00756AF6" w:rsidRPr="00720CD3">
          <w:rPr>
            <w:rStyle w:val="Hyperlink"/>
          </w:rPr>
          <w:t xml:space="preserve">UROPEAN AMERICAN BANK, </w:t>
        </w:r>
        <w:r w:rsidR="00D85A2E" w:rsidRPr="00720CD3">
          <w:rPr>
            <w:rStyle w:val="Hyperlink"/>
          </w:rPr>
          <w:t>838 F.2d 890 (7th Cir. 1988)</w:t>
        </w:r>
        <w:bookmarkEnd w:id="3886"/>
        <w:bookmarkEnd w:id="3887"/>
      </w:hyperlink>
      <w:bookmarkStart w:id="3888" w:name="_Toc79693090"/>
      <w:bookmarkStart w:id="3889" w:name="_Toc79693410"/>
      <w:bookmarkStart w:id="3890" w:name="_Toc79693730"/>
      <w:bookmarkStart w:id="3891" w:name="_Toc79694047"/>
      <w:bookmarkStart w:id="3892" w:name="_Toc79694365"/>
      <w:bookmarkStart w:id="3893" w:name="_Toc79694685"/>
      <w:bookmarkStart w:id="3894" w:name="_Toc79694999"/>
      <w:bookmarkStart w:id="3895" w:name="_Toc79695315"/>
      <w:bookmarkStart w:id="3896" w:name="_Toc79695631"/>
      <w:bookmarkStart w:id="3897" w:name="_Toc79695947"/>
      <w:bookmarkStart w:id="3898" w:name="_Toc79696263"/>
      <w:bookmarkStart w:id="3899" w:name="_Toc79696579"/>
      <w:bookmarkStart w:id="3900" w:name="_Toc79696900"/>
      <w:bookmarkStart w:id="3901" w:name="_Toc79697232"/>
      <w:bookmarkStart w:id="3902" w:name="_Toc79697561"/>
      <w:bookmarkStart w:id="3903" w:name="_Toc79699232"/>
      <w:bookmarkStart w:id="3904" w:name="_Toc79699558"/>
      <w:bookmarkStart w:id="3905" w:name="_Toc79699896"/>
      <w:bookmarkStart w:id="3906" w:name="_Toc79700216"/>
      <w:bookmarkStart w:id="3907" w:name="_Toc79700538"/>
      <w:bookmarkStart w:id="3908" w:name="_Toc79700860"/>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r w:rsidR="00720CD3" w:rsidRPr="00720CD3">
        <w:rPr>
          <w:rStyle w:val="Hyperlink"/>
        </w:rPr>
        <w:br/>
      </w:r>
    </w:p>
    <w:p w14:paraId="1593A8DD" w14:textId="77777777" w:rsidR="00D85A2E" w:rsidRPr="007A5BBC" w:rsidRDefault="00D85A2E" w:rsidP="00D85A2E">
      <w:pPr>
        <w:ind w:firstLine="720"/>
        <w:rPr>
          <w:rFonts w:ascii="Times New Roman" w:hAnsi="Times New Roman"/>
          <w:szCs w:val="24"/>
        </w:rPr>
      </w:pPr>
      <w:r w:rsidRPr="007A5BBC">
        <w:rPr>
          <w:rFonts w:ascii="Times New Roman" w:hAnsi="Times New Roman"/>
          <w:szCs w:val="24"/>
        </w:rPr>
        <w:t>EASTERBROOK,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currency exchanges and Ryan paid visits to the judicial system. Bonded filed a petition in bankruptcy on February 10, 1983, along with about 65 other entities that Ryan controlled. Creditors later filed involuntary proceedings against Ryan. Ryan was convicted of mail fraud on 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Sec. 550(a)(1) because it was the payee of the check it received on January 21; that the Bank is in any event the "entity for whose benefit such transfer was made" because Ryan intended to pay off the loan when he caused Bonded to write the check; that if the Bank is a subsequent transferee under Sec. 550(a)(2) it did not give "value" under Sec. 550(b)(1) because Bonded received nothing; and that the Bank loses even if it gave value because it should have known that something was amiss, given the substantial sum Bonded was transferring to a corporate officer. The bankruptcy court granted summary judgment to the Bank without explicitly discussing Sec. 550.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Sec. 550(b)(1); and that because the trustee presented no evidence that the Bank knew or should have known of Bonded's impending collapse, the Bank took in good faith. </w:t>
      </w:r>
    </w:p>
    <w:p w14:paraId="14126009" w14:textId="06F708C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note accompanying Bonded's check had said: "use this check to reduce Ryan's loan" instead of "deposit this check into [Ryan]'s account", Sec. 550(a)(1) would provide a ready answer. The Bank would be the "initial transferee" and Ryan would be the "entity for whose benefit [the] transfer was made". The trustee could recover the $200,000 from the Bank, Ryan, or both, subject to the rule of Sec. 550(c)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6A241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r w:rsidRPr="007A5BBC">
        <w:rPr>
          <w:rFonts w:ascii="Times New Roman" w:hAnsi="Times New Roman"/>
          <w:szCs w:val="24"/>
        </w:rPr>
        <w:t>Sec. 550(b) leaves with the initial transferee the 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moment. Some of these instruments represent funds fraudulently conveyed out of 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Bank is not the "initial transferee", the trustee insists, it is at least the "entity for whose benefit such transfer was made". The Bank ultimately was paid and therefore, one might 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3D36D14"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Sec. 550(a)(1), the Bank insists. The distinction is important, because entities covered by Sec. 550(a)(1) cannot use the value-and-good-faith defense provided by Sec. 550(b).</w:t>
      </w:r>
    </w:p>
    <w:p w14:paraId="1BD676DA"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This exchange seems to raise difficult questions. To what extent does "intent" matter under Sec. 550(a)(1)?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14475E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r w:rsidRPr="007A5BBC">
        <w:rPr>
          <w:rFonts w:ascii="Times New Roman" w:hAnsi="Times New Roman"/>
          <w:szCs w:val="24"/>
        </w:rPr>
        <w:t>Section 550(a)(1) recognizes that debtors 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recipients are treated. If B gave value to the bankrupt for the benefit, B will receive credit in the bankruptcy, and if not, B should be subject to recovery to 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To say that the categories "transferee" and "entity for whose benefit such transfer was made" are mutually exclusive does not necessarily make it easy to determine in which category a given entity falls. The method we employed in Part I of this opinion to decide that the Bank was 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A trustee may not recover from a subsequent transferee who "takes for value, including satisfaction ... of a present or antecedent debt, in good faith, and without knowledge of the voidability of the transfer avoided", Sec. 550(b)(1).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statute does not say "value to the debtor"; it says "value". A natural reading looks to what the transferee gave up rather than what the debtor received. Other portions of the Code require value to the debtor. Section 548(c), for example, gives the initial recipient of a fraudulent conveyance a lien against any assets it hands back, "to the extent that such transferee ... gave value to the debtor in exchange for such transfer". The difference between "value" in Sec. 550(b)(1) and "value to the debtor" in Sec. 548(c) makes sense. Section 550(b)(1)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03F5932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phra</w:t>
      </w:r>
      <w:r w:rsidR="00515F41" w:rsidRPr="007A5BBC">
        <w:rPr>
          <w:rFonts w:ascii="Times New Roman" w:hAnsi="Times New Roman"/>
          <w:szCs w:val="24"/>
        </w:rPr>
        <w:t>se "good faith" in [Sec. 550(b)</w:t>
      </w:r>
      <w:r w:rsidRPr="007A5BBC">
        <w:rPr>
          <w:rFonts w:ascii="Times New Roman" w:hAnsi="Times New Roman"/>
          <w:szCs w:val="24"/>
        </w:rPr>
        <w:t>] is intended to prevent a transferee from whom the trustee could recover from transferring the recoverable property to an innocent transferee, and receiving a transfer from him, that is, "washing" the transaction through an innocent third party. 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4E9FB57E" w:rsidR="00D85A2E" w:rsidRDefault="00D85A2E" w:rsidP="003A2153">
      <w:pPr>
        <w:ind w:firstLine="720"/>
        <w:jc w:val="both"/>
        <w:rPr>
          <w:rFonts w:ascii="Times New Roman" w:hAnsi="Times New Roman"/>
          <w:szCs w:val="24"/>
        </w:rPr>
      </w:pPr>
      <w:r w:rsidRPr="007A5BBC">
        <w:rPr>
          <w:rFonts w:ascii="Times New Roman" w:hAnsi="Times New Roman"/>
          <w:szCs w:val="24"/>
        </w:rPr>
        <w:t>The Bank is a subsequent transferee covered by Sec. 550(b)(1). It took for value and without knowledge of the voidability of the initial transaction.</w:t>
      </w:r>
    </w:p>
    <w:p w14:paraId="600275A4" w14:textId="77777777" w:rsidR="00720CD3" w:rsidRPr="007A5BBC" w:rsidRDefault="00720CD3" w:rsidP="003A2153">
      <w:pPr>
        <w:ind w:firstLine="720"/>
        <w:jc w:val="both"/>
        <w:rPr>
          <w:rFonts w:ascii="Times New Roman" w:hAnsi="Times New Roman"/>
          <w:szCs w:val="24"/>
        </w:rPr>
      </w:pPr>
    </w:p>
    <w:p w14:paraId="2F33DA4F" w14:textId="596810BC" w:rsidR="003E7E37" w:rsidRPr="00720CD3" w:rsidRDefault="007C1024" w:rsidP="00D95675">
      <w:pPr>
        <w:pStyle w:val="Heading3"/>
        <w:rPr>
          <w:u w:val="single"/>
        </w:rPr>
      </w:pPr>
      <w:hyperlink r:id="rId214" w:history="1">
        <w:bookmarkStart w:id="3909" w:name="_Toc87039317"/>
        <w:bookmarkStart w:id="3910" w:name="_Toc90983713"/>
        <w:r w:rsidR="003E7E37" w:rsidRPr="00720CD3">
          <w:rPr>
            <w:rStyle w:val="Hyperlink"/>
          </w:rPr>
          <w:t>K</w:t>
        </w:r>
        <w:r w:rsidR="00756AF6" w:rsidRPr="00720CD3">
          <w:rPr>
            <w:rStyle w:val="Hyperlink"/>
          </w:rPr>
          <w:t xml:space="preserve">ELLOGG v. BLUE QUAIL ENERGY, </w:t>
        </w:r>
        <w:r w:rsidR="003E7E37" w:rsidRPr="00720CD3">
          <w:rPr>
            <w:rStyle w:val="Hyperlink"/>
          </w:rPr>
          <w:t>831 F.2d 586 (5th Cir. 1987)</w:t>
        </w:r>
        <w:bookmarkEnd w:id="3909"/>
        <w:bookmarkEnd w:id="3910"/>
      </w:hyperlink>
      <w:bookmarkStart w:id="3911" w:name="_Toc79693091"/>
      <w:bookmarkStart w:id="3912" w:name="_Toc79693411"/>
      <w:bookmarkStart w:id="3913" w:name="_Toc79693731"/>
      <w:bookmarkStart w:id="3914" w:name="_Toc79694048"/>
      <w:bookmarkStart w:id="3915" w:name="_Toc79694366"/>
      <w:bookmarkStart w:id="3916" w:name="_Toc79694686"/>
      <w:bookmarkStart w:id="3917" w:name="_Toc79695000"/>
      <w:bookmarkStart w:id="3918" w:name="_Toc79695316"/>
      <w:bookmarkStart w:id="3919" w:name="_Toc79695632"/>
      <w:bookmarkStart w:id="3920" w:name="_Toc79695948"/>
      <w:bookmarkStart w:id="3921" w:name="_Toc79696264"/>
      <w:bookmarkStart w:id="3922" w:name="_Toc79696580"/>
      <w:bookmarkStart w:id="3923" w:name="_Toc79696901"/>
      <w:bookmarkStart w:id="3924" w:name="_Toc79697233"/>
      <w:bookmarkStart w:id="3925" w:name="_Toc79697562"/>
      <w:bookmarkStart w:id="3926" w:name="_Toc79699233"/>
      <w:bookmarkStart w:id="3927" w:name="_Toc79699559"/>
      <w:bookmarkStart w:id="3928" w:name="_Toc79699897"/>
      <w:bookmarkStart w:id="3929" w:name="_Toc79700217"/>
      <w:bookmarkStart w:id="3930" w:name="_Toc79700539"/>
      <w:bookmarkStart w:id="3931" w:name="_Toc79700861"/>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r w:rsidR="00720CD3" w:rsidRPr="00720CD3">
        <w:rPr>
          <w:rStyle w:val="Hyperlink"/>
        </w:rPr>
        <w:br/>
      </w:r>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11 U.S.C. Sec. 547 through the letter of credit transaction. The trustee sought to recover $585,443.85 from Blue Quail pursuant to 11 U.S.C. Sec. 550.</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6470A73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well established that a letter of credit and the proceeds therefrom are not property of the debtor's estate under 11 U.S.C. Sec. 541.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apparently holding otherwise, </w:t>
      </w:r>
      <w:hyperlink r:id="rId215"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28169EA8"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11 U.S.C. Sec. 547.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When a debtor pledges its assets to secure a letter of credit, a transfer of debtor's property has occurred under the provisions of 11 U.S.C. Sec. 547. By subjecting its assets to MBank's reimbursement claim in the event MBank had to pay on the letter of credit, Compton made a transfer of its property. The broad definition of "transfer" under 11 U.S.C. Sec. 101(50) is clearly 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7E4615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transfer to MBank of the increased security interest was a direct transfer which occurred on May 6, 1982, when the bank issued the letter of credit. Under 11 U.S.C. Sec. 547(e)(2)(A), however, such a transfer is deemed to have taken place for purposes of 11 U.S.C. Sec. 547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This date is well before the 90 day window of 11 U.S.C. Sec. 547(b)(4)(A).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11 U.S.C. Sec. 547(c)(1) because it gave new value and under the operation of the relation back provision of 11 U.S.C. Sec. 547(e)(2)(A). The bank is also protected from any claims of reimbursement by Blue Quail because the bank received no voidable preference.</w:t>
      </w:r>
    </w:p>
    <w:p w14:paraId="081788F2" w14:textId="1B6EE04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relation back provision of 11 U.S.C. Sec. 547(e)(2)(A),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11 U.S.C. Sec. 547(e)(2)(A) does not apply to this indirect transfer to Blue Quail. Blue Quail was not a party to the security 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Sec. 547(c)(1),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2CFDDE1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As a result, the 11 U.S.C. Sec. 547(c)(1)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11 U.S.C. Sec. 550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without this security. A secured creditor was substituted for an unsecured creditor to the detriment of the other unsecured creditors.</w:t>
      </w:r>
    </w:p>
    <w:p w14:paraId="5B196B19" w14:textId="56EBAF1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We also hold, therefore, that the trustee can recover under 11 U.S.C. Sec. 550(a)(1)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11 U.S.C. Sec. 547(e)(2)(A). 11 U.S.C. Sec. 547(e)(2)(A),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11 U.S.C. Sec. 547,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66033B03"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precise holding in this case needs to be emphasized. We do not hold that payment under a letter of credit, or even a letter of credit itself, constitute preferential transfers under 11 U.S.C. Sec. 547(b) or property of a debtor under 11 U.S.C. Sec. 541. The holding of this case 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11 U.S.C.</w:t>
      </w:r>
      <w:r w:rsidR="00213572">
        <w:rPr>
          <w:rFonts w:ascii="Times New Roman" w:hAnsi="Times New Roman"/>
          <w:szCs w:val="24"/>
        </w:rPr>
        <w:t xml:space="preserve"> Sec. 547(b).</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issuing the letter of credit. For these reasons, we affirm the district court's dismissal of Blue Quail's request to proceed against MBank for reimbursement.</w:t>
      </w:r>
    </w:p>
    <w:p w14:paraId="1B3014AE" w14:textId="0856D551" w:rsidR="003E7E37" w:rsidRDefault="003E7E37" w:rsidP="003A2153">
      <w:pPr>
        <w:ind w:firstLine="720"/>
        <w:jc w:val="both"/>
        <w:rPr>
          <w:rFonts w:ascii="Times New Roman" w:hAnsi="Times New Roman"/>
          <w:szCs w:val="24"/>
        </w:rPr>
      </w:pPr>
      <w:r w:rsidRPr="007A5BBC">
        <w:rPr>
          <w:rFonts w:ascii="Times New Roman" w:hAnsi="Times New Roman"/>
          <w:szCs w:val="24"/>
        </w:rPr>
        <w:t>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11 U.S.C. Sec. 547(c)(1) preference exception.</w:t>
      </w:r>
    </w:p>
    <w:p w14:paraId="06422FD0" w14:textId="77777777" w:rsidR="00720CD3" w:rsidRPr="007A5BBC" w:rsidRDefault="00720CD3" w:rsidP="003A2153">
      <w:pPr>
        <w:ind w:firstLine="720"/>
        <w:jc w:val="both"/>
        <w:rPr>
          <w:rFonts w:ascii="Times New Roman" w:hAnsi="Times New Roman"/>
          <w:szCs w:val="24"/>
        </w:rPr>
      </w:pPr>
    </w:p>
    <w:p w14:paraId="0835F3C0" w14:textId="50338FAE" w:rsidR="00D85A2E" w:rsidRPr="007A5BBC" w:rsidRDefault="00DA252E" w:rsidP="00720CD3">
      <w:pPr>
        <w:pStyle w:val="Heading2"/>
        <w:spacing w:line="240" w:lineRule="auto"/>
      </w:pPr>
      <w:bookmarkStart w:id="3932" w:name="_Toc417380857"/>
      <w:bookmarkStart w:id="3933" w:name="_Toc79699234"/>
      <w:bookmarkStart w:id="3934" w:name="_Toc79699560"/>
      <w:bookmarkStart w:id="3935" w:name="_Toc79699898"/>
      <w:bookmarkStart w:id="3936" w:name="_Toc79700218"/>
      <w:bookmarkStart w:id="3937" w:name="_Toc79700540"/>
      <w:bookmarkStart w:id="3938" w:name="_Toc87039318"/>
      <w:bookmarkStart w:id="3939" w:name="_Toc90983714"/>
      <w:r w:rsidRPr="007A5BBC">
        <w:t>P</w:t>
      </w:r>
      <w:r w:rsidR="00756AF6">
        <w:t xml:space="preserve">ractice Problems: </w:t>
      </w:r>
      <w:r w:rsidRPr="007A5BBC">
        <w:t xml:space="preserve">The </w:t>
      </w:r>
      <w:r w:rsidR="007C7C82" w:rsidRPr="007A5BBC">
        <w:t>Debtor’s Avoiding Powers</w:t>
      </w:r>
      <w:bookmarkStart w:id="3940" w:name="_Toc79693092"/>
      <w:bookmarkStart w:id="3941" w:name="_Toc79693412"/>
      <w:bookmarkStart w:id="3942" w:name="_Toc79693732"/>
      <w:bookmarkStart w:id="3943" w:name="_Toc79694049"/>
      <w:bookmarkStart w:id="3944" w:name="_Toc79694687"/>
      <w:bookmarkStart w:id="3945" w:name="_Toc79695317"/>
      <w:bookmarkStart w:id="3946" w:name="_Toc79697563"/>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r w:rsidR="00720CD3">
        <w:br/>
      </w:r>
    </w:p>
    <w:p w14:paraId="35E67071" w14:textId="7C45A3B5" w:rsidR="00756AF6" w:rsidRDefault="00756AF6" w:rsidP="00CA016D">
      <w:pPr>
        <w:pStyle w:val="0-NORMAL"/>
      </w:pPr>
      <w:r w:rsidRPr="00CA016D">
        <w:rPr>
          <w:b/>
        </w:rPr>
        <w:t>Problem 1</w:t>
      </w:r>
      <w:r w:rsidR="00F9595D">
        <w:t xml:space="preserve">. </w:t>
      </w:r>
      <w:r w:rsidR="00DA252E" w:rsidRPr="00756AF6">
        <w:t>Debtor repays a $1</w:t>
      </w:r>
      <w:r w:rsidR="00AB2BC6">
        <w:t>0</w:t>
      </w:r>
      <w:r w:rsidR="00DA252E" w:rsidRPr="00756AF6">
        <w:t>,000 loan ten days before filing bankruptcy</w:t>
      </w:r>
      <w:r w:rsidR="005F6A8B">
        <w:t xml:space="preserve">. </w:t>
      </w:r>
      <w:r w:rsidR="00DA252E" w:rsidRPr="00756AF6">
        <w:t>The trustee avoids the transfer as a preference under Section 547 and recovers $1</w:t>
      </w:r>
      <w:r w:rsidR="00AB2BC6">
        <w:t>0</w:t>
      </w:r>
      <w:r w:rsidR="00DA252E" w:rsidRPr="00756AF6">
        <w:t>,000 from the creditor under Section 550</w:t>
      </w:r>
      <w:r w:rsidR="005F6A8B">
        <w:t xml:space="preserve">. </w:t>
      </w:r>
      <w:r w:rsidR="00AB2BC6">
        <w:t xml:space="preserve">The Debtor has not used $15,000 </w:t>
      </w:r>
      <w:r w:rsidR="00DA252E" w:rsidRPr="00756AF6">
        <w:t>of her wild card exemption</w:t>
      </w:r>
      <w:r w:rsidR="005F6A8B">
        <w:t xml:space="preserve">. </w:t>
      </w:r>
      <w:r w:rsidR="00DA252E" w:rsidRPr="00756AF6">
        <w:t>Can the Debtor exempt the trustee’s recovery and keep the $1</w:t>
      </w:r>
      <w:r w:rsidR="00AB2BC6">
        <w:t>0</w:t>
      </w:r>
      <w:r w:rsidR="00DA252E" w:rsidRPr="00756AF6">
        <w:t>,000</w:t>
      </w:r>
      <w:r w:rsidR="00083725" w:rsidRPr="00756AF6">
        <w:t xml:space="preserve">? </w:t>
      </w:r>
      <w:r w:rsidR="00DA252E" w:rsidRPr="00756AF6">
        <w:t>11 U.S.C. § 522(g).</w:t>
      </w:r>
    </w:p>
    <w:p w14:paraId="7C5F8386" w14:textId="0437FFCA" w:rsidR="00756AF6" w:rsidRDefault="00756AF6" w:rsidP="00CA016D">
      <w:pPr>
        <w:pStyle w:val="0-NORMAL"/>
      </w:pPr>
      <w:r w:rsidRPr="00CA016D">
        <w:rPr>
          <w:b/>
        </w:rPr>
        <w:t>Problem 2</w:t>
      </w:r>
      <w:r w:rsidR="00F9595D">
        <w:t xml:space="preserve">. </w:t>
      </w:r>
      <w:r w:rsidR="00DA252E" w:rsidRPr="00756AF6">
        <w:t>Creditor garnishes $1</w:t>
      </w:r>
      <w:r w:rsidR="00AB2BC6">
        <w:t>0</w:t>
      </w:r>
      <w:r w:rsidR="00DA252E" w:rsidRPr="00756AF6">
        <w:t>,000 of the Debtor’s wages during the 90 day period prior to bankruptcy</w:t>
      </w:r>
      <w:r w:rsidR="005F6A8B">
        <w:t xml:space="preserve">. </w:t>
      </w:r>
      <w:r w:rsidR="00DA252E" w:rsidRPr="00756AF6">
        <w:t>The trustee brings a preference action under Section 547 to avoid the $1</w:t>
      </w:r>
      <w:r w:rsidR="00AB2BC6">
        <w:t>0</w:t>
      </w:r>
      <w:r w:rsidR="00DA252E" w:rsidRPr="00756AF6">
        <w:t>,000 transfer, and recovers $1</w:t>
      </w:r>
      <w:r w:rsidR="00AB2BC6">
        <w:t>0</w:t>
      </w:r>
      <w:r w:rsidR="00DA252E" w:rsidRPr="00756AF6">
        <w:t>,000 from the creditor under Section 550</w:t>
      </w:r>
      <w:r w:rsidR="005F6A8B">
        <w:t xml:space="preserve">. </w:t>
      </w:r>
      <w:r w:rsidR="00DA252E" w:rsidRPr="00756AF6">
        <w:t>The debtor has not used $2</w:t>
      </w:r>
      <w:r w:rsidR="00AB2BC6">
        <w:t>0</w:t>
      </w:r>
      <w:r w:rsidR="00DA252E" w:rsidRPr="00756AF6">
        <w:t>,000 of her wild card exemption</w:t>
      </w:r>
      <w:r w:rsidR="005F6A8B">
        <w:t xml:space="preserve">. </w:t>
      </w:r>
      <w:r w:rsidR="00DA252E" w:rsidRPr="00756AF6">
        <w:t>Can the Debtor exempt the trustee’s recovery and keep the $1</w:t>
      </w:r>
      <w:r w:rsidR="00AB2BC6">
        <w:t>0</w:t>
      </w:r>
      <w:r w:rsidR="00DA252E" w:rsidRPr="00756AF6">
        <w:t>,000</w:t>
      </w:r>
      <w:r w:rsidR="00083725" w:rsidRPr="00756AF6">
        <w:t xml:space="preserve">? </w:t>
      </w:r>
      <w:r w:rsidR="00DA252E" w:rsidRPr="00756AF6">
        <w:t>11 U.S.C. § 522(g).</w:t>
      </w:r>
    </w:p>
    <w:p w14:paraId="7661B780" w14:textId="335747CE" w:rsidR="00DA252E" w:rsidRDefault="00756AF6" w:rsidP="00CA016D">
      <w:pPr>
        <w:pStyle w:val="0-NORMAL"/>
      </w:pPr>
      <w:r w:rsidRPr="00CA016D">
        <w:rPr>
          <w:b/>
        </w:rPr>
        <w:t>Problem 3</w:t>
      </w:r>
      <w:r w:rsidR="00F9595D">
        <w:t xml:space="preserve">. </w:t>
      </w:r>
      <w:r w:rsidR="00DA252E" w:rsidRPr="00756AF6">
        <w:t xml:space="preserve">Suppose that the Trustee in Problem </w:t>
      </w:r>
      <w:r w:rsidR="001A5F10">
        <w:t>(</w:t>
      </w:r>
      <w:r w:rsidR="00AB2BC6">
        <w:t>2</w:t>
      </w:r>
      <w:r w:rsidR="001A5F10">
        <w:t>)</w:t>
      </w:r>
      <w:r w:rsidR="00DA252E" w:rsidRPr="00756AF6">
        <w:t>, recognizing the futility of seeking to avoid and recover the $1</w:t>
      </w:r>
      <w:r w:rsidR="00AB2BC6">
        <w:t>0</w:t>
      </w:r>
      <w:r w:rsidR="00DA252E" w:rsidRPr="00756AF6">
        <w:t>,000 decides not to bring a preference action</w:t>
      </w:r>
      <w:r w:rsidR="005F6A8B">
        <w:t xml:space="preserve">. </w:t>
      </w:r>
      <w:r w:rsidR="00DA252E" w:rsidRPr="00756AF6">
        <w:t>Can the Debtor bring the action</w:t>
      </w:r>
      <w:r w:rsidR="00083725" w:rsidRPr="00756AF6">
        <w:t xml:space="preserve">? </w:t>
      </w:r>
      <w:r w:rsidR="00DA252E" w:rsidRPr="00756AF6">
        <w:t>11 U.S.C. § 522(h).</w:t>
      </w:r>
    </w:p>
    <w:p w14:paraId="366A7118" w14:textId="2C817598" w:rsidR="001E237A" w:rsidRDefault="001E237A" w:rsidP="00CA016D">
      <w:pPr>
        <w:pStyle w:val="0-NORMAL"/>
      </w:pPr>
    </w:p>
    <w:p w14:paraId="7D8913D1" w14:textId="4030175E" w:rsidR="001E237A" w:rsidRDefault="001E237A" w:rsidP="00CA016D">
      <w:pPr>
        <w:pStyle w:val="0-NORMAL"/>
      </w:pPr>
    </w:p>
    <w:p w14:paraId="0FFD4DD7" w14:textId="18A58B85" w:rsidR="001E237A" w:rsidRDefault="001E237A" w:rsidP="00CA016D">
      <w:pPr>
        <w:pStyle w:val="0-NORMAL"/>
      </w:pPr>
    </w:p>
    <w:p w14:paraId="21E6394C" w14:textId="0B15E9E0" w:rsidR="001E237A" w:rsidRDefault="001E237A" w:rsidP="00CA016D">
      <w:pPr>
        <w:pStyle w:val="0-NORMAL"/>
      </w:pPr>
    </w:p>
    <w:p w14:paraId="62B9DB17" w14:textId="6F7564E9" w:rsidR="001E237A" w:rsidRDefault="001E237A" w:rsidP="00CA016D">
      <w:pPr>
        <w:pStyle w:val="0-NORMAL"/>
      </w:pPr>
    </w:p>
    <w:p w14:paraId="05AD3410" w14:textId="57DD4A88" w:rsidR="001E237A" w:rsidRDefault="001E237A" w:rsidP="00CA016D">
      <w:pPr>
        <w:pStyle w:val="0-NORMAL"/>
      </w:pPr>
    </w:p>
    <w:p w14:paraId="5F8117EC" w14:textId="374EC796" w:rsidR="001E237A" w:rsidRDefault="001E237A" w:rsidP="00CA016D">
      <w:pPr>
        <w:pStyle w:val="0-NORMAL"/>
      </w:pPr>
    </w:p>
    <w:p w14:paraId="644B8CAC" w14:textId="79F6BDC5" w:rsidR="001E237A" w:rsidRDefault="001E237A" w:rsidP="00CA016D">
      <w:pPr>
        <w:pStyle w:val="0-NORMAL"/>
      </w:pPr>
    </w:p>
    <w:p w14:paraId="09DB1B37" w14:textId="0C1D1C50" w:rsidR="001E237A" w:rsidRDefault="001E237A" w:rsidP="00CA016D">
      <w:pPr>
        <w:pStyle w:val="0-NORMAL"/>
      </w:pPr>
    </w:p>
    <w:p w14:paraId="53D3CDA0" w14:textId="2B080219" w:rsidR="001E237A" w:rsidRDefault="001E237A" w:rsidP="00CA016D">
      <w:pPr>
        <w:pStyle w:val="0-NORMAL"/>
      </w:pPr>
    </w:p>
    <w:p w14:paraId="6D4536AC" w14:textId="2E74FDA3" w:rsidR="001E237A" w:rsidRDefault="001E237A" w:rsidP="00CA016D">
      <w:pPr>
        <w:pStyle w:val="0-NORMAL"/>
      </w:pPr>
    </w:p>
    <w:p w14:paraId="59333526" w14:textId="358769AA" w:rsidR="001E237A" w:rsidRDefault="001E237A" w:rsidP="00CA016D">
      <w:pPr>
        <w:pStyle w:val="0-NORMAL"/>
      </w:pPr>
    </w:p>
    <w:p w14:paraId="26ED6139" w14:textId="2C215F67" w:rsidR="001E237A" w:rsidRDefault="001E237A" w:rsidP="00CA016D">
      <w:pPr>
        <w:pStyle w:val="0-NORMAL"/>
      </w:pPr>
    </w:p>
    <w:p w14:paraId="1755B75B" w14:textId="77777777" w:rsidR="001E237A" w:rsidRPr="00756AF6" w:rsidRDefault="001E237A" w:rsidP="00CA016D">
      <w:pPr>
        <w:pStyle w:val="0-NORMAL"/>
      </w:pPr>
    </w:p>
    <w:p w14:paraId="6569D88A" w14:textId="4118C79A" w:rsidR="00605489" w:rsidRDefault="00605489">
      <w:pPr>
        <w:spacing w:after="0"/>
      </w:pPr>
      <w:bookmarkStart w:id="3947" w:name="_Toc417380858"/>
    </w:p>
    <w:p w14:paraId="197651B7" w14:textId="47F81D1F" w:rsidR="00890F11" w:rsidRPr="003E2EBD" w:rsidRDefault="00F85E9F" w:rsidP="00720CD3">
      <w:pPr>
        <w:pStyle w:val="Heading1"/>
        <w:spacing w:line="240" w:lineRule="auto"/>
      </w:pPr>
      <w:bookmarkStart w:id="3948" w:name="_Toc79699235"/>
      <w:bookmarkStart w:id="3949" w:name="_Toc79699561"/>
      <w:bookmarkStart w:id="3950" w:name="_Toc79699899"/>
      <w:bookmarkStart w:id="3951" w:name="_Toc79700219"/>
      <w:bookmarkStart w:id="3952" w:name="_Toc79700541"/>
      <w:bookmarkStart w:id="3953" w:name="_Toc87039319"/>
      <w:bookmarkStart w:id="3954" w:name="_Toc90983715"/>
      <w:r w:rsidRPr="007A5BBC">
        <w:t>Secured Claims in Bankruptcy</w:t>
      </w:r>
      <w:bookmarkStart w:id="3955" w:name="_Toc417378991"/>
      <w:bookmarkStart w:id="3956" w:name="_Toc417380859"/>
      <w:bookmarkStart w:id="3957" w:name="_Toc417380860"/>
      <w:bookmarkStart w:id="3958" w:name="_Toc438473262"/>
      <w:bookmarkStart w:id="3959" w:name="_Toc438473578"/>
      <w:bookmarkStart w:id="3960" w:name="_Toc438473894"/>
      <w:bookmarkStart w:id="3961" w:name="_Toc438474210"/>
      <w:bookmarkStart w:id="3962" w:name="_Toc438476671"/>
      <w:bookmarkStart w:id="3963" w:name="_Toc438661424"/>
      <w:bookmarkStart w:id="3964" w:name="_Toc438661753"/>
      <w:bookmarkStart w:id="3965" w:name="_Toc438662148"/>
      <w:bookmarkStart w:id="3966" w:name="_Toc438662480"/>
      <w:bookmarkStart w:id="3967" w:name="_Toc438662818"/>
      <w:bookmarkStart w:id="3968" w:name="_Toc438663150"/>
      <w:bookmarkStart w:id="3969" w:name="_Toc438663477"/>
      <w:bookmarkStart w:id="3970" w:name="_Toc438663804"/>
      <w:bookmarkStart w:id="3971" w:name="_Toc438664129"/>
      <w:bookmarkStart w:id="3972" w:name="_Toc438664456"/>
      <w:bookmarkStart w:id="3973" w:name="_Toc438665201"/>
      <w:bookmarkStart w:id="3974" w:name="_Toc450735145"/>
      <w:bookmarkStart w:id="3975" w:name="_Toc450735474"/>
      <w:bookmarkStart w:id="3976" w:name="_Toc450739870"/>
      <w:bookmarkStart w:id="3977" w:name="_Toc457995690"/>
      <w:bookmarkStart w:id="3978" w:name="_Toc457997519"/>
      <w:bookmarkStart w:id="3979" w:name="_Toc458006751"/>
      <w:bookmarkStart w:id="3980" w:name="_Toc458075063"/>
      <w:bookmarkStart w:id="3981" w:name="_Toc485065597"/>
      <w:bookmarkStart w:id="3982" w:name="_Toc438473263"/>
      <w:bookmarkStart w:id="3983" w:name="_Toc438473579"/>
      <w:bookmarkStart w:id="3984" w:name="_Toc438473895"/>
      <w:bookmarkStart w:id="3985" w:name="_Toc438474211"/>
      <w:bookmarkStart w:id="3986" w:name="_Toc438476672"/>
      <w:bookmarkStart w:id="3987" w:name="_Toc438661425"/>
      <w:bookmarkStart w:id="3988" w:name="_Toc438661754"/>
      <w:bookmarkStart w:id="3989" w:name="_Toc438662149"/>
      <w:bookmarkStart w:id="3990" w:name="_Toc438662481"/>
      <w:bookmarkStart w:id="3991" w:name="_Toc438662819"/>
      <w:bookmarkStart w:id="3992" w:name="_Toc438663151"/>
      <w:bookmarkStart w:id="3993" w:name="_Toc438663478"/>
      <w:bookmarkStart w:id="3994" w:name="_Toc438663805"/>
      <w:bookmarkStart w:id="3995" w:name="_Toc438664130"/>
      <w:bookmarkStart w:id="3996" w:name="_Toc438664457"/>
      <w:bookmarkStart w:id="3997" w:name="_Toc438665202"/>
      <w:bookmarkStart w:id="3998" w:name="_Toc450735146"/>
      <w:bookmarkStart w:id="3999" w:name="_Toc450735475"/>
      <w:bookmarkStart w:id="4000" w:name="_Toc450739871"/>
      <w:bookmarkStart w:id="4001" w:name="_Toc457995691"/>
      <w:bookmarkStart w:id="4002" w:name="_Toc457997520"/>
      <w:bookmarkStart w:id="4003" w:name="_Toc458006752"/>
      <w:bookmarkStart w:id="4004" w:name="_Toc458075064"/>
      <w:bookmarkStart w:id="4005" w:name="_Toc485065598"/>
      <w:bookmarkStart w:id="4006" w:name="_Toc79687452"/>
      <w:bookmarkStart w:id="4007" w:name="_Toc79687776"/>
      <w:bookmarkStart w:id="4008" w:name="_Toc79688143"/>
      <w:bookmarkStart w:id="4009" w:name="_Toc79688472"/>
      <w:bookmarkStart w:id="4010" w:name="_Toc79689408"/>
      <w:bookmarkStart w:id="4011" w:name="_Toc79693093"/>
      <w:bookmarkStart w:id="4012" w:name="_Toc79693413"/>
      <w:bookmarkStart w:id="4013" w:name="_Toc79693733"/>
      <w:bookmarkStart w:id="4014" w:name="_Toc79694050"/>
      <w:bookmarkStart w:id="4015" w:name="_Toc79694368"/>
      <w:bookmarkStart w:id="4016" w:name="_Toc79694688"/>
      <w:bookmarkStart w:id="4017" w:name="_Toc79695002"/>
      <w:bookmarkStart w:id="4018" w:name="_Toc79695318"/>
      <w:bookmarkStart w:id="4019" w:name="_Toc79695634"/>
      <w:bookmarkStart w:id="4020" w:name="_Toc79695950"/>
      <w:bookmarkStart w:id="4021" w:name="_Toc79696266"/>
      <w:bookmarkStart w:id="4022" w:name="_Toc79696582"/>
      <w:bookmarkStart w:id="4023" w:name="_Toc79696903"/>
      <w:bookmarkStart w:id="4024" w:name="_Toc79697235"/>
      <w:bookmarkStart w:id="4025" w:name="_Toc79697564"/>
      <w:bookmarkStart w:id="4026" w:name="_Toc417380861"/>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r w:rsidR="00720CD3">
        <w:br/>
      </w:r>
    </w:p>
    <w:p w14:paraId="7EFEB94B" w14:textId="20D075B8" w:rsidR="00DA252E" w:rsidRPr="007A5BBC" w:rsidRDefault="00B442D1" w:rsidP="00720CD3">
      <w:pPr>
        <w:pStyle w:val="Heading2"/>
        <w:spacing w:line="240" w:lineRule="auto"/>
      </w:pPr>
      <w:bookmarkStart w:id="4027" w:name="_Toc79699236"/>
      <w:bookmarkStart w:id="4028" w:name="_Toc79699562"/>
      <w:bookmarkStart w:id="4029" w:name="_Toc79699900"/>
      <w:bookmarkStart w:id="4030" w:name="_Toc79700220"/>
      <w:bookmarkStart w:id="4031" w:name="_Toc79700542"/>
      <w:bookmarkStart w:id="4032" w:name="_Toc87039320"/>
      <w:bookmarkStart w:id="4033" w:name="_Toc90983716"/>
      <w:r w:rsidRPr="007A5BBC">
        <w:t>The Section 506(a) Split</w:t>
      </w:r>
      <w:bookmarkStart w:id="4034" w:name="_Toc79693094"/>
      <w:bookmarkStart w:id="4035" w:name="_Toc79693414"/>
      <w:bookmarkStart w:id="4036" w:name="_Toc79693734"/>
      <w:bookmarkStart w:id="4037" w:name="_Toc79694051"/>
      <w:bookmarkStart w:id="4038" w:name="_Toc79694689"/>
      <w:bookmarkStart w:id="4039" w:name="_Toc79695319"/>
      <w:bookmarkStart w:id="4040" w:name="_Toc7969756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r w:rsidR="00720CD3">
        <w:br/>
      </w:r>
    </w:p>
    <w:p w14:paraId="4C7A81EC" w14:textId="150DE199"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r w:rsidRPr="007A5BBC">
        <w:rPr>
          <w:rFonts w:ascii="Times New Roman" w:hAnsi="Times New Roman"/>
          <w:szCs w:val="24"/>
        </w:rPr>
        <w:t>11 U.S.C. § 506(a)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50CBA30D" w:rsidR="00E10AA9"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w:t>
      </w:r>
      <w:r w:rsidR="00E10AA9" w:rsidRPr="007A5BBC">
        <w:rPr>
          <w:rFonts w:ascii="Times New Roman" w:hAnsi="Times New Roman"/>
          <w:szCs w:val="24"/>
        </w:rPr>
        <w:t xml:space="preserve">(a) also </w:t>
      </w:r>
      <w:r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Pr="007A5BBC">
        <w:rPr>
          <w:rFonts w:ascii="Times New Roman" w:hAnsi="Times New Roman"/>
          <w:szCs w:val="24"/>
        </w:rPr>
        <w:t xml:space="preserve">Originally, the value was governed by the last sentence of Section 506(a) – </w:t>
      </w:r>
      <w:r w:rsidR="00E10AA9" w:rsidRPr="007A5BBC">
        <w:rPr>
          <w:rFonts w:ascii="Times New Roman" w:hAnsi="Times New Roman"/>
          <w:szCs w:val="24"/>
        </w:rPr>
        <w:t>the collateral should be valued “</w:t>
      </w:r>
      <w:r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16"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5D3858A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r w:rsidRPr="007A5BBC">
        <w:rPr>
          <w:rFonts w:ascii="Times New Roman" w:hAnsi="Times New Roman"/>
          <w:szCs w:val="24"/>
        </w:rPr>
        <w:t>s</w:t>
      </w:r>
      <w:r w:rsidR="00EA1F5C" w:rsidRPr="007A5BBC">
        <w:rPr>
          <w:rFonts w:ascii="Times New Roman" w:hAnsi="Times New Roman"/>
          <w:szCs w:val="24"/>
        </w:rPr>
        <w:t xml:space="preserve">ection 506(a)(2)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section 506(a)(2)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55B47BCC"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he creditors who pushed for section 506(a)(2)’s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07FE224C" w14:textId="77777777" w:rsidR="00730F7D" w:rsidRDefault="00730F7D" w:rsidP="003A2153">
      <w:pPr>
        <w:ind w:firstLine="720"/>
        <w:jc w:val="both"/>
        <w:rPr>
          <w:rFonts w:ascii="Times New Roman" w:hAnsi="Times New Roman"/>
          <w:szCs w:val="24"/>
        </w:rPr>
      </w:pPr>
    </w:p>
    <w:p w14:paraId="62FF27DE" w14:textId="5C1212AF" w:rsidR="00EA1F5C" w:rsidRPr="007A5BBC" w:rsidRDefault="00646EC9" w:rsidP="00730F7D">
      <w:pPr>
        <w:pStyle w:val="Heading2"/>
        <w:spacing w:line="240" w:lineRule="auto"/>
      </w:pPr>
      <w:bookmarkStart w:id="4041" w:name="_Toc79699237"/>
      <w:bookmarkStart w:id="4042" w:name="_Toc79699563"/>
      <w:bookmarkStart w:id="4043" w:name="_Toc79699901"/>
      <w:bookmarkStart w:id="4044" w:name="_Toc79700221"/>
      <w:bookmarkStart w:id="4045" w:name="_Toc79700543"/>
      <w:bookmarkStart w:id="4046" w:name="_Toc87039321"/>
      <w:bookmarkStart w:id="4047" w:name="_Toc90983717"/>
      <w:r>
        <w:t xml:space="preserve">Cases on Valuation and the Section </w:t>
      </w:r>
      <w:r w:rsidR="00BD6709" w:rsidRPr="007A5BBC">
        <w:t xml:space="preserve">506(a) </w:t>
      </w:r>
      <w:r w:rsidR="0009710D" w:rsidRPr="007A5BBC">
        <w:t>Split</w:t>
      </w:r>
      <w:bookmarkStart w:id="4048" w:name="_Toc417380862"/>
      <w:bookmarkEnd w:id="4041"/>
      <w:bookmarkEnd w:id="4042"/>
      <w:bookmarkEnd w:id="4043"/>
      <w:bookmarkEnd w:id="4044"/>
      <w:bookmarkEnd w:id="4045"/>
      <w:bookmarkEnd w:id="4046"/>
      <w:bookmarkEnd w:id="4047"/>
      <w:r w:rsidR="0009710D" w:rsidRPr="007A5BBC">
        <w:t xml:space="preserve"> </w:t>
      </w:r>
      <w:bookmarkStart w:id="4049" w:name="_Toc79693095"/>
      <w:bookmarkStart w:id="4050" w:name="_Toc79693415"/>
      <w:bookmarkStart w:id="4051" w:name="_Toc79693735"/>
      <w:bookmarkStart w:id="4052" w:name="_Toc79694052"/>
      <w:bookmarkStart w:id="4053" w:name="_Toc79694690"/>
      <w:bookmarkStart w:id="4054" w:name="_Toc79695320"/>
      <w:bookmarkStart w:id="4055" w:name="_Toc79697566"/>
      <w:bookmarkEnd w:id="4048"/>
      <w:bookmarkEnd w:id="4049"/>
      <w:bookmarkEnd w:id="4050"/>
      <w:bookmarkEnd w:id="4051"/>
      <w:bookmarkEnd w:id="4052"/>
      <w:bookmarkEnd w:id="4053"/>
      <w:bookmarkEnd w:id="4054"/>
      <w:bookmarkEnd w:id="4055"/>
      <w:r w:rsidR="00730F7D">
        <w:br/>
      </w:r>
    </w:p>
    <w:p w14:paraId="46216BC6" w14:textId="2BB9A91D" w:rsidR="00E10AA9" w:rsidRPr="00730F7D" w:rsidRDefault="007C1024" w:rsidP="00730F7D">
      <w:pPr>
        <w:pStyle w:val="Heading3"/>
        <w:rPr>
          <w:u w:val="single"/>
        </w:rPr>
      </w:pPr>
      <w:hyperlink r:id="rId217" w:history="1">
        <w:bookmarkStart w:id="4056" w:name="_Toc87039322"/>
        <w:bookmarkStart w:id="4057" w:name="_Toc90983718"/>
        <w:r w:rsidR="00E10AA9" w:rsidRPr="00730F7D">
          <w:rPr>
            <w:rStyle w:val="Hyperlink"/>
          </w:rPr>
          <w:t>A</w:t>
        </w:r>
        <w:r w:rsidR="00890F11" w:rsidRPr="00730F7D">
          <w:rPr>
            <w:rStyle w:val="Hyperlink"/>
          </w:rPr>
          <w:t xml:space="preserve">SSOCIATES COMMERCIAL v. RASH, </w:t>
        </w:r>
        <w:r w:rsidR="00E10AA9" w:rsidRPr="00730F7D">
          <w:rPr>
            <w:rStyle w:val="Hyperlink"/>
          </w:rPr>
          <w:t>520 U.S. 953 (1997)</w:t>
        </w:r>
        <w:bookmarkEnd w:id="4056"/>
        <w:bookmarkEnd w:id="4057"/>
      </w:hyperlink>
      <w:bookmarkStart w:id="4058" w:name="_Toc79693096"/>
      <w:bookmarkStart w:id="4059" w:name="_Toc79693416"/>
      <w:bookmarkStart w:id="4060" w:name="_Toc79693736"/>
      <w:bookmarkStart w:id="4061" w:name="_Toc79694053"/>
      <w:bookmarkStart w:id="4062" w:name="_Toc79694371"/>
      <w:bookmarkStart w:id="4063" w:name="_Toc79694691"/>
      <w:bookmarkStart w:id="4064" w:name="_Toc79695005"/>
      <w:bookmarkStart w:id="4065" w:name="_Toc79695321"/>
      <w:bookmarkStart w:id="4066" w:name="_Toc79695637"/>
      <w:bookmarkStart w:id="4067" w:name="_Toc79695953"/>
      <w:bookmarkStart w:id="4068" w:name="_Toc79696269"/>
      <w:bookmarkStart w:id="4069" w:name="_Toc79696585"/>
      <w:bookmarkStart w:id="4070" w:name="_Toc79696906"/>
      <w:bookmarkStart w:id="4071" w:name="_Toc79697238"/>
      <w:bookmarkStart w:id="4072" w:name="_Toc79697567"/>
      <w:bookmarkStart w:id="4073" w:name="_Toc79699238"/>
      <w:bookmarkStart w:id="4074" w:name="_Toc79699564"/>
      <w:bookmarkStart w:id="4075" w:name="_Toc79699902"/>
      <w:bookmarkStart w:id="4076" w:name="_Toc79700222"/>
      <w:bookmarkStart w:id="4077" w:name="_Toc79700544"/>
      <w:bookmarkStart w:id="4078" w:name="_Toc79700866"/>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r w:rsidR="00730F7D" w:rsidRPr="00730F7D">
        <w:rPr>
          <w:rStyle w:val="Hyperlink"/>
        </w:rPr>
        <w:br/>
      </w:r>
    </w:p>
    <w:p w14:paraId="7C9B7B3D" w14:textId="1EE4F99B" w:rsidR="00E10AA9" w:rsidRPr="007A5BBC" w:rsidRDefault="00E10AA9" w:rsidP="00E10AA9">
      <w:pPr>
        <w:ind w:firstLine="720"/>
        <w:rPr>
          <w:rFonts w:ascii="Times New Roman" w:hAnsi="Times New Roman"/>
          <w:szCs w:val="24"/>
        </w:rPr>
      </w:pPr>
      <w:r w:rsidRPr="007A5BBC">
        <w:rPr>
          <w:rFonts w:ascii="Times New Roman" w:hAnsi="Times New Roman"/>
          <w:szCs w:val="24"/>
        </w:rPr>
        <w:t xml:space="preserve">JUSTICE GINSBURG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creditor holding a secured claim. Under the Code, ACC's claim for the balance owed on the truck 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374A0A0F"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Over ACC's objection, the Rashes' repayment plan proposed, pursuant to § 1325(a)(5)(B), continued use of the property in question, i. e., the truck, in the debtor's trade or business. In such a "cram down" case, we hold, the value of the property (and thus the amount of the secured claim under § 506(a))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48B1F0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second sentence of § 506(a) does speak to the how question. "Such value," that sentence provides, "shall be determined in light of the purpose of the valuation and of the proposed disposition or use of such property." § 506(a). By deriving a foreclosure-value standard from § 506(a)'s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6C416A6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we comprehend § 506(a),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Tying valuation to the actual "disposition or use" of the property points away from a foreclosure-value standard when a Chapter 13 debtor, invoking cram down power, retains and uses the property. Under that option, foreclosure is averted by the debtor's choice and over the creditor's 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6A52659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As our reading of § 506(a)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We agree with the Seventh Circuit that "a simple rule of valuation is needed" to serve the interests of predictability and uniformity. We conclude, however, that § 506(a)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10004768" w14:textId="7039493D" w:rsidR="00BF19DF" w:rsidRDefault="00E10AA9" w:rsidP="00BF19DF">
      <w:pPr>
        <w:ind w:firstLine="720"/>
        <w:jc w:val="both"/>
        <w:rPr>
          <w:rFonts w:ascii="Times New Roman" w:hAnsi="Times New Roman"/>
          <w:szCs w:val="24"/>
        </w:rPr>
      </w:pPr>
      <w:r w:rsidRPr="007A5BBC">
        <w:rPr>
          <w:rFonts w:ascii="Times New Roman" w:hAnsi="Times New Roman"/>
          <w:szCs w:val="24"/>
        </w:rPr>
        <w:t>In sum, under § 506(a), the value of property retained because the debtor has exercised the § 1325(a)(5)(B)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342E4DD5" w14:textId="43B8CF07" w:rsidR="00E10AA9" w:rsidRPr="007A5BBC" w:rsidRDefault="003931CD" w:rsidP="00BF19DF">
      <w:pPr>
        <w:ind w:firstLine="720"/>
        <w:jc w:val="both"/>
        <w:rPr>
          <w:rFonts w:ascii="Times New Roman" w:hAnsi="Times New Roman"/>
          <w:szCs w:val="24"/>
        </w:rPr>
      </w:pPr>
      <w:r>
        <w:rPr>
          <w:rFonts w:ascii="Times New Roman" w:hAnsi="Times New Roman"/>
          <w:szCs w:val="24"/>
        </w:rPr>
        <w:br w:type="page"/>
      </w:r>
    </w:p>
    <w:p w14:paraId="7150C86A" w14:textId="0C9992CF" w:rsidR="008941EA" w:rsidRPr="00730F7D" w:rsidRDefault="007C1024" w:rsidP="00D95675">
      <w:pPr>
        <w:pStyle w:val="Heading3"/>
        <w:rPr>
          <w:u w:val="single"/>
        </w:rPr>
      </w:pPr>
      <w:hyperlink r:id="rId218" w:history="1">
        <w:bookmarkStart w:id="4079" w:name="_Toc87039323"/>
        <w:bookmarkStart w:id="4080" w:name="_Toc90983719"/>
        <w:r w:rsidR="00890F11" w:rsidRPr="00730F7D">
          <w:rPr>
            <w:rStyle w:val="Hyperlink"/>
          </w:rPr>
          <w:t xml:space="preserve">IN RE BROWN, </w:t>
        </w:r>
        <w:r w:rsidR="008941EA" w:rsidRPr="00730F7D">
          <w:rPr>
            <w:rStyle w:val="Hyperlink"/>
          </w:rPr>
          <w:t>746 F.3d 1236 (11th Cir. 2014)</w:t>
        </w:r>
        <w:bookmarkEnd w:id="4079"/>
        <w:bookmarkEnd w:id="4080"/>
      </w:hyperlink>
      <w:bookmarkStart w:id="4081" w:name="_Toc79693097"/>
      <w:bookmarkStart w:id="4082" w:name="_Toc79693417"/>
      <w:bookmarkStart w:id="4083" w:name="_Toc79693737"/>
      <w:bookmarkStart w:id="4084" w:name="_Toc79694054"/>
      <w:bookmarkStart w:id="4085" w:name="_Toc79694372"/>
      <w:bookmarkStart w:id="4086" w:name="_Toc79694692"/>
      <w:bookmarkStart w:id="4087" w:name="_Toc79695006"/>
      <w:bookmarkStart w:id="4088" w:name="_Toc79695322"/>
      <w:bookmarkStart w:id="4089" w:name="_Toc79695638"/>
      <w:bookmarkStart w:id="4090" w:name="_Toc79695954"/>
      <w:bookmarkStart w:id="4091" w:name="_Toc79696270"/>
      <w:bookmarkStart w:id="4092" w:name="_Toc79696586"/>
      <w:bookmarkStart w:id="4093" w:name="_Toc79696907"/>
      <w:bookmarkStart w:id="4094" w:name="_Toc79697239"/>
      <w:bookmarkStart w:id="4095" w:name="_Toc79697568"/>
      <w:bookmarkStart w:id="4096" w:name="_Toc79699239"/>
      <w:bookmarkStart w:id="4097" w:name="_Toc79699565"/>
      <w:bookmarkStart w:id="4098" w:name="_Toc79699903"/>
      <w:bookmarkStart w:id="4099" w:name="_Toc79700223"/>
      <w:bookmarkStart w:id="4100" w:name="_Toc79700545"/>
      <w:bookmarkStart w:id="4101" w:name="_Toc79700867"/>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r w:rsidR="00730F7D">
        <w:rPr>
          <w:rStyle w:val="Hyperlink"/>
        </w:rPr>
        <w:br/>
      </w:r>
    </w:p>
    <w:p w14:paraId="775A385A" w14:textId="77777777"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The issue before this Court is whether § 506(a)(2)'s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July 2007, Brown purchased a 37-foot 2006 Keystone Challenger recreational vehicle. Brown entered into a loan agreement secured by the recreational vehicle. In July 2012, Brown filed for Chapter 13 bankruptcy. Santander, the owner of the loan agreement, filed a proof of 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4AC3FDD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Brown argued that § 506(a)(2)'s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5CF7D7F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supported applying a foreclosure value standard to Brown's surrendered vehicle, Rash preceded the Bankruptcy Abuse Prevention and Consumer Protection Act of 2005's ("BAPCPA") addition of § 506(a)(2), which required the replacement value standard. The court concluded Santander would have a secured claim to the extent of the vehicle's replacement value, and that Brown's surrender of the vehicle would satisfy that claim under § 1325(a)(5)(C).</w:t>
      </w:r>
    </w:p>
    <w:p w14:paraId="3A6E232B" w14:textId="1D02D02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5459D8" w:rsidRPr="007A5BBC">
        <w:rPr>
          <w:rFonts w:ascii="Times New Roman" w:hAnsi="Times New Roman"/>
          <w:szCs w:val="24"/>
        </w:rPr>
        <w:t xml:space="preserve"> </w:t>
      </w:r>
    </w:p>
    <w:p w14:paraId="2E47FE57" w14:textId="461050F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In Rash, the debtor proposed to retain the collateral under § 1325(a)(5)(B),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7605DCE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After Rash, BAPCPA added § 506(a)(2). Like § 506(a)(1)'s last sentence, § 506(a)(2) refers to § 506(a)(1)'s bifurcation provision and addresses how to determine value. Unlike § 506(a)(1),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Thus, when § 506(a)(1) and (a)(2) both apply, a creditor holding an undersecured claim would have a secured claim equal to the collateral's judicially-determined replacement value and an unsecured claim to the extent the debt exceeds the collateral's replacement value.</w:t>
      </w:r>
    </w:p>
    <w:p w14:paraId="5F3CA450"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parties do not dispute that Brown is an individual in a Chapter 13 case with property falling within the scope of § 506(a)(2). Nevertheless, they dispute whether § 506(a)(2) applies. Santander contends § 506(a)(2)'s replacement value standard does not apply where, as here, the debtor exercises the surrender option under § 1325(a)(5)(C).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We disagree with Santander's textual arguments. Santander argues that applying § 506(a)(2)'s replacement value standard when a debtor surrenders property under § 1325(a)(5)(C) would misapply </w:t>
      </w:r>
      <w:r w:rsidRPr="007A5BBC">
        <w:rPr>
          <w:rFonts w:ascii="Times New Roman" w:hAnsi="Times New Roman"/>
          <w:i/>
          <w:szCs w:val="24"/>
        </w:rPr>
        <w:t>Rash</w:t>
      </w:r>
      <w:r w:rsidRPr="007A5BBC">
        <w:rPr>
          <w:rFonts w:ascii="Times New Roman" w:hAnsi="Times New Roman"/>
          <w:szCs w:val="24"/>
        </w:rPr>
        <w:t xml:space="preserve"> and violate § 506(a)(1)'s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77777777"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But Santander fails to acknowledge that Rash preceded BAPCPA's addition of § 506(a)(2), which expressly requires applying the replacement value standard in this case. And while § 506(a)(2)'s replacement value standard mandate seemingly contradicts § 506(a)(1)'s broader "disposition and use" valuation language, a well-established canon "of statutory construction [is] that the specific governs the general." </w:t>
      </w:r>
    </w:p>
    <w:p w14:paraId="31FB6FC8" w14:textId="594C4F66"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 506(a)(2) specifies how to value certain property in Chapter 7 and 13 cases, while § 506(a)(1) is more broadly worded and says nothing about Chapter 7 and 13 cases. When a case falls within § 506(a)(2)'s ambit, its specific requirements control. </w:t>
      </w:r>
    </w:p>
    <w:p w14:paraId="15FC2041"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Santander's corollary argument is that § 506(a)(2) only applies to cases where the debtor exercises the retention option under § 1325(a)(5)(B). But this requires us to read a limitation into the statute that does not exist in the plain text. Congress expressly limited § 506(a)(2) to certain Chapter 7 and 13 cases; it could have also limited § 506(a)(2) to cases where the debtor retains or "uses" the collateral. Congress did not, and neither will we.</w:t>
      </w:r>
    </w:p>
    <w:p w14:paraId="0DFCCC3F" w14:textId="5F8EEEFE"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asserts that § 506(a)(2) only applies to retained property under § 1325(a)(5)(B), because BAPCPA only added § 506(a)(2) to codify Rash's holding that replacement value should govern in the retention context. We acknowledge that cases have described § 506(a)(2)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 506(a)(2) is limited to the facts of </w:t>
      </w:r>
      <w:r w:rsidRPr="007A5BBC">
        <w:rPr>
          <w:rFonts w:ascii="Times New Roman" w:hAnsi="Times New Roman"/>
          <w:i/>
          <w:szCs w:val="24"/>
        </w:rPr>
        <w:t>Rash</w:t>
      </w:r>
      <w:r w:rsidRPr="007A5BBC">
        <w:rPr>
          <w:rFonts w:ascii="Times New Roman" w:hAnsi="Times New Roman"/>
          <w:szCs w:val="24"/>
        </w:rPr>
        <w:t>. Nor does the text of § 506(a)(2) support that conclusion.</w:t>
      </w:r>
    </w:p>
    <w:p w14:paraId="373856D6" w14:textId="23AE450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suggests that it is improper to conduct any valuation at all, because Rash "does not state that the court is to pre-determine the value of surrendered vehicles under § 506(a) based on foreclosure value, or any other value standard." However, as Santander concedes, § 506(a)(1) bifurcation applies. Because bifurcation is premised on the collateral's valuation, "[i]t was permissible for [Brown] to seek a valuation in proposing [his] Chapter 13 plan." </w:t>
      </w:r>
    </w:p>
    <w:p w14:paraId="4201AB73"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Nor are we persuaded by Santander's arguments that applying § 506(a)(2) in the surrender context would be absurd. Santander argues that it would be absurd because it allows debtors to surrender collateral in full satisfaction of the debt. This overstates the effect of § 506(a)(2).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6F99E64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Santander also argues that applying § 506(a)(2)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 506(a)(1) and (a)(2) equals the amount that the debt exceeds the property's replacement value — not the amount of post-sale deficiency. Thus, state law cannot apply.</w:t>
      </w:r>
    </w:p>
    <w:p w14:paraId="29070BEC" w14:textId="2CA86052" w:rsidR="00730F7D" w:rsidRPr="007A5BBC" w:rsidRDefault="008941EA" w:rsidP="001E237A">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48B5D957" w:rsidR="008941EA" w:rsidRPr="007A5BBC" w:rsidRDefault="005459D8" w:rsidP="00730F7D">
      <w:pPr>
        <w:pStyle w:val="Heading2"/>
        <w:spacing w:line="240" w:lineRule="auto"/>
      </w:pPr>
      <w:bookmarkStart w:id="4102" w:name="_Toc417380863"/>
      <w:bookmarkStart w:id="4103" w:name="_Toc79699240"/>
      <w:bookmarkStart w:id="4104" w:name="_Toc79699566"/>
      <w:bookmarkStart w:id="4105" w:name="_Toc79699904"/>
      <w:bookmarkStart w:id="4106" w:name="_Toc79700224"/>
      <w:bookmarkStart w:id="4107" w:name="_Toc79700546"/>
      <w:bookmarkStart w:id="4108" w:name="_Toc87039324"/>
      <w:bookmarkStart w:id="4109" w:name="_Toc90983720"/>
      <w:r w:rsidRPr="007A5BBC">
        <w:t>P</w:t>
      </w:r>
      <w:r w:rsidR="00890F11">
        <w:t xml:space="preserve">ractice Problems: </w:t>
      </w:r>
      <w:r w:rsidR="0009710D" w:rsidRPr="007A5BBC">
        <w:t xml:space="preserve">The </w:t>
      </w:r>
      <w:r w:rsidRPr="007A5BBC">
        <w:t>506(a) Split</w:t>
      </w:r>
      <w:bookmarkStart w:id="4110" w:name="_Toc79693098"/>
      <w:bookmarkStart w:id="4111" w:name="_Toc79693418"/>
      <w:bookmarkStart w:id="4112" w:name="_Toc79693738"/>
      <w:bookmarkStart w:id="4113" w:name="_Toc79694055"/>
      <w:bookmarkStart w:id="4114" w:name="_Toc79694693"/>
      <w:bookmarkStart w:id="4115" w:name="_Toc79695323"/>
      <w:bookmarkStart w:id="4116" w:name="_Toc79697569"/>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r w:rsidR="00730F7D">
        <w:br/>
      </w:r>
    </w:p>
    <w:p w14:paraId="1CB2ACCD" w14:textId="44E87F7D" w:rsidR="00890F11" w:rsidRDefault="00890F11" w:rsidP="00CA016D">
      <w:pPr>
        <w:pStyle w:val="0-NORMAL"/>
      </w:pPr>
      <w:r w:rsidRPr="00CA016D">
        <w:rPr>
          <w:b/>
        </w:rPr>
        <w:t>Problem 1</w:t>
      </w:r>
      <w:r w:rsidR="00F9595D">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a </w:t>
      </w:r>
      <w:r w:rsidR="006C11BF" w:rsidRPr="00890F11">
        <w:t>replacement value of $12,000, and would be sold by a dealer for $18,000 with the standard 30 day warranty required by New York law for retail sales</w:t>
      </w:r>
      <w:r w:rsidR="005F6A8B">
        <w:t xml:space="preserve">. </w:t>
      </w:r>
      <w:r w:rsidR="006C11BF" w:rsidRPr="00890F11">
        <w:t>What claims should the lender have</w:t>
      </w:r>
      <w:r w:rsidR="00083725" w:rsidRPr="00890F11">
        <w:t xml:space="preserve">? </w:t>
      </w:r>
      <w:r w:rsidR="006C11BF" w:rsidRPr="00890F11">
        <w:t>Does it make any difference for valuation whether the Debtor wants to keep or surrender the car?</w:t>
      </w:r>
    </w:p>
    <w:p w14:paraId="70D07015" w14:textId="1C409421" w:rsidR="00890F11" w:rsidRDefault="00890F11" w:rsidP="00CA016D">
      <w:pPr>
        <w:pStyle w:val="0-NORMAL"/>
      </w:pPr>
      <w:r w:rsidRPr="00CA016D">
        <w:rPr>
          <w:b/>
        </w:rPr>
        <w:t>Problem 2</w:t>
      </w:r>
      <w:r w:rsidR="00F9595D">
        <w:t xml:space="preserve">. </w:t>
      </w:r>
      <w:r w:rsidR="006C11BF" w:rsidRPr="00890F11">
        <w:t>Would your answer change if the Debtor used the car in his business as a traveling salesperson?</w:t>
      </w:r>
    </w:p>
    <w:p w14:paraId="53F62767" w14:textId="4041570D" w:rsidR="00890F11" w:rsidRDefault="00890F11" w:rsidP="00CA016D">
      <w:pPr>
        <w:pStyle w:val="0-NORMAL"/>
      </w:pPr>
      <w:r w:rsidRPr="00CA016D">
        <w:rPr>
          <w:b/>
        </w:rPr>
        <w:t>Problem 3</w:t>
      </w:r>
      <w:r w:rsidR="00F9595D">
        <w:t xml:space="preserve">. </w:t>
      </w:r>
      <w:r w:rsidR="006C11BF" w:rsidRPr="00890F11">
        <w:t>What if the Debtor that owned the car was a corporation?</w:t>
      </w:r>
    </w:p>
    <w:p w14:paraId="55087C46" w14:textId="248F5CDC" w:rsidR="00890F11" w:rsidRDefault="00890F11" w:rsidP="00CA016D">
      <w:pPr>
        <w:pStyle w:val="0-NORMAL"/>
      </w:pPr>
      <w:r w:rsidRPr="00CA016D">
        <w:rPr>
          <w:b/>
        </w:rPr>
        <w:t>Problem 4</w:t>
      </w:r>
      <w:r w:rsidR="00F9595D">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w:t>
      </w:r>
      <w:r w:rsidR="00083725" w:rsidRPr="00890F11">
        <w:t xml:space="preserve">? </w:t>
      </w:r>
      <w:r w:rsidR="006C11BF" w:rsidRPr="00890F11">
        <w:t>Does it matter whether the debtor is keeping or surrendering the home?</w:t>
      </w:r>
    </w:p>
    <w:p w14:paraId="0144745F" w14:textId="72AA290D" w:rsidR="00890F11" w:rsidRDefault="00890F11" w:rsidP="00CA016D">
      <w:pPr>
        <w:pStyle w:val="0-NORMAL"/>
      </w:pPr>
      <w:r w:rsidRPr="00CA016D">
        <w:rPr>
          <w:b/>
        </w:rPr>
        <w:t>Problem 5</w:t>
      </w:r>
      <w:r w:rsidR="00F9595D">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Can the trustee sell the property for $800,000, pay off the secured claim of $600,000, and keep the $200,000 balance for unsecured creditors</w:t>
      </w:r>
      <w:r w:rsidR="00083725" w:rsidRPr="00890F11">
        <w:t xml:space="preserve">? </w:t>
      </w:r>
    </w:p>
    <w:p w14:paraId="4BD5C3C7" w14:textId="6BEC8325" w:rsidR="00925D4A" w:rsidRDefault="00890F11" w:rsidP="00CA016D">
      <w:pPr>
        <w:pStyle w:val="0-NORMAL"/>
      </w:pPr>
      <w:r w:rsidRPr="00CA016D">
        <w:rPr>
          <w:b/>
        </w:rPr>
        <w:t>Problem 6</w:t>
      </w:r>
      <w:r w:rsidR="00F9595D">
        <w:t xml:space="preserve">. </w:t>
      </w:r>
      <w:r w:rsidR="0097041F">
        <w:t xml:space="preserve">If </w:t>
      </w:r>
      <w:r w:rsidR="00F9595D">
        <w:t>C</w:t>
      </w:r>
      <w:r w:rsidR="0097041F">
        <w:t xml:space="preserve">reditor in Problem </w:t>
      </w:r>
      <w:r w:rsidR="001A5F10">
        <w:t>(</w:t>
      </w:r>
      <w:r w:rsidR="0097041F">
        <w:t>5</w:t>
      </w:r>
      <w:r w:rsidR="001A5F10">
        <w:t>)</w:t>
      </w:r>
      <w:r w:rsidR="00925D4A" w:rsidRPr="00890F11">
        <w:t xml:space="preserve"> believes that the property is worth $900,000, is there anything that </w:t>
      </w:r>
      <w:r w:rsidR="00F9595D">
        <w:t>C</w:t>
      </w:r>
      <w:r w:rsidR="00925D4A" w:rsidRPr="00890F11">
        <w:t xml:space="preserve">reditor can do in connection with the proposed sale to preserve its rights as a secured creditor? </w:t>
      </w:r>
      <w:r w:rsidR="00925D4A" w:rsidRPr="00DA5356">
        <w:rPr>
          <w:i/>
          <w:iCs/>
        </w:rPr>
        <w:t xml:space="preserve">See </w:t>
      </w:r>
      <w:r w:rsidR="00925D4A" w:rsidRPr="00890F11">
        <w:t>11 U.S.C. § 363(k).</w:t>
      </w:r>
    </w:p>
    <w:p w14:paraId="64993622" w14:textId="77777777" w:rsidR="00730F7D" w:rsidRPr="00890F11" w:rsidRDefault="00730F7D" w:rsidP="00CA016D">
      <w:pPr>
        <w:pStyle w:val="0-NORMAL"/>
      </w:pPr>
    </w:p>
    <w:p w14:paraId="57A41FFC" w14:textId="4CD7500C" w:rsidR="008941EA" w:rsidRPr="007A5BBC" w:rsidRDefault="009C4DA6" w:rsidP="00730F7D">
      <w:pPr>
        <w:pStyle w:val="Heading2"/>
        <w:spacing w:line="240" w:lineRule="auto"/>
      </w:pPr>
      <w:bookmarkStart w:id="4117" w:name="_Toc417380864"/>
      <w:bookmarkStart w:id="4118" w:name="_Toc79699241"/>
      <w:bookmarkStart w:id="4119" w:name="_Toc79699567"/>
      <w:bookmarkStart w:id="4120" w:name="_Toc79699905"/>
      <w:bookmarkStart w:id="4121" w:name="_Toc79700225"/>
      <w:bookmarkStart w:id="4122" w:name="_Toc79700547"/>
      <w:bookmarkStart w:id="4123" w:name="_Toc87039325"/>
      <w:bookmarkStart w:id="4124" w:name="_Toc90983721"/>
      <w:r w:rsidRPr="007A5BBC">
        <w:t>P</w:t>
      </w:r>
      <w:r w:rsidR="00890F11">
        <w:t xml:space="preserve">ractice Problems: </w:t>
      </w:r>
      <w:r w:rsidR="00457AB1" w:rsidRPr="007A5BBC">
        <w:t>Post-Petition Inte</w:t>
      </w:r>
      <w:r w:rsidR="00C60FEF">
        <w:t>rest, Fees, Costs and Charges (</w:t>
      </w:r>
      <w:r w:rsidR="00457AB1" w:rsidRPr="007A5BBC">
        <w:t>11 U.S.C. § 506(b)</w:t>
      </w:r>
      <w:bookmarkEnd w:id="4117"/>
      <w:r w:rsidR="00C60FEF">
        <w:t>)</w:t>
      </w:r>
      <w:bookmarkStart w:id="4125" w:name="_Toc79693099"/>
      <w:bookmarkStart w:id="4126" w:name="_Toc79693419"/>
      <w:bookmarkStart w:id="4127" w:name="_Toc79693739"/>
      <w:bookmarkStart w:id="4128" w:name="_Toc79694056"/>
      <w:bookmarkStart w:id="4129" w:name="_Toc79694694"/>
      <w:bookmarkStart w:id="4130" w:name="_Toc79695324"/>
      <w:bookmarkStart w:id="4131" w:name="_Toc79697570"/>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r w:rsidR="00730F7D">
        <w:br/>
      </w:r>
    </w:p>
    <w:p w14:paraId="30FA5CBF" w14:textId="0CA6C9CA" w:rsidR="009C4DA6" w:rsidRPr="0098672F" w:rsidRDefault="009C4DA6" w:rsidP="00F9595D">
      <w:pPr>
        <w:ind w:firstLine="720"/>
        <w:jc w:val="both"/>
        <w:rPr>
          <w:rFonts w:ascii="Times New Roman" w:hAnsi="Times New Roman"/>
          <w:szCs w:val="24"/>
        </w:rPr>
      </w:pPr>
      <w:r w:rsidRPr="0098672F">
        <w:rPr>
          <w:rFonts w:ascii="Times New Roman" w:hAnsi="Times New Roman"/>
          <w:szCs w:val="24"/>
        </w:rPr>
        <w:t xml:space="preserve">Read </w:t>
      </w:r>
      <w:r w:rsidR="004563DD">
        <w:rPr>
          <w:rFonts w:ascii="Times New Roman" w:hAnsi="Times New Roman"/>
          <w:szCs w:val="24"/>
        </w:rPr>
        <w:t>S</w:t>
      </w:r>
      <w:r w:rsidRPr="0098672F">
        <w:rPr>
          <w:rFonts w:ascii="Times New Roman" w:hAnsi="Times New Roman"/>
          <w:szCs w:val="24"/>
        </w:rPr>
        <w:t>ection 506(b) carefully and answer the following problems:</w:t>
      </w:r>
    </w:p>
    <w:p w14:paraId="2863E095" w14:textId="74028D27" w:rsidR="0098672F" w:rsidRDefault="0098672F" w:rsidP="0098672F">
      <w:pPr>
        <w:pStyle w:val="0-NORMAL"/>
      </w:pPr>
      <w:r w:rsidRPr="00F9595D">
        <w:rPr>
          <w:b/>
          <w:bCs/>
        </w:rPr>
        <w:t>Problem 1</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44718D" w:rsidRPr="0098672F">
        <w:t>three months later</w:t>
      </w:r>
      <w:r w:rsidR="00083725" w:rsidRPr="0098672F">
        <w:t xml:space="preserve">? </w:t>
      </w:r>
      <w:r w:rsidR="0044718D" w:rsidRPr="0098672F">
        <w:t>12 months later</w:t>
      </w:r>
      <w:r w:rsidR="00083725" w:rsidRPr="0098672F">
        <w:t xml:space="preserve">? </w:t>
      </w:r>
    </w:p>
    <w:p w14:paraId="7898AA74" w14:textId="196B583A" w:rsidR="0098672F" w:rsidRDefault="0098672F" w:rsidP="0098672F">
      <w:pPr>
        <w:pStyle w:val="0-NORMAL"/>
      </w:pPr>
      <w:r w:rsidRPr="00F9595D">
        <w:rPr>
          <w:b/>
          <w:bCs/>
        </w:rPr>
        <w:t>Problem 2</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and what claims will the lender have three months later</w:t>
      </w:r>
      <w:r w:rsidR="00083725" w:rsidRPr="0098672F">
        <w:t xml:space="preserve">? </w:t>
      </w:r>
      <w:r w:rsidR="0044718D" w:rsidRPr="0098672F">
        <w:t>12 months later</w:t>
      </w:r>
      <w:r w:rsidR="00083725" w:rsidRPr="0098672F">
        <w:t xml:space="preserve">? </w:t>
      </w:r>
    </w:p>
    <w:p w14:paraId="02A2EDF1" w14:textId="0EDA44D4" w:rsidR="0020301B" w:rsidRDefault="0098672F" w:rsidP="006601C9">
      <w:pPr>
        <w:pStyle w:val="0-NORMAL"/>
      </w:pPr>
      <w:r w:rsidRPr="00F9595D">
        <w:rPr>
          <w:b/>
          <w:bCs/>
        </w:rPr>
        <w:t>Problem 3</w:t>
      </w:r>
      <w:r w:rsidR="005F6A8B">
        <w:t xml:space="preserve">. </w:t>
      </w:r>
      <w:r w:rsidR="0044718D" w:rsidRPr="0098672F">
        <w:t>Can the interest rate on a loan be challenged on the grounds that the rate is unreasonably high</w:t>
      </w:r>
      <w:r w:rsidR="00083725" w:rsidRPr="0098672F">
        <w:t xml:space="preserve">?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668F3AE0" w14:textId="77777777" w:rsidR="00730F7D" w:rsidRDefault="00730F7D" w:rsidP="006601C9">
      <w:pPr>
        <w:pStyle w:val="0-NORMAL"/>
      </w:pPr>
    </w:p>
    <w:p w14:paraId="64D319C7" w14:textId="6DCD247C" w:rsidR="00E10AA9" w:rsidRPr="007A5BBC" w:rsidRDefault="00646EC9" w:rsidP="00730F7D">
      <w:pPr>
        <w:pStyle w:val="Heading2"/>
        <w:spacing w:line="240" w:lineRule="auto"/>
      </w:pPr>
      <w:bookmarkStart w:id="4132" w:name="_Toc417380865"/>
      <w:bookmarkStart w:id="4133" w:name="_Toc79699242"/>
      <w:bookmarkStart w:id="4134" w:name="_Toc79699568"/>
      <w:bookmarkStart w:id="4135" w:name="_Toc79699906"/>
      <w:bookmarkStart w:id="4136" w:name="_Toc79700226"/>
      <w:bookmarkStart w:id="4137" w:name="_Toc79700548"/>
      <w:bookmarkStart w:id="4138" w:name="_Toc87039326"/>
      <w:bookmarkStart w:id="4139" w:name="_Toc90983722"/>
      <w:r>
        <w:t xml:space="preserve">Cases on </w:t>
      </w:r>
      <w:r w:rsidR="004A2AFF" w:rsidRPr="007A5BBC">
        <w:t>Post-Petition Interest under § 506(b)</w:t>
      </w:r>
      <w:bookmarkStart w:id="4140" w:name="_Toc79693100"/>
      <w:bookmarkStart w:id="4141" w:name="_Toc79693420"/>
      <w:bookmarkStart w:id="4142" w:name="_Toc79693740"/>
      <w:bookmarkStart w:id="4143" w:name="_Toc79694057"/>
      <w:bookmarkStart w:id="4144" w:name="_Toc79694695"/>
      <w:bookmarkStart w:id="4145" w:name="_Toc79695325"/>
      <w:bookmarkStart w:id="4146" w:name="_Toc7969757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r w:rsidR="00730F7D">
        <w:br/>
      </w:r>
    </w:p>
    <w:bookmarkStart w:id="4147" w:name="_Toc87039327"/>
    <w:p w14:paraId="351DBA87" w14:textId="25814404" w:rsidR="004A2AFF" w:rsidRPr="000345BB" w:rsidRDefault="000345BB" w:rsidP="00730F7D">
      <w:pPr>
        <w:pStyle w:val="Heading3"/>
        <w:rPr>
          <w:u w:val="single"/>
        </w:rPr>
      </w:pPr>
      <w:r w:rsidRPr="000345BB">
        <w:rPr>
          <w:u w:val="single"/>
        </w:rPr>
        <w:fldChar w:fldCharType="begin"/>
      </w:r>
      <w:r w:rsidRPr="000345BB">
        <w:rPr>
          <w:u w:val="single"/>
        </w:rPr>
        <w:instrText xml:space="preserve"> HYPERLINK "https://scholar.google.com/scholar_case?case=11771493034816953071&amp;q=%22opposes+the+contract+default+rate,+arguing+that+it+is+inequitable+because+it+would+harm+unsecured+creditors%22&amp;hl=en&amp;as_sdt=6,33" </w:instrText>
      </w:r>
      <w:r w:rsidRPr="000345BB">
        <w:rPr>
          <w:u w:val="single"/>
        </w:rPr>
        <w:fldChar w:fldCharType="separate"/>
      </w:r>
      <w:bookmarkStart w:id="4148" w:name="_Toc90983723"/>
      <w:r w:rsidR="004A2AFF" w:rsidRPr="000345BB">
        <w:rPr>
          <w:rStyle w:val="Hyperlink"/>
        </w:rPr>
        <w:t>I</w:t>
      </w:r>
      <w:r w:rsidR="00890F11" w:rsidRPr="000345BB">
        <w:rPr>
          <w:rStyle w:val="Hyperlink"/>
        </w:rPr>
        <w:t xml:space="preserve">N RE RESIDENTIAL CAPITAL, INC., </w:t>
      </w:r>
      <w:r w:rsidR="004A2AFF" w:rsidRPr="000345BB">
        <w:rPr>
          <w:rStyle w:val="Hyperlink"/>
        </w:rPr>
        <w:t>508 B.R. 851</w:t>
      </w:r>
      <w:r w:rsidR="00E10584" w:rsidRPr="000345BB">
        <w:rPr>
          <w:rStyle w:val="Hyperlink"/>
        </w:rPr>
        <w:t xml:space="preserve"> </w:t>
      </w:r>
      <w:r w:rsidR="004A2AFF" w:rsidRPr="000345BB">
        <w:rPr>
          <w:rStyle w:val="Hyperlink"/>
        </w:rPr>
        <w:t>(Bankr. S</w:t>
      </w:r>
      <w:r w:rsidR="00D11E02" w:rsidRPr="000345BB">
        <w:rPr>
          <w:rStyle w:val="Hyperlink"/>
        </w:rPr>
        <w:t>.</w:t>
      </w:r>
      <w:r w:rsidR="004A2AFF" w:rsidRPr="000345BB">
        <w:rPr>
          <w:rStyle w:val="Hyperlink"/>
        </w:rPr>
        <w:t>D</w:t>
      </w:r>
      <w:r w:rsidR="00D11E02" w:rsidRPr="000345BB">
        <w:rPr>
          <w:rStyle w:val="Hyperlink"/>
        </w:rPr>
        <w:t>.</w:t>
      </w:r>
      <w:r w:rsidR="004A2AFF" w:rsidRPr="000345BB">
        <w:rPr>
          <w:rStyle w:val="Hyperlink"/>
        </w:rPr>
        <w:t>N</w:t>
      </w:r>
      <w:r w:rsidR="00D11E02" w:rsidRPr="000345BB">
        <w:rPr>
          <w:rStyle w:val="Hyperlink"/>
        </w:rPr>
        <w:t>.</w:t>
      </w:r>
      <w:r w:rsidR="004A2AFF" w:rsidRPr="000345BB">
        <w:rPr>
          <w:rStyle w:val="Hyperlink"/>
        </w:rPr>
        <w:t>Y</w:t>
      </w:r>
      <w:r w:rsidR="00D11E02" w:rsidRPr="000345BB">
        <w:rPr>
          <w:rStyle w:val="Hyperlink"/>
        </w:rPr>
        <w:t>.</w:t>
      </w:r>
      <w:r w:rsidR="004A2AFF" w:rsidRPr="000345BB">
        <w:rPr>
          <w:rStyle w:val="Hyperlink"/>
        </w:rPr>
        <w:t xml:space="preserve"> 2014)</w:t>
      </w:r>
      <w:bookmarkStart w:id="4149" w:name="_Toc79693101"/>
      <w:bookmarkStart w:id="4150" w:name="_Toc79693421"/>
      <w:bookmarkStart w:id="4151" w:name="_Toc79693741"/>
      <w:bookmarkStart w:id="4152" w:name="_Toc79694058"/>
      <w:bookmarkStart w:id="4153" w:name="_Toc79694376"/>
      <w:bookmarkStart w:id="4154" w:name="_Toc79694696"/>
      <w:bookmarkStart w:id="4155" w:name="_Toc79695010"/>
      <w:bookmarkStart w:id="4156" w:name="_Toc79695326"/>
      <w:bookmarkStart w:id="4157" w:name="_Toc79695642"/>
      <w:bookmarkStart w:id="4158" w:name="_Toc79695958"/>
      <w:bookmarkStart w:id="4159" w:name="_Toc79696274"/>
      <w:bookmarkStart w:id="4160" w:name="_Toc79696590"/>
      <w:bookmarkStart w:id="4161" w:name="_Toc79696911"/>
      <w:bookmarkStart w:id="4162" w:name="_Toc79697243"/>
      <w:bookmarkStart w:id="4163" w:name="_Toc79697572"/>
      <w:bookmarkStart w:id="4164" w:name="_Toc79699243"/>
      <w:bookmarkStart w:id="4165" w:name="_Toc79699569"/>
      <w:bookmarkStart w:id="4166" w:name="_Toc79699907"/>
      <w:bookmarkStart w:id="4167" w:name="_Toc79700227"/>
      <w:bookmarkStart w:id="4168" w:name="_Toc79700549"/>
      <w:bookmarkStart w:id="4169" w:name="_Toc79700871"/>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r w:rsidRPr="000345BB">
        <w:rPr>
          <w:u w:val="single"/>
        </w:rPr>
        <w:fldChar w:fldCharType="end"/>
      </w:r>
      <w:r w:rsidR="00730F7D" w:rsidRPr="000345BB">
        <w:rPr>
          <w:rStyle w:val="Hyperlink"/>
        </w:rPr>
        <w:br/>
      </w:r>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The Agreement provides that Citibank is entitled to 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f, as the parties contemplated, bankruptcy petitions were filed, they understood the loans would probably 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doubt recognized that the loans in all likelihood were going to remain outstanding for more than two months while the 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0945A9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As required by 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In its Objection, the Trust asserts that the Debtors paid approximately $1.21 million in Citibank’s legal 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on the Motion that “under these circumstances, which . . . are really rather extreme . . . it was inequitable to pursue the default interest.”  </w:t>
      </w:r>
    </w:p>
    <w:p w14:paraId="164368AA" w14:textId="7DE1E20C"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Bankruptcy Code section 506(b)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r w:rsidRPr="007A5BBC">
        <w:rPr>
          <w:rFonts w:ascii="Times New Roman" w:hAnsi="Times New Roman"/>
          <w:szCs w:val="24"/>
        </w:rPr>
        <w:t>Section 506(b)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4170" w:name="OLE_LINK100"/>
      <w:bookmarkStart w:id="4171"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4170"/>
      <w:bookmarkEnd w:id="4171"/>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6664FD1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4B4D72AE"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When it comes to postpetition interest, though, the Bankruptcy Code controls payment of default interest to oversecured creditors, but the 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Refusing to enforce bargained-for default interest for oversecured creditors raises the risk that lenders will demand higher interest 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7535609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19"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In many or even most cases involving insolvent debtors, the balance may well fall on the side of the junior secured or unsecured 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4172" w:name="OLE_LINK98"/>
      <w:bookmarkStart w:id="4173"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4172"/>
      <w:bookmarkEnd w:id="4173"/>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That reduction in distributable 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Even after the Petition Date, Citibank received timely payments of interest at the non-default 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501B8FFF" w:rsidR="00F419A5"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Even if the Court ruled against Citibank with respect to default interest, the Court would nevertheless conclude that Citibank pursued the Motion in good faith and is entitled to recover its legal fees as provided for in the Agreement. Citibank’s request for legal fees incurred in pursuing postpetition interest at the contractual default rate is GRANTED.</w:t>
      </w:r>
    </w:p>
    <w:p w14:paraId="4C700280" w14:textId="77777777" w:rsidR="007A3B36" w:rsidRPr="007A5BBC" w:rsidRDefault="007A3B36" w:rsidP="003A2153">
      <w:pPr>
        <w:ind w:firstLine="720"/>
        <w:jc w:val="both"/>
        <w:rPr>
          <w:rFonts w:ascii="Times New Roman" w:hAnsi="Times New Roman"/>
          <w:szCs w:val="24"/>
        </w:rPr>
      </w:pPr>
    </w:p>
    <w:p w14:paraId="1190C4E2" w14:textId="49206890" w:rsidR="00E10AA9" w:rsidRPr="007A5BBC" w:rsidRDefault="00F419A5" w:rsidP="007A3B36">
      <w:pPr>
        <w:pStyle w:val="Heading2"/>
        <w:spacing w:line="240" w:lineRule="auto"/>
      </w:pPr>
      <w:bookmarkStart w:id="4174" w:name="_Toc417380866"/>
      <w:bookmarkStart w:id="4175" w:name="_Toc79699244"/>
      <w:bookmarkStart w:id="4176" w:name="_Toc79699570"/>
      <w:bookmarkStart w:id="4177" w:name="_Toc79699908"/>
      <w:bookmarkStart w:id="4178" w:name="_Toc79700228"/>
      <w:bookmarkStart w:id="4179" w:name="_Toc79700550"/>
      <w:bookmarkStart w:id="4180" w:name="_Toc87039328"/>
      <w:bookmarkStart w:id="4181" w:name="_Toc90983724"/>
      <w:r w:rsidRPr="007A5BBC">
        <w:t>The Section 506(c) Surcharge</w:t>
      </w:r>
      <w:bookmarkStart w:id="4182" w:name="_Toc79693102"/>
      <w:bookmarkStart w:id="4183" w:name="_Toc79693422"/>
      <w:bookmarkStart w:id="4184" w:name="_Toc79693742"/>
      <w:bookmarkStart w:id="4185" w:name="_Toc79694059"/>
      <w:bookmarkStart w:id="4186" w:name="_Toc79694697"/>
      <w:bookmarkStart w:id="4187" w:name="_Toc79695327"/>
      <w:bookmarkStart w:id="4188" w:name="_Toc796975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r w:rsidR="007A3B36">
        <w:br/>
      </w:r>
    </w:p>
    <w:p w14:paraId="127A228A" w14:textId="31A77D32" w:rsidR="006D43ED" w:rsidRDefault="00E90285" w:rsidP="003A2153">
      <w:pPr>
        <w:ind w:firstLine="720"/>
        <w:jc w:val="both"/>
        <w:rPr>
          <w:rFonts w:ascii="Times New Roman" w:hAnsi="Times New Roman"/>
          <w:szCs w:val="24"/>
        </w:rPr>
      </w:pPr>
      <w:r w:rsidRPr="007A5BBC">
        <w:rPr>
          <w:rFonts w:ascii="Times New Roman" w:hAnsi="Times New Roman"/>
          <w:szCs w:val="24"/>
        </w:rPr>
        <w:t>Section 506(c)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Pr="007A5BBC">
        <w:rPr>
          <w:rFonts w:ascii="Times New Roman" w:hAnsi="Times New Roman"/>
          <w:szCs w:val="24"/>
        </w:rPr>
        <w:t>Only when the secured creditor directly benefitted from the estate’s services (such as saving the cost of foreclosure) do courts consider a surcharge, and only when the secured creditor would not have been paid in full in foreclosure (oversecured creditors generally cannot be surcharged)</w:t>
      </w:r>
      <w:r w:rsidR="00083725">
        <w:rPr>
          <w:rFonts w:ascii="Times New Roman" w:hAnsi="Times New Roman"/>
          <w:szCs w:val="24"/>
        </w:rPr>
        <w:t xml:space="preserve">. </w:t>
      </w:r>
      <w:hyperlink r:id="rId220" w:history="1">
        <w:r w:rsidRPr="00B93200">
          <w:rPr>
            <w:rStyle w:val="Hyperlink"/>
            <w:rFonts w:ascii="Times New Roman" w:hAnsi="Times New Roman"/>
            <w:i/>
            <w:szCs w:val="24"/>
          </w:rPr>
          <w:t>In re Compton Impressions Ltd</w:t>
        </w:r>
        <w:r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Pr="00B93200">
          <w:rPr>
            <w:rStyle w:val="Hyperlink"/>
            <w:rFonts w:ascii="Times New Roman" w:hAnsi="Times New Roman"/>
            <w:szCs w:val="24"/>
          </w:rPr>
          <w:t>(9th Cir. 2000)</w:t>
        </w:r>
      </w:hyperlink>
      <w:r w:rsidRPr="007A5BBC">
        <w:rPr>
          <w:rFonts w:ascii="Times New Roman" w:hAnsi="Times New Roman"/>
          <w:szCs w:val="24"/>
        </w:rPr>
        <w:t xml:space="preserve"> (denying surcharge where creditor would have been paid in full); </w:t>
      </w:r>
      <w:hyperlink r:id="rId221" w:history="1">
        <w:r w:rsidRPr="00B93200">
          <w:rPr>
            <w:rStyle w:val="Hyperlink"/>
            <w:rFonts w:ascii="Times New Roman" w:hAnsi="Times New Roman"/>
            <w:i/>
            <w:szCs w:val="24"/>
          </w:rPr>
          <w:t>In re West Post Road Props. Corp</w:t>
        </w:r>
        <w:r w:rsidRPr="00B93200">
          <w:rPr>
            <w:rStyle w:val="Hyperlink"/>
            <w:rFonts w:ascii="Times New Roman" w:hAnsi="Times New Roman"/>
            <w:szCs w:val="24"/>
          </w:rPr>
          <w:t>., 44 B.R. 244, 246 (Bankr. S.D.N.Y. 1984)</w:t>
        </w:r>
      </w:hyperlink>
      <w:r w:rsidRPr="007A5BBC">
        <w:rPr>
          <w:rFonts w:ascii="Times New Roman" w:hAnsi="Times New Roman"/>
          <w:szCs w:val="24"/>
        </w:rPr>
        <w:t xml:space="preserve"> (same)</w:t>
      </w:r>
      <w:r w:rsidR="005F6A8B">
        <w:rPr>
          <w:rFonts w:ascii="Times New Roman" w:hAnsi="Times New Roman"/>
          <w:szCs w:val="24"/>
        </w:rPr>
        <w:t xml:space="preserve">. </w:t>
      </w:r>
    </w:p>
    <w:p w14:paraId="79DDC08E" w14:textId="5F4259F6" w:rsidR="00E10AA9"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22"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Section 506(c)</w:t>
      </w:r>
      <w:r w:rsidR="005F6A8B">
        <w:rPr>
          <w:rFonts w:ascii="Times New Roman" w:hAnsi="Times New Roman"/>
          <w:szCs w:val="24"/>
        </w:rPr>
        <w:t xml:space="preserve">. </w:t>
      </w:r>
      <w:r>
        <w:rPr>
          <w:rFonts w:ascii="Times New Roman" w:hAnsi="Times New Roman"/>
          <w:szCs w:val="24"/>
        </w:rPr>
        <w:t>Hartford had provided workers</w:t>
      </w:r>
      <w:r w:rsidR="00C64143">
        <w:rPr>
          <w:rFonts w:ascii="Times New Roman" w:hAnsi="Times New Roman"/>
          <w:szCs w:val="24"/>
        </w:rPr>
        <w:t>'</w:t>
      </w:r>
      <w:r>
        <w:rPr>
          <w:rFonts w:ascii="Times New Roman" w:hAnsi="Times New Roman"/>
          <w:szCs w:val="24"/>
        </w:rPr>
        <w:t xml:space="preserve">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Hartford sought to surcharge Union Planters for the cost of the insurance. The Supreme Court rejected Hartford’s claim, holding that the plain language of Section 506(c) allows only the trustee (or possibly a debtor in possession who stands in the shoes of the trustee) to seek a Section 506(c) surcharge</w:t>
      </w:r>
      <w:r w:rsidR="005F6A8B">
        <w:rPr>
          <w:rFonts w:ascii="Times New Roman" w:hAnsi="Times New Roman"/>
          <w:szCs w:val="24"/>
        </w:rPr>
        <w:t xml:space="preserve">. </w:t>
      </w:r>
    </w:p>
    <w:p w14:paraId="0F822636" w14:textId="77777777" w:rsidR="007A3B36" w:rsidRPr="007A5BBC" w:rsidRDefault="007A3B36" w:rsidP="003A2153">
      <w:pPr>
        <w:ind w:firstLine="720"/>
        <w:jc w:val="both"/>
        <w:rPr>
          <w:rFonts w:ascii="Times New Roman" w:hAnsi="Times New Roman"/>
          <w:szCs w:val="24"/>
        </w:rPr>
      </w:pPr>
    </w:p>
    <w:p w14:paraId="4B30F91A" w14:textId="02F81E30" w:rsidR="00E10AA9" w:rsidRPr="007A5BBC" w:rsidRDefault="0009710D" w:rsidP="00C02ED3">
      <w:pPr>
        <w:pStyle w:val="Heading2"/>
      </w:pPr>
      <w:bookmarkStart w:id="4189" w:name="_Toc417380867"/>
      <w:bookmarkStart w:id="4190" w:name="_Toc79699245"/>
      <w:bookmarkStart w:id="4191" w:name="_Toc79699571"/>
      <w:bookmarkStart w:id="4192" w:name="_Toc79699909"/>
      <w:bookmarkStart w:id="4193" w:name="_Toc79700229"/>
      <w:bookmarkStart w:id="4194" w:name="_Toc79700551"/>
      <w:bookmarkStart w:id="4195" w:name="_Toc87039329"/>
      <w:bookmarkStart w:id="4196" w:name="_Toc90983725"/>
      <w:r w:rsidRPr="007A5BBC">
        <w:t xml:space="preserve">Section </w:t>
      </w:r>
      <w:r w:rsidR="00E90285" w:rsidRPr="007A5BBC">
        <w:t>506(d) and Strip</w:t>
      </w:r>
      <w:r w:rsidR="00890F11">
        <w:t>ing</w:t>
      </w:r>
      <w:r w:rsidRPr="007A5BBC">
        <w:t>-</w:t>
      </w:r>
      <w:r w:rsidR="00280D22">
        <w:t>Do</w:t>
      </w:r>
      <w:r w:rsidR="00E90285" w:rsidRPr="007A5BBC">
        <w:t>wn</w:t>
      </w:r>
      <w:r w:rsidRPr="007A5BBC">
        <w:t xml:space="preserve"> or Strip</w:t>
      </w:r>
      <w:r w:rsidR="00890F11">
        <w:t>ing</w:t>
      </w:r>
      <w:r w:rsidRPr="007A5BBC">
        <w:t>-Off</w:t>
      </w:r>
      <w:bookmarkEnd w:id="4189"/>
      <w:r w:rsidR="00890F11">
        <w:t xml:space="preserve"> Liens</w:t>
      </w:r>
      <w:bookmarkStart w:id="4197" w:name="_Toc79693103"/>
      <w:bookmarkStart w:id="4198" w:name="_Toc79693423"/>
      <w:bookmarkStart w:id="4199" w:name="_Toc79693743"/>
      <w:bookmarkStart w:id="4200" w:name="_Toc79694060"/>
      <w:bookmarkStart w:id="4201" w:name="_Toc79694698"/>
      <w:bookmarkStart w:id="4202" w:name="_Toc79695328"/>
      <w:bookmarkStart w:id="4203" w:name="_Toc79697574"/>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p>
    <w:p w14:paraId="30D13B7B" w14:textId="7D81D1B7"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One reading 506(d) in the context of the code section would surely think that the undersecured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r w:rsidRPr="007A5BBC">
        <w:rPr>
          <w:rFonts w:ascii="Times New Roman" w:hAnsi="Times New Roman"/>
          <w:szCs w:val="24"/>
        </w:rPr>
        <w:t xml:space="preserve">Section 506(d)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6C67BEE1"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rejected the notion that Section 506(d)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w:t>
      </w:r>
      <w:r w:rsidR="00C12065">
        <w:rPr>
          <w:rFonts w:ascii="Times New Roman" w:hAnsi="Times New Roman"/>
          <w:szCs w:val="24"/>
        </w:rPr>
        <w:t>c</w:t>
      </w:r>
      <w:r w:rsidRPr="007A5BBC">
        <w:rPr>
          <w:rFonts w:ascii="Times New Roman" w:hAnsi="Times New Roman"/>
          <w:szCs w:val="24"/>
        </w:rPr>
        <w:t>ourts have struggled to give Section 506(d)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close reading of </w:t>
      </w:r>
      <w:r w:rsidR="00E10584" w:rsidRPr="00E10584">
        <w:rPr>
          <w:rFonts w:ascii="Times New Roman" w:hAnsi="Times New Roman"/>
          <w:i/>
          <w:szCs w:val="24"/>
        </w:rPr>
        <w:t>Caulkett</w:t>
      </w:r>
      <w:r w:rsidR="00E10584">
        <w:rPr>
          <w:rFonts w:ascii="Times New Roman" w:hAnsi="Times New Roman"/>
          <w:szCs w:val="24"/>
        </w:rPr>
        <w:t xml:space="preserve"> suggests that 506(d) may have new life as voting majorities on the Supreme Court shift</w:t>
      </w:r>
      <w:r w:rsidR="005F6A8B">
        <w:rPr>
          <w:rFonts w:ascii="Times New Roman" w:hAnsi="Times New Roman"/>
          <w:szCs w:val="24"/>
        </w:rPr>
        <w:t xml:space="preserve">. </w:t>
      </w:r>
    </w:p>
    <w:p w14:paraId="431F63E4" w14:textId="3E992F1A" w:rsidR="004C6B89" w:rsidRDefault="00E10584" w:rsidP="003A2153">
      <w:pPr>
        <w:ind w:firstLine="720"/>
        <w:jc w:val="both"/>
        <w:rPr>
          <w:rFonts w:ascii="Times New Roman" w:hAnsi="Times New Roman"/>
          <w:szCs w:val="24"/>
        </w:rPr>
      </w:pPr>
      <w:r>
        <w:rPr>
          <w:rFonts w:ascii="Times New Roman" w:hAnsi="Times New Roman"/>
          <w:szCs w:val="24"/>
        </w:rPr>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in Chapter 7 under Section 506(d)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15B0E013" w14:textId="77777777" w:rsidR="007A3B36" w:rsidRPr="007A5BBC" w:rsidRDefault="007A3B36" w:rsidP="003A2153">
      <w:pPr>
        <w:ind w:firstLine="720"/>
        <w:jc w:val="both"/>
        <w:rPr>
          <w:rFonts w:ascii="Times New Roman" w:hAnsi="Times New Roman"/>
          <w:szCs w:val="24"/>
        </w:rPr>
      </w:pPr>
    </w:p>
    <w:p w14:paraId="0CE52786" w14:textId="7E1E1ED4" w:rsidR="00A821CB" w:rsidRPr="007A5BBC" w:rsidRDefault="00646EC9" w:rsidP="007A3B36">
      <w:pPr>
        <w:pStyle w:val="Heading2"/>
        <w:spacing w:line="240" w:lineRule="auto"/>
      </w:pPr>
      <w:bookmarkStart w:id="4204" w:name="_Toc417380868"/>
      <w:bookmarkStart w:id="4205" w:name="_Toc79699246"/>
      <w:bookmarkStart w:id="4206" w:name="_Toc79699572"/>
      <w:bookmarkStart w:id="4207" w:name="_Toc79699910"/>
      <w:bookmarkStart w:id="4208" w:name="_Toc79700230"/>
      <w:bookmarkStart w:id="4209" w:name="_Toc79700552"/>
      <w:bookmarkStart w:id="4210" w:name="_Toc87039330"/>
      <w:bookmarkStart w:id="4211" w:name="_Toc90983726"/>
      <w:r>
        <w:t xml:space="preserve">Cases on </w:t>
      </w:r>
      <w:r w:rsidR="00890F11">
        <w:t xml:space="preserve">Stripping Liens under </w:t>
      </w:r>
      <w:r w:rsidR="00A821CB" w:rsidRPr="007A5BBC">
        <w:t>Section 506(d)</w:t>
      </w:r>
      <w:bookmarkStart w:id="4212" w:name="_Toc79693104"/>
      <w:bookmarkStart w:id="4213" w:name="_Toc79693424"/>
      <w:bookmarkStart w:id="4214" w:name="_Toc79693744"/>
      <w:bookmarkStart w:id="4215" w:name="_Toc79694061"/>
      <w:bookmarkStart w:id="4216" w:name="_Toc79694699"/>
      <w:bookmarkStart w:id="4217" w:name="_Toc79695329"/>
      <w:bookmarkStart w:id="4218" w:name="_Toc79697575"/>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r w:rsidR="007A3B36">
        <w:br/>
      </w:r>
    </w:p>
    <w:p w14:paraId="66B52207" w14:textId="2C4A2A18" w:rsidR="00E55C3E" w:rsidRPr="007A3B36" w:rsidRDefault="007C1024" w:rsidP="007A3B36">
      <w:pPr>
        <w:pStyle w:val="Heading3"/>
        <w:rPr>
          <w:u w:val="single"/>
        </w:rPr>
      </w:pPr>
      <w:hyperlink r:id="rId223" w:history="1">
        <w:bookmarkStart w:id="4219" w:name="_Toc87039331"/>
        <w:bookmarkStart w:id="4220" w:name="_Toc90983727"/>
        <w:r w:rsidR="00E55C3E" w:rsidRPr="007A3B36">
          <w:rPr>
            <w:rStyle w:val="Hyperlink"/>
          </w:rPr>
          <w:t>D</w:t>
        </w:r>
        <w:r w:rsidR="00890F11" w:rsidRPr="007A3B36">
          <w:rPr>
            <w:rStyle w:val="Hyperlink"/>
          </w:rPr>
          <w:t xml:space="preserve">EWSNUP v. TIMM, </w:t>
        </w:r>
        <w:r w:rsidR="00E55C3E" w:rsidRPr="007A3B36">
          <w:rPr>
            <w:rStyle w:val="Hyperlink"/>
          </w:rPr>
          <w:t>502 U.S. 410 (1992)</w:t>
        </w:r>
        <w:bookmarkEnd w:id="4219"/>
        <w:bookmarkEnd w:id="4220"/>
      </w:hyperlink>
      <w:bookmarkStart w:id="4221" w:name="_Toc79693105"/>
      <w:bookmarkStart w:id="4222" w:name="_Toc79693425"/>
      <w:bookmarkStart w:id="4223" w:name="_Toc79693745"/>
      <w:bookmarkStart w:id="4224" w:name="_Toc79694062"/>
      <w:bookmarkStart w:id="4225" w:name="_Toc79694380"/>
      <w:bookmarkStart w:id="4226" w:name="_Toc79694700"/>
      <w:bookmarkStart w:id="4227" w:name="_Toc79695014"/>
      <w:bookmarkStart w:id="4228" w:name="_Toc79695330"/>
      <w:bookmarkStart w:id="4229" w:name="_Toc79695646"/>
      <w:bookmarkStart w:id="4230" w:name="_Toc79695962"/>
      <w:bookmarkStart w:id="4231" w:name="_Toc79696278"/>
      <w:bookmarkStart w:id="4232" w:name="_Toc79696594"/>
      <w:bookmarkStart w:id="4233" w:name="_Toc79696915"/>
      <w:bookmarkStart w:id="4234" w:name="_Toc79697247"/>
      <w:bookmarkStart w:id="4235" w:name="_Toc79697576"/>
      <w:bookmarkStart w:id="4236" w:name="_Toc79699247"/>
      <w:bookmarkStart w:id="4237" w:name="_Toc79699573"/>
      <w:bookmarkStart w:id="4238" w:name="_Toc79699911"/>
      <w:bookmarkStart w:id="4239" w:name="_Toc79700231"/>
      <w:bookmarkStart w:id="4240" w:name="_Toc79700553"/>
      <w:bookmarkStart w:id="4241" w:name="_Toc79700875"/>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r w:rsidR="007A3B36" w:rsidRPr="007A3B36">
        <w:rPr>
          <w:rStyle w:val="Hyperlink"/>
        </w:rPr>
        <w:br/>
      </w:r>
    </w:p>
    <w:p w14:paraId="237BB5D3" w14:textId="0E1C7A7B"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 506(d) of the Bankruptcy Code, 11 </w:t>
      </w:r>
      <w:r w:rsidR="00B17D36">
        <w:rPr>
          <w:rFonts w:ascii="Times New Roman" w:hAnsi="Times New Roman"/>
          <w:szCs w:val="24"/>
        </w:rPr>
        <w:t>U.S.C.</w:t>
      </w:r>
      <w:r w:rsidRPr="007A5BBC">
        <w:rPr>
          <w:rFonts w:ascii="Times New Roman" w:hAnsi="Times New Roman"/>
          <w:szCs w:val="24"/>
        </w:rPr>
        <w:t xml:space="preserve"> § 506(d).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5F134C7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 506,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 506(a) and the lien-voiding provision of § 506(d). </w:t>
      </w:r>
    </w:p>
    <w:p w14:paraId="69BF2957" w14:textId="48CF759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After a trial, it determined that the then value of the land subject to the Deed of Trust was $39,000. It indulged in the assumption that the property had been abandoned by the trustee pursuant to § 554, and reasoned that once property was abandoned it no longer fell within the reach of § 506(a), which applies only to "property in which the estate has an interest," and therefore was not covered by § 506(d)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4B8962C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As we read their several submissions, the parties and their amici are not in agreement in their respective approaches to the problem of statutory interpretation that confronts us. Petitioner-debtor takes the position that §§ 506(a) and 506(d) are complementary and to be read together. Because, under § 506(a), a claim is secured only to the extent of the judicially determined value of the real property on which the lien is fixed, a debtor can void a lien on the property pursuant to § 506(d) to the extent the claim is no longer secured and thus is not "an allowed secured claim." In other words, § 506(a) bifurcates classes of claims allowed under § 502 into secured claims and unsecured claims; any portion of an allowed claim deemed to be unsecured under § 506(a) is not an "allowed secured claim" within the lien-voiding scope of § 506(d). Petitioner argues that there is no exception for unsecured property abandoned by the trustee.</w:t>
      </w:r>
    </w:p>
    <w:p w14:paraId="379E2196" w14:textId="6D23680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Petitioner's amicus argues that the plain language of § 506(d)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ABC3850"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primarily assert that § 506(d) is not, as petitioner would have it, "rigidly tied" to § 506(a). They argue that § 506(a) performs the function of classifying claims by true secured status at the time of distribution of the estate to ensure fairness to unsecured claimants. In contrast, the lien-voiding § 506(d) is directed to the time at which foreclosure is to take place, and, where the trustee has abandoned the property, no bankruptcy distributional purpose is served by voiding the lien.</w:t>
      </w:r>
    </w:p>
    <w:p w14:paraId="4D677D7C" w14:textId="01ED693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 506(d) need not be read as an indivisible term of art defined by reference to § 506(a), which by its terms is not a definitional provision. Rather, the words should be read term-by-term to refer to any claim that is, first, allowed, and, second, secured. Because there is no question that the claim at issue here has been "allowed" pursuant to § 502 of the Code and is secured by a lien with recourse to the underlying collateral, it does not come within the scope of § 506(d), which voids only liens corresponding to claims that have not been allowed and secured. This reading of § 506(d),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5D085F58"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foregoing recital of the contrasting positions of the respective parties and their amici demonstrates that § 506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32FDC88C"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We conclude that respondents' alternative position, espoused also by the United States, although not without its difficulty, generally is the better of the several approaches. Therefore, we hold that § 506(d) does not allow petitioner to "strip down" respondents' lien, because respondents' claim is secured by a lien and has been fully allowed pursuant to § 502. Were we writing on a clean slate, we might be inclined to agree with petitioner that the words "allowed secured claim" must take the same meaning in § 506(d) as in § 506(a).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0815C81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 506(a)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7A5BBC">
        <w:rPr>
          <w:rFonts w:ascii="Times New Roman" w:hAnsi="Times New Roman"/>
          <w:b/>
          <w:szCs w:val="24"/>
        </w:rPr>
        <w:t>Justice Scalia, with whom Justice Souter joins, dissenting.</w:t>
      </w:r>
    </w:p>
    <w:p w14:paraId="6747D607" w14:textId="6C597B21"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 xml:space="preserve">[506(d)]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3B2B45B5" w14:textId="33ED6525" w:rsidR="00810DF3" w:rsidRPr="006601C9" w:rsidRDefault="00E55C3E" w:rsidP="006601C9">
      <w:pPr>
        <w:ind w:firstLine="720"/>
        <w:jc w:val="both"/>
        <w:rPr>
          <w:rFonts w:ascii="Times New Roman" w:hAnsi="Times New Roman"/>
          <w:szCs w:val="24"/>
        </w:rPr>
      </w:pPr>
      <w:r w:rsidRPr="007A5BBC">
        <w:rPr>
          <w:rFonts w:ascii="Times New Roman" w:hAnsi="Times New Roman"/>
          <w:szCs w:val="24"/>
        </w:rPr>
        <w:t xml:space="preserve">The Court makes no attempt to establish a textual or structural basis for overriding the plain meaning of § 506(d), but rests its decision upon policy intuitions of a legislative character, and upon the principle that a text which is "ambiguous" (a status apparently achieved by being the subject of disagreement between self-interested litigants) cannot change pre-Code law without the 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Bankruptcy Code." "We . . . focus upon the case before us and allow other facts to await their legal resolution on another day." </w:t>
      </w:r>
    </w:p>
    <w:p w14:paraId="7ECAC9B7" w14:textId="76073CA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 506(d), even if the claim secured by that lien were disallowed entirely. </w:t>
      </w:r>
    </w:p>
    <w:p w14:paraId="4224FA91" w14:textId="343DA8A5" w:rsidR="00E55C3E" w:rsidRDefault="00E55C3E" w:rsidP="003A2153">
      <w:pPr>
        <w:ind w:firstLine="720"/>
        <w:jc w:val="both"/>
        <w:rPr>
          <w:rFonts w:ascii="Times New Roman" w:hAnsi="Times New Roman"/>
          <w:szCs w:val="24"/>
        </w:rPr>
      </w:pPr>
      <w:r w:rsidRPr="007A5BBC">
        <w:rPr>
          <w:rFonts w:ascii="Times New Roman" w:hAnsi="Times New Roman"/>
          <w:szCs w:val="24"/>
        </w:rPr>
        <w:t>The principal harm caused by today's decision is not the misinterpretation of § 506(d)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3C7B982F" w14:textId="77777777" w:rsidR="007A3B36" w:rsidRPr="007A5BBC" w:rsidRDefault="007A3B36" w:rsidP="003A2153">
      <w:pPr>
        <w:ind w:firstLine="720"/>
        <w:jc w:val="both"/>
        <w:rPr>
          <w:rFonts w:ascii="Times New Roman" w:hAnsi="Times New Roman"/>
          <w:szCs w:val="24"/>
        </w:rPr>
      </w:pPr>
    </w:p>
    <w:p w14:paraId="7E7505D5" w14:textId="163503E3" w:rsidR="00D66697" w:rsidRPr="007A5BBC" w:rsidRDefault="00D66697" w:rsidP="007A3B36">
      <w:pPr>
        <w:pStyle w:val="Heading2"/>
        <w:spacing w:line="240" w:lineRule="auto"/>
      </w:pPr>
      <w:bookmarkStart w:id="4242" w:name="_Toc79699248"/>
      <w:bookmarkStart w:id="4243" w:name="_Toc79699574"/>
      <w:bookmarkStart w:id="4244" w:name="_Toc79699912"/>
      <w:bookmarkStart w:id="4245" w:name="_Toc79700232"/>
      <w:bookmarkStart w:id="4246" w:name="_Toc79700554"/>
      <w:bookmarkStart w:id="4247" w:name="_Toc87039332"/>
      <w:bookmarkStart w:id="4248" w:name="_Toc90983728"/>
      <w:r w:rsidRPr="007A5BBC">
        <w:t>Stripping Wholly Unsecured Liens in Chapter 7</w:t>
      </w:r>
      <w:bookmarkStart w:id="4249" w:name="_Toc79693106"/>
      <w:bookmarkStart w:id="4250" w:name="_Toc79693426"/>
      <w:bookmarkStart w:id="4251" w:name="_Toc79693746"/>
      <w:bookmarkStart w:id="4252" w:name="_Toc79694063"/>
      <w:bookmarkStart w:id="4253" w:name="_Toc79694701"/>
      <w:bookmarkStart w:id="4254" w:name="_Toc79695331"/>
      <w:bookmarkStart w:id="4255" w:name="_Toc79697577"/>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r w:rsidR="007A3B36">
        <w:br/>
      </w:r>
    </w:p>
    <w:p w14:paraId="5FE4823D" w14:textId="17DF8D86"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r w:rsidR="001A62E3" w:rsidRPr="007A5BBC">
        <w:rPr>
          <w:rFonts w:ascii="Times New Roman" w:hAnsi="Times New Roman"/>
          <w:i/>
          <w:szCs w:val="24"/>
        </w:rPr>
        <w:t>McNeal v GMAC Mortgage</w:t>
      </w:r>
      <w:r w:rsidR="001A62E3" w:rsidRPr="007A5BBC">
        <w:rPr>
          <w:rFonts w:ascii="Times New Roman" w:hAnsi="Times New Roman"/>
          <w:szCs w:val="24"/>
        </w:rPr>
        <w:t>, 735 F.3d 1263 (11</w:t>
      </w:r>
      <w:r w:rsidR="001A62E3" w:rsidRPr="007A5BBC">
        <w:rPr>
          <w:rFonts w:ascii="Times New Roman" w:hAnsi="Times New Roman"/>
          <w:szCs w:val="24"/>
          <w:vertAlign w:val="superscript"/>
        </w:rPr>
        <w:t>th</w:t>
      </w:r>
      <w:r w:rsidR="001A62E3" w:rsidRPr="007A5BBC">
        <w:rPr>
          <w:rFonts w:ascii="Times New Roman" w:hAnsi="Times New Roman"/>
          <w:szCs w:val="24"/>
        </w:rPr>
        <w:t xml:space="preserve"> Cir. 2012)</w:t>
      </w:r>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079C7910" w:rsidR="001A62E3" w:rsidRPr="007A5BBC" w:rsidRDefault="00D66697" w:rsidP="00D66697">
      <w:pPr>
        <w:ind w:firstLine="720"/>
        <w:jc w:val="both"/>
        <w:rPr>
          <w:rFonts w:ascii="Times New Roman" w:hAnsi="Times New Roman"/>
          <w:szCs w:val="24"/>
        </w:rPr>
      </w:pPr>
      <w:r w:rsidRPr="007A5BBC">
        <w:rPr>
          <w:rFonts w:ascii="Times New Roman" w:hAnsi="Times New Roman"/>
          <w:szCs w:val="24"/>
        </w:rPr>
        <w:t xml:space="preserve">In </w:t>
      </w:r>
      <w:bookmarkStart w:id="4256"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4257" w:name="CASECaulkett"/>
      <w:r w:rsidRPr="000505A3">
        <w:rPr>
          <w:rStyle w:val="Hyperlink"/>
          <w:rFonts w:ascii="Times New Roman" w:hAnsi="Times New Roman"/>
          <w:i/>
          <w:szCs w:val="24"/>
        </w:rPr>
        <w:t>Caulkett</w:t>
      </w:r>
      <w:bookmarkEnd w:id="4257"/>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S.Ct. 1995 </w:t>
      </w:r>
      <w:r w:rsidRPr="000505A3">
        <w:rPr>
          <w:rStyle w:val="Hyperlink"/>
          <w:rFonts w:ascii="Times New Roman" w:hAnsi="Times New Roman"/>
          <w:szCs w:val="24"/>
        </w:rPr>
        <w:t>(2015)</w:t>
      </w:r>
      <w:bookmarkEnd w:id="4256"/>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24"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(THOMAS, J., concurring in judgment) </w:t>
      </w:r>
    </w:p>
    <w:p w14:paraId="560262FE" w14:textId="1BC67324" w:rsidR="00D66697"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083725" w:rsidRPr="007A5BBC">
        <w:rPr>
          <w:rFonts w:ascii="Times New Roman" w:hAnsi="Times New Roman"/>
          <w:szCs w:val="24"/>
        </w:rPr>
        <w:t xml:space="preserve">? </w:t>
      </w:r>
      <w:r w:rsidR="001A62E3" w:rsidRPr="007A5BBC">
        <w:rPr>
          <w:rFonts w:ascii="Times New Roman" w:hAnsi="Times New Roman"/>
          <w:szCs w:val="24"/>
        </w:rPr>
        <w:t>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w:t>
      </w:r>
      <w:r w:rsidR="00605489">
        <w:rPr>
          <w:rFonts w:ascii="Times New Roman" w:hAnsi="Times New Roman"/>
          <w:szCs w:val="24"/>
        </w:rPr>
        <w:t xml:space="preserve">of the </w:t>
      </w:r>
      <w:r w:rsidR="001A62E3" w:rsidRPr="007A5BBC">
        <w:rPr>
          <w:rFonts w:ascii="Times New Roman" w:hAnsi="Times New Roman"/>
          <w:szCs w:val="24"/>
        </w:rPr>
        <w:t xml:space="preserve">judges </w:t>
      </w:r>
      <w:r w:rsidR="00605489">
        <w:rPr>
          <w:rFonts w:ascii="Times New Roman" w:hAnsi="Times New Roman"/>
          <w:szCs w:val="24"/>
        </w:rPr>
        <w:t xml:space="preserve">in </w:t>
      </w:r>
      <w:r w:rsidR="00E86560" w:rsidRPr="00605489">
        <w:rPr>
          <w:rFonts w:ascii="Times New Roman" w:hAnsi="Times New Roman"/>
          <w:i/>
          <w:szCs w:val="24"/>
        </w:rPr>
        <w:t>Caulkett</w:t>
      </w:r>
      <w:r w:rsidR="00E86560">
        <w:rPr>
          <w:rFonts w:ascii="Times New Roman" w:hAnsi="Times New Roman"/>
          <w:szCs w:val="24"/>
        </w:rPr>
        <w:t xml:space="preserve">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judges 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605489">
        <w:rPr>
          <w:rFonts w:ascii="Times New Roman" w:hAnsi="Times New Roman"/>
          <w:szCs w:val="24"/>
        </w:rPr>
        <w:t xml:space="preserve">That left </w:t>
      </w:r>
      <w:r w:rsidR="00B4008D" w:rsidRPr="007A5BBC">
        <w:rPr>
          <w:rFonts w:ascii="Times New Roman" w:hAnsi="Times New Roman"/>
          <w:szCs w:val="24"/>
        </w:rPr>
        <w:t xml:space="preserve">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w:t>
      </w:r>
      <w:r w:rsidR="00605489">
        <w:rPr>
          <w:rFonts w:ascii="Times New Roman" w:hAnsi="Times New Roman"/>
          <w:szCs w:val="24"/>
        </w:rPr>
        <w:t xml:space="preserve">did not commit </w:t>
      </w:r>
      <w:r w:rsidR="00B4008D" w:rsidRPr="007A5BBC">
        <w:rPr>
          <w:rFonts w:ascii="Times New Roman" w:hAnsi="Times New Roman"/>
          <w:szCs w:val="24"/>
        </w:rPr>
        <w:t xml:space="preserve">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r w:rsidR="00605489">
        <w:rPr>
          <w:rFonts w:ascii="Times New Roman" w:hAnsi="Times New Roman"/>
          <w:szCs w:val="24"/>
        </w:rPr>
        <w:t>Allowing liens to be stripped in Chapter 7 to the value of the collateral would certainly be a major change in the law</w:t>
      </w:r>
      <w:r w:rsidR="005C2D89">
        <w:rPr>
          <w:rFonts w:ascii="Times New Roman" w:hAnsi="Times New Roman"/>
          <w:szCs w:val="24"/>
        </w:rPr>
        <w:t>. B</w:t>
      </w:r>
      <w:r w:rsidR="00605489">
        <w:rPr>
          <w:rFonts w:ascii="Times New Roman" w:hAnsi="Times New Roman"/>
          <w:szCs w:val="24"/>
        </w:rPr>
        <w:t xml:space="preserve">ut the decision in </w:t>
      </w:r>
      <w:r w:rsidR="00605489" w:rsidRPr="00605489">
        <w:rPr>
          <w:rFonts w:ascii="Times New Roman" w:hAnsi="Times New Roman"/>
          <w:i/>
          <w:szCs w:val="24"/>
        </w:rPr>
        <w:t>Dewsnup</w:t>
      </w:r>
      <w:r w:rsidR="00605489">
        <w:rPr>
          <w:rFonts w:ascii="Times New Roman" w:hAnsi="Times New Roman"/>
          <w:szCs w:val="24"/>
        </w:rPr>
        <w:t>, as a matter of statutory construction, was far from convincing</w:t>
      </w:r>
      <w:r w:rsidR="00083725">
        <w:rPr>
          <w:rFonts w:ascii="Times New Roman" w:hAnsi="Times New Roman"/>
          <w:szCs w:val="24"/>
        </w:rPr>
        <w:t xml:space="preserve">. </w:t>
      </w:r>
    </w:p>
    <w:p w14:paraId="273BEB8B" w14:textId="77777777" w:rsidR="007A3B36" w:rsidRPr="007A5BBC" w:rsidRDefault="007A3B36" w:rsidP="00B4008D">
      <w:pPr>
        <w:ind w:firstLine="720"/>
        <w:jc w:val="both"/>
        <w:rPr>
          <w:rFonts w:ascii="Times New Roman" w:hAnsi="Times New Roman"/>
          <w:szCs w:val="24"/>
        </w:rPr>
      </w:pPr>
    </w:p>
    <w:p w14:paraId="0CB74126" w14:textId="0CDAA962" w:rsidR="004C6B89" w:rsidRPr="007A5BBC" w:rsidRDefault="004C6B89" w:rsidP="007A3B36">
      <w:pPr>
        <w:pStyle w:val="Heading2"/>
        <w:spacing w:line="240" w:lineRule="auto"/>
      </w:pPr>
      <w:bookmarkStart w:id="4258" w:name="_Toc417380869"/>
      <w:bookmarkStart w:id="4259" w:name="_Toc79699249"/>
      <w:bookmarkStart w:id="4260" w:name="_Toc79699575"/>
      <w:bookmarkStart w:id="4261" w:name="_Toc79699913"/>
      <w:bookmarkStart w:id="4262" w:name="_Toc79700233"/>
      <w:bookmarkStart w:id="4263" w:name="_Toc79700555"/>
      <w:bookmarkStart w:id="4264" w:name="_Toc87039333"/>
      <w:bookmarkStart w:id="4265" w:name="_Toc90983729"/>
      <w:r w:rsidRPr="007A5BBC">
        <w:t>Redemption</w:t>
      </w:r>
      <w:r w:rsidR="00CB723B">
        <w:t xml:space="preserve"> – </w:t>
      </w:r>
      <w:r w:rsidR="00166708" w:rsidRPr="007A5BBC">
        <w:t>11 U.S.C. § 722</w:t>
      </w:r>
      <w:bookmarkStart w:id="4266" w:name="_Toc79693107"/>
      <w:bookmarkStart w:id="4267" w:name="_Toc79693427"/>
      <w:bookmarkStart w:id="4268" w:name="_Toc79693747"/>
      <w:bookmarkStart w:id="4269" w:name="_Toc79694064"/>
      <w:bookmarkStart w:id="4270" w:name="_Toc79694702"/>
      <w:bookmarkStart w:id="4271" w:name="_Toc79695332"/>
      <w:bookmarkStart w:id="4272" w:name="_Toc79697578"/>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r w:rsidR="007A3B36">
        <w:br/>
      </w:r>
    </w:p>
    <w:p w14:paraId="6D4B18C2" w14:textId="6C6E8EAA" w:rsidR="004C6B89"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Section 506(a)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w:t>
      </w:r>
      <w:r w:rsidR="005C2D89">
        <w:rPr>
          <w:rFonts w:ascii="Times New Roman" w:hAnsi="Times New Roman"/>
          <w:szCs w:val="24"/>
        </w:rPr>
        <w:t xml:space="preserve"> Redemption would often be </w:t>
      </w:r>
      <w:r w:rsidRPr="007A5BBC">
        <w:rPr>
          <w:rFonts w:ascii="Times New Roman" w:hAnsi="Times New Roman"/>
          <w:szCs w:val="24"/>
        </w:rPr>
        <w:t xml:space="preserve">a great deal for many consumer debtors for things like personal use cars, rent-to-own furniture, and financed computers – property that may be worth far less than the loan balance because of </w:t>
      </w:r>
      <w:r w:rsidR="005C2D89">
        <w:rPr>
          <w:rFonts w:ascii="Times New Roman" w:hAnsi="Times New Roman"/>
          <w:szCs w:val="24"/>
        </w:rPr>
        <w:t xml:space="preserve">excessive sales prices and </w:t>
      </w:r>
      <w:r w:rsidRPr="007A5BBC">
        <w:rPr>
          <w:rFonts w:ascii="Times New Roman" w:hAnsi="Times New Roman"/>
          <w:szCs w:val="24"/>
        </w:rPr>
        <w:t>rapid depreciation - but few debtors have access to sufficient sources of cash to redeem.</w:t>
      </w:r>
    </w:p>
    <w:p w14:paraId="6864047E" w14:textId="77777777" w:rsidR="007A3B36" w:rsidRPr="007A5BBC" w:rsidRDefault="007A3B36" w:rsidP="003A2153">
      <w:pPr>
        <w:ind w:firstLine="720"/>
        <w:jc w:val="both"/>
        <w:rPr>
          <w:rFonts w:ascii="Times New Roman" w:hAnsi="Times New Roman"/>
          <w:szCs w:val="24"/>
        </w:rPr>
      </w:pPr>
    </w:p>
    <w:p w14:paraId="7501AF07" w14:textId="0DC6FFB3" w:rsidR="004C6B89" w:rsidRPr="007A5BBC" w:rsidRDefault="00890F11" w:rsidP="007A3B36">
      <w:pPr>
        <w:pStyle w:val="Heading2"/>
        <w:spacing w:line="240" w:lineRule="auto"/>
      </w:pPr>
      <w:bookmarkStart w:id="4273" w:name="_Toc79699250"/>
      <w:bookmarkStart w:id="4274" w:name="_Toc79699576"/>
      <w:bookmarkStart w:id="4275" w:name="_Toc79699914"/>
      <w:bookmarkStart w:id="4276" w:name="_Toc79700234"/>
      <w:bookmarkStart w:id="4277" w:name="_Toc79700556"/>
      <w:bookmarkStart w:id="4278" w:name="_Toc87039334"/>
      <w:bookmarkStart w:id="4279" w:name="_Toc90983730"/>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166708" w:rsidRPr="007A5BBC">
        <w:t>Ride Through</w:t>
      </w:r>
      <w:r w:rsidR="005C3140" w:rsidRPr="007A5BBC">
        <w:t>”</w:t>
      </w:r>
      <w:bookmarkStart w:id="4280" w:name="_Toc417380870"/>
      <w:bookmarkEnd w:id="4273"/>
      <w:bookmarkEnd w:id="4274"/>
      <w:bookmarkEnd w:id="4275"/>
      <w:bookmarkEnd w:id="4276"/>
      <w:bookmarkEnd w:id="4277"/>
      <w:bookmarkEnd w:id="4278"/>
      <w:bookmarkEnd w:id="4279"/>
      <w:r w:rsidR="00166708" w:rsidRPr="007A5BBC">
        <w:t xml:space="preserve">  </w:t>
      </w:r>
      <w:bookmarkStart w:id="4281" w:name="_Toc79693108"/>
      <w:bookmarkStart w:id="4282" w:name="_Toc79693428"/>
      <w:bookmarkStart w:id="4283" w:name="_Toc79693748"/>
      <w:bookmarkStart w:id="4284" w:name="_Toc79694065"/>
      <w:bookmarkStart w:id="4285" w:name="_Toc79694703"/>
      <w:bookmarkStart w:id="4286" w:name="_Toc79695333"/>
      <w:bookmarkStart w:id="4287" w:name="_Toc79697579"/>
      <w:bookmarkEnd w:id="4280"/>
      <w:bookmarkEnd w:id="4281"/>
      <w:bookmarkEnd w:id="4282"/>
      <w:bookmarkEnd w:id="4283"/>
      <w:bookmarkEnd w:id="4284"/>
      <w:bookmarkEnd w:id="4285"/>
      <w:bookmarkEnd w:id="4286"/>
      <w:bookmarkEnd w:id="4287"/>
      <w:r w:rsidR="007A3B36">
        <w:br/>
      </w:r>
    </w:p>
    <w:p w14:paraId="2C57EC33" w14:textId="68B223E0"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w:t>
      </w:r>
      <w:r w:rsidR="005C2D89">
        <w:rPr>
          <w:rFonts w:ascii="Times New Roman" w:hAnsi="Times New Roman"/>
          <w:szCs w:val="24"/>
        </w:rPr>
        <w:t>redeem, reaffirm or surrender the property</w:t>
      </w:r>
      <w:r w:rsidR="00083725">
        <w:rPr>
          <w:rFonts w:ascii="Times New Roman" w:hAnsi="Times New Roman"/>
          <w:szCs w:val="24"/>
        </w:rPr>
        <w:t xml:space="preserve">. </w:t>
      </w:r>
      <w:r w:rsidR="005C2D89">
        <w:rPr>
          <w:rFonts w:ascii="Times New Roman" w:hAnsi="Times New Roman"/>
          <w:szCs w:val="24"/>
        </w:rPr>
        <w:t>Section 521(a)(2) requires the debtor to file a statement of intention within 30 days after filing bankruptcy, and to perform the intention within 30 days after the original date for the first meeting of creditors</w:t>
      </w:r>
      <w:r w:rsidR="00083725">
        <w:rPr>
          <w:rFonts w:ascii="Times New Roman" w:hAnsi="Times New Roman"/>
          <w:szCs w:val="24"/>
        </w:rPr>
        <w:t xml:space="preserve">. </w:t>
      </w:r>
      <w:r w:rsidR="005C2D89">
        <w:rPr>
          <w:rFonts w:ascii="Times New Roman" w:hAnsi="Times New Roman"/>
          <w:szCs w:val="24"/>
        </w:rPr>
        <w:t xml:space="preserve">Next, Section 521(a)(6) specifies that the </w:t>
      </w:r>
      <w:r w:rsidR="00E0461A">
        <w:rPr>
          <w:rFonts w:ascii="Times New Roman" w:hAnsi="Times New Roman"/>
          <w:szCs w:val="24"/>
        </w:rPr>
        <w:t>d</w:t>
      </w:r>
      <w:r w:rsidR="005C2D89">
        <w:rPr>
          <w:rFonts w:ascii="Times New Roman" w:hAnsi="Times New Roman"/>
          <w:szCs w:val="24"/>
        </w:rPr>
        <w:t xml:space="preserve">ebtor may </w:t>
      </w:r>
      <w:r w:rsidRPr="007A5BBC">
        <w:rPr>
          <w:rFonts w:ascii="Times New Roman" w:hAnsi="Times New Roman"/>
          <w:szCs w:val="24"/>
        </w:rPr>
        <w:t>“not retain</w:t>
      </w:r>
      <w:r w:rsidR="00B4008D" w:rsidRPr="007A5BBC">
        <w:rPr>
          <w:rFonts w:ascii="Times New Roman" w:hAnsi="Times New Roman"/>
          <w:szCs w:val="24"/>
        </w:rPr>
        <w:t xml:space="preserve"> possession of” the collateral [</w:t>
      </w:r>
      <w:r w:rsidR="005C2D89">
        <w:rPr>
          <w:rFonts w:ascii="Times New Roman" w:hAnsi="Times New Roman"/>
          <w:szCs w:val="24"/>
        </w:rPr>
        <w:t xml:space="preserve">presumably must surrender </w:t>
      </w:r>
      <w:r w:rsidRPr="007A5BBC">
        <w:rPr>
          <w:rFonts w:ascii="Times New Roman" w:hAnsi="Times New Roman"/>
          <w:szCs w:val="24"/>
        </w:rPr>
        <w:t>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xml:space="preserve">, unless </w:t>
      </w:r>
      <w:r w:rsidR="005C2D89">
        <w:rPr>
          <w:rFonts w:ascii="Times New Roman" w:hAnsi="Times New Roman"/>
          <w:szCs w:val="24"/>
        </w:rPr>
        <w:t xml:space="preserve">within </w:t>
      </w:r>
      <w:r w:rsidRPr="007A5BBC">
        <w:rPr>
          <w:rFonts w:ascii="Times New Roman" w:hAnsi="Times New Roman"/>
          <w:szCs w:val="24"/>
        </w:rPr>
        <w:t>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r w:rsidRPr="007A5BBC">
        <w:rPr>
          <w:rFonts w:ascii="Times New Roman" w:hAnsi="Times New Roman"/>
          <w:szCs w:val="24"/>
        </w:rPr>
        <w:t>11 U.S.C. § 521(a)(6)</w:t>
      </w:r>
      <w:r w:rsidR="005F6A8B">
        <w:rPr>
          <w:rFonts w:ascii="Times New Roman" w:hAnsi="Times New Roman"/>
          <w:szCs w:val="24"/>
        </w:rPr>
        <w:t xml:space="preserve">. </w:t>
      </w:r>
      <w:r w:rsidR="00E0461A">
        <w:rPr>
          <w:rFonts w:ascii="Times New Roman" w:hAnsi="Times New Roman"/>
          <w:szCs w:val="24"/>
        </w:rPr>
        <w:t>The timing of Section 521(a)(6) conflicts with the timing of Section 521(a)(2)</w:t>
      </w:r>
      <w:r w:rsidR="00083725">
        <w:rPr>
          <w:rFonts w:ascii="Times New Roman" w:hAnsi="Times New Roman"/>
          <w:szCs w:val="24"/>
        </w:rPr>
        <w:t xml:space="preserve">. </w:t>
      </w:r>
    </w:p>
    <w:p w14:paraId="3ADF8695" w14:textId="0C292C8A" w:rsidR="006126E2" w:rsidRPr="007A5BBC" w:rsidRDefault="0034304A" w:rsidP="00E86560">
      <w:pPr>
        <w:ind w:firstLine="720"/>
        <w:jc w:val="both"/>
        <w:rPr>
          <w:rFonts w:ascii="Times New Roman" w:hAnsi="Times New Roman"/>
          <w:szCs w:val="24"/>
        </w:rPr>
      </w:pPr>
      <w:r w:rsidRPr="007A5BBC">
        <w:rPr>
          <w:rFonts w:ascii="Times New Roman" w:hAnsi="Times New Roman"/>
          <w:szCs w:val="24"/>
        </w:rPr>
        <w:t xml:space="preserve">Section 521(d) in turn </w:t>
      </w:r>
      <w:r w:rsidR="00B4008D" w:rsidRPr="007A5BBC">
        <w:rPr>
          <w:rFonts w:ascii="Times New Roman" w:hAnsi="Times New Roman"/>
          <w:szCs w:val="24"/>
        </w:rPr>
        <w:t xml:space="preserve">adds teeth to the </w:t>
      </w:r>
      <w:r w:rsidR="00E0461A">
        <w:rPr>
          <w:rFonts w:ascii="Times New Roman" w:hAnsi="Times New Roman"/>
          <w:szCs w:val="24"/>
        </w:rPr>
        <w:t xml:space="preserve">reaffirm, redeem or surrender </w:t>
      </w:r>
      <w:r w:rsidR="00B4008D" w:rsidRPr="007A5BBC">
        <w:rPr>
          <w:rFonts w:ascii="Times New Roman" w:hAnsi="Times New Roman"/>
          <w:szCs w:val="24"/>
        </w:rPr>
        <w:t xml:space="preserve">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E0461A">
        <w:rPr>
          <w:rFonts w:ascii="Times New Roman" w:hAnsi="Times New Roman"/>
          <w:szCs w:val="24"/>
        </w:rPr>
        <w:t xml:space="preserve"> if the debtor fails to timely reaffirm or redeem</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E0461A" w:rsidRPr="007A5BBC">
        <w:rPr>
          <w:rFonts w:ascii="Times New Roman" w:hAnsi="Times New Roman"/>
          <w:szCs w:val="24"/>
        </w:rPr>
        <w:t xml:space="preserve">A </w:t>
      </w:r>
      <w:r w:rsidR="00E0461A">
        <w:rPr>
          <w:rFonts w:ascii="Times New Roman" w:hAnsi="Times New Roman"/>
          <w:szCs w:val="24"/>
        </w:rPr>
        <w:t xml:space="preserve">corollary </w:t>
      </w:r>
      <w:r w:rsidR="00E0461A" w:rsidRPr="007A5BBC">
        <w:rPr>
          <w:rFonts w:ascii="Times New Roman" w:hAnsi="Times New Roman"/>
          <w:szCs w:val="24"/>
        </w:rPr>
        <w:t>provision in Section 362(h) terminates the automatic stay with respect to all security interests</w:t>
      </w:r>
      <w:r w:rsidR="00E0461A">
        <w:rPr>
          <w:rFonts w:ascii="Times New Roman" w:hAnsi="Times New Roman"/>
          <w:szCs w:val="24"/>
        </w:rPr>
        <w:t xml:space="preserve"> in,</w:t>
      </w:r>
      <w:r w:rsidR="00E0461A" w:rsidRPr="007A5BBC">
        <w:rPr>
          <w:rFonts w:ascii="Times New Roman" w:hAnsi="Times New Roman"/>
          <w:szCs w:val="24"/>
        </w:rPr>
        <w:t xml:space="preserve"> or leases </w:t>
      </w:r>
      <w:r w:rsidR="00E0461A">
        <w:rPr>
          <w:rFonts w:ascii="Times New Roman" w:hAnsi="Times New Roman"/>
          <w:szCs w:val="24"/>
        </w:rPr>
        <w:t xml:space="preserve">of, </w:t>
      </w:r>
      <w:r w:rsidR="00E0461A" w:rsidRPr="007A5BBC">
        <w:rPr>
          <w:rFonts w:ascii="Times New Roman" w:hAnsi="Times New Roman"/>
          <w:szCs w:val="24"/>
        </w:rPr>
        <w:t xml:space="preserve">personal property if the debtor does not </w:t>
      </w:r>
      <w:r w:rsidR="00E0461A">
        <w:rPr>
          <w:rFonts w:ascii="Times New Roman" w:hAnsi="Times New Roman"/>
          <w:szCs w:val="24"/>
        </w:rPr>
        <w:t xml:space="preserve">timely </w:t>
      </w:r>
      <w:r w:rsidR="00E0461A" w:rsidRPr="007A5BBC">
        <w:rPr>
          <w:rFonts w:ascii="Times New Roman" w:hAnsi="Times New Roman"/>
          <w:szCs w:val="24"/>
        </w:rPr>
        <w:t>file a statement of intention to surrender, reaffirm or redeem, and then timely perform the stated action</w:t>
      </w:r>
      <w:r w:rsidR="00E0461A">
        <w:rPr>
          <w:rFonts w:ascii="Times New Roman" w:hAnsi="Times New Roman"/>
          <w:szCs w:val="24"/>
        </w:rPr>
        <w:t xml:space="preserve">. </w:t>
      </w:r>
      <w:r w:rsidR="00E0461A" w:rsidRPr="007A5BBC">
        <w:rPr>
          <w:rFonts w:ascii="Times New Roman" w:hAnsi="Times New Roman"/>
          <w:szCs w:val="24"/>
        </w:rPr>
        <w:t>11 U.S.C. § 362(h)</w:t>
      </w:r>
      <w:r w:rsidR="00E0461A">
        <w:rPr>
          <w:rFonts w:ascii="Times New Roman" w:hAnsi="Times New Roman"/>
          <w:szCs w:val="24"/>
        </w:rPr>
        <w:t xml:space="preserve">. Based on Sections 521(d) and 362(h), it would appear that </w:t>
      </w:r>
      <w:r w:rsidR="00E0461A" w:rsidRPr="007A5BBC">
        <w:rPr>
          <w:rFonts w:ascii="Times New Roman" w:hAnsi="Times New Roman"/>
          <w:szCs w:val="24"/>
        </w:rPr>
        <w:t xml:space="preserve">the lender </w:t>
      </w:r>
      <w:r w:rsidR="00E0461A">
        <w:rPr>
          <w:rFonts w:ascii="Times New Roman" w:hAnsi="Times New Roman"/>
          <w:szCs w:val="24"/>
        </w:rPr>
        <w:t xml:space="preserve">could promptly </w:t>
      </w:r>
      <w:r w:rsidR="00E0461A" w:rsidRPr="007A5BBC">
        <w:rPr>
          <w:rFonts w:ascii="Times New Roman" w:hAnsi="Times New Roman"/>
          <w:szCs w:val="24"/>
        </w:rPr>
        <w:t>repossess the collateral and proceed with its non-bankruptcy remedies (foreclosure) if the collateral is not redeemed or reaffirmed</w:t>
      </w:r>
      <w:r w:rsidR="00E0461A">
        <w:rPr>
          <w:rFonts w:ascii="Times New Roman" w:hAnsi="Times New Roman"/>
          <w:szCs w:val="24"/>
        </w:rPr>
        <w:t xml:space="preserve"> – even if the loan is current - if the lender has an </w:t>
      </w:r>
      <w:r w:rsidR="00411A09" w:rsidRPr="007A5BBC">
        <w:rPr>
          <w:rFonts w:ascii="Times New Roman" w:hAnsi="Times New Roman"/>
          <w:szCs w:val="24"/>
        </w:rPr>
        <w:t xml:space="preserve">ipso facto clause in </w:t>
      </w:r>
      <w:r w:rsidR="00E0461A">
        <w:rPr>
          <w:rFonts w:ascii="Times New Roman" w:hAnsi="Times New Roman"/>
          <w:szCs w:val="24"/>
        </w:rPr>
        <w:t xml:space="preserve">its </w:t>
      </w:r>
      <w:r w:rsidR="00411A09" w:rsidRPr="007A5BBC">
        <w:rPr>
          <w:rFonts w:ascii="Times New Roman" w:hAnsi="Times New Roman"/>
          <w:szCs w:val="24"/>
        </w:rPr>
        <w:t>loan documents</w:t>
      </w:r>
      <w:r w:rsidR="00083725">
        <w:rPr>
          <w:rFonts w:ascii="Times New Roman" w:hAnsi="Times New Roman"/>
          <w:szCs w:val="24"/>
        </w:rPr>
        <w:t xml:space="preserve">. </w:t>
      </w:r>
      <w:r w:rsidRPr="007A5BBC">
        <w:rPr>
          <w:rFonts w:ascii="Times New Roman" w:hAnsi="Times New Roman"/>
          <w:szCs w:val="24"/>
        </w:rPr>
        <w:t xml:space="preserve">Because most debtors lack the ability to redeem, the debtor </w:t>
      </w:r>
      <w:r w:rsidR="00411A09" w:rsidRPr="007A5BBC">
        <w:rPr>
          <w:rFonts w:ascii="Times New Roman" w:hAnsi="Times New Roman"/>
          <w:szCs w:val="24"/>
        </w:rPr>
        <w:t xml:space="preserve">who needs the collateral (often a car) </w:t>
      </w:r>
      <w:r w:rsidRPr="007A5BBC">
        <w:rPr>
          <w:rFonts w:ascii="Times New Roman" w:hAnsi="Times New Roman"/>
          <w:szCs w:val="24"/>
        </w:rPr>
        <w:t xml:space="preserve">is left with </w:t>
      </w:r>
      <w:r w:rsidR="00411A09" w:rsidRPr="007A5BBC">
        <w:rPr>
          <w:rFonts w:ascii="Times New Roman" w:hAnsi="Times New Roman"/>
          <w:szCs w:val="24"/>
        </w:rPr>
        <w:t xml:space="preserve">the </w:t>
      </w:r>
      <w:r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r w:rsidR="00E0461A">
        <w:rPr>
          <w:rFonts w:ascii="Times New Roman" w:hAnsi="Times New Roman"/>
          <w:szCs w:val="24"/>
        </w:rPr>
        <w:t>One uncertainty remains, however</w:t>
      </w:r>
      <w:r w:rsidR="00083725">
        <w:rPr>
          <w:rFonts w:ascii="Times New Roman" w:hAnsi="Times New Roman"/>
          <w:szCs w:val="24"/>
        </w:rPr>
        <w:t xml:space="preserve">. </w:t>
      </w:r>
      <w:r w:rsidR="00E0461A">
        <w:rPr>
          <w:rFonts w:ascii="Times New Roman" w:hAnsi="Times New Roman"/>
          <w:szCs w:val="24"/>
        </w:rPr>
        <w:t xml:space="preserve">Would it be legal under state law for a lender to repossess the collateral based on an ipso facto bankruptcy default if the loan is current? </w:t>
      </w:r>
    </w:p>
    <w:p w14:paraId="10BDC5EB" w14:textId="23CF1EFA"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t>exceeds the value of the property, or the payments impose a substantial burden</w:t>
      </w:r>
      <w:r w:rsidR="005F6A8B">
        <w:rPr>
          <w:rFonts w:ascii="Times New Roman" w:hAnsi="Times New Roman"/>
          <w:szCs w:val="24"/>
        </w:rPr>
        <w:t xml:space="preserve">. </w:t>
      </w:r>
      <w:r w:rsidR="00720587" w:rsidRPr="00DA5356">
        <w:rPr>
          <w:rFonts w:ascii="Times New Roman" w:hAnsi="Times New Roman"/>
          <w:i/>
          <w:iCs/>
          <w:szCs w:val="24"/>
        </w:rPr>
        <w:t>See</w:t>
      </w:r>
      <w:r w:rsidR="00C417C3" w:rsidRPr="00DA5356">
        <w:rPr>
          <w:rFonts w:ascii="Times New Roman" w:hAnsi="Times New Roman"/>
          <w:i/>
          <w:iCs/>
          <w:szCs w:val="24"/>
        </w:rPr>
        <w:t xml:space="preserve"> </w:t>
      </w:r>
      <w:r w:rsidR="00C417C3" w:rsidRPr="007A5BBC">
        <w:rPr>
          <w:rFonts w:ascii="Times New Roman" w:hAnsi="Times New Roman"/>
          <w:szCs w:val="24"/>
        </w:rPr>
        <w:t>11 U.S.C. § 524(c)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497950B2"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25"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(4th 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26"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(1st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4E199142"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27"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076B3130"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28"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Va.2007)</w:t>
        </w:r>
      </w:hyperlink>
      <w:r w:rsidRPr="007A5BBC">
        <w:rPr>
          <w:rFonts w:ascii="Times New Roman" w:hAnsi="Times New Roman"/>
          <w:szCs w:val="24"/>
        </w:rPr>
        <w:t xml:space="preserve">; </w:t>
      </w:r>
      <w:hyperlink r:id="rId229"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30"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31"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204CA02A" w:rsidR="00522A7E"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36A9398F" w14:textId="77777777" w:rsidR="007A3B36" w:rsidRPr="007A5BBC" w:rsidRDefault="007A3B36" w:rsidP="0009710D">
      <w:pPr>
        <w:ind w:firstLine="720"/>
        <w:jc w:val="both"/>
        <w:rPr>
          <w:rFonts w:ascii="Times New Roman" w:hAnsi="Times New Roman"/>
          <w:szCs w:val="24"/>
        </w:rPr>
      </w:pPr>
    </w:p>
    <w:p w14:paraId="499FA5DE" w14:textId="4E1615BA" w:rsidR="001A79EA" w:rsidRPr="007A5BBC" w:rsidRDefault="003A2153" w:rsidP="007A3B36">
      <w:pPr>
        <w:pStyle w:val="Heading2"/>
        <w:spacing w:line="240" w:lineRule="auto"/>
      </w:pPr>
      <w:bookmarkStart w:id="4288" w:name="_Toc417380871"/>
      <w:bookmarkStart w:id="4289" w:name="_Toc79699251"/>
      <w:bookmarkStart w:id="4290" w:name="_Toc79699577"/>
      <w:bookmarkStart w:id="4291" w:name="_Toc79699915"/>
      <w:bookmarkStart w:id="4292" w:name="_Toc79700235"/>
      <w:bookmarkStart w:id="4293" w:name="_Toc79700557"/>
      <w:bookmarkStart w:id="4294" w:name="_Toc87039335"/>
      <w:bookmarkStart w:id="4295" w:name="_Toc90983731"/>
      <w:r w:rsidRPr="007A5BBC">
        <w:t>Post-Petition</w:t>
      </w:r>
      <w:r w:rsidR="001A79EA" w:rsidRPr="007A5BBC">
        <w:t xml:space="preserve"> Effect of Security Interests</w:t>
      </w:r>
      <w:r w:rsidR="00CB723B">
        <w:t xml:space="preserve"> – </w:t>
      </w:r>
      <w:r w:rsidR="001A79EA" w:rsidRPr="007A5BBC">
        <w:t>Section 552</w:t>
      </w:r>
      <w:bookmarkStart w:id="4296" w:name="_Toc79693109"/>
      <w:bookmarkStart w:id="4297" w:name="_Toc79693429"/>
      <w:bookmarkStart w:id="4298" w:name="_Toc79693749"/>
      <w:bookmarkStart w:id="4299" w:name="_Toc79694066"/>
      <w:bookmarkStart w:id="4300" w:name="_Toc79694704"/>
      <w:bookmarkStart w:id="4301" w:name="_Toc79695334"/>
      <w:bookmarkStart w:id="4302" w:name="_Toc79697580"/>
      <w:bookmarkStart w:id="4303" w:name="_Hlk90563109"/>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r w:rsidR="007A3B36">
        <w:br/>
      </w:r>
    </w:p>
    <w:bookmarkEnd w:id="4303"/>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5B71CD96"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r w:rsidR="001A79EA" w:rsidRPr="007A5BBC">
        <w:rPr>
          <w:rFonts w:ascii="Times New Roman" w:hAnsi="Times New Roman"/>
          <w:szCs w:val="24"/>
        </w:rPr>
        <w:t>S</w:t>
      </w:r>
      <w:r w:rsidRPr="007A5BBC">
        <w:rPr>
          <w:rFonts w:ascii="Times New Roman" w:hAnsi="Times New Roman"/>
          <w:szCs w:val="24"/>
        </w:rPr>
        <w:t xml:space="preserve">ection 552(a),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 xml:space="preserve">will not be subject to </w:t>
      </w:r>
      <w:r w:rsidR="007D061B">
        <w:rPr>
          <w:rFonts w:ascii="Times New Roman" w:hAnsi="Times New Roman"/>
          <w:szCs w:val="24"/>
        </w:rPr>
        <w:t xml:space="preserve">the </w:t>
      </w:r>
      <w:r w:rsidRPr="007A5BBC">
        <w:rPr>
          <w:rFonts w:ascii="Times New Roman" w:hAnsi="Times New Roman"/>
          <w:szCs w:val="24"/>
        </w:rPr>
        <w:t>secured creditor’s prepetition security interest.</w:t>
      </w:r>
    </w:p>
    <w:p w14:paraId="4B0FD1A0" w14:textId="447AAA3A"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However, Section 552(b)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Section 363(a)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r w:rsidR="000A2D20">
        <w:rPr>
          <w:rFonts w:ascii="Times New Roman" w:hAnsi="Times New Roman"/>
          <w:szCs w:val="24"/>
        </w:rPr>
        <w:t xml:space="preserve">Section 552(b)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54543041" w14:textId="3CCC09B3" w:rsidR="007D061B" w:rsidRDefault="007D061B" w:rsidP="003A2153">
      <w:pPr>
        <w:ind w:firstLine="720"/>
        <w:jc w:val="both"/>
        <w:rPr>
          <w:rFonts w:ascii="Times New Roman" w:hAnsi="Times New Roman"/>
          <w:szCs w:val="24"/>
        </w:rPr>
      </w:pPr>
      <w:r w:rsidRPr="00DD6F96">
        <w:rPr>
          <w:rFonts w:ascii="Times New Roman" w:hAnsi="Times New Roman"/>
          <w:szCs w:val="24"/>
        </w:rPr>
        <w:t xml:space="preserve">The rule recognizes that if </w:t>
      </w:r>
      <w:r>
        <w:rPr>
          <w:rFonts w:ascii="Times New Roman" w:hAnsi="Times New Roman"/>
          <w:szCs w:val="24"/>
        </w:rPr>
        <w:t xml:space="preserve">new collateral grows out of the </w:t>
      </w:r>
      <w:r w:rsidRPr="00DD6F96">
        <w:rPr>
          <w:rFonts w:ascii="Times New Roman" w:hAnsi="Times New Roman"/>
          <w:szCs w:val="24"/>
        </w:rPr>
        <w:t xml:space="preserve">creditor’s </w:t>
      </w:r>
      <w:r>
        <w:rPr>
          <w:rFonts w:ascii="Times New Roman" w:hAnsi="Times New Roman"/>
          <w:szCs w:val="24"/>
        </w:rPr>
        <w:t xml:space="preserve">existing collateral, </w:t>
      </w:r>
      <w:r w:rsidRPr="00DD6F96">
        <w:rPr>
          <w:rFonts w:ascii="Times New Roman" w:hAnsi="Times New Roman"/>
          <w:szCs w:val="24"/>
        </w:rPr>
        <w:t>then the new collateral should continue to be subject to the secured creditor’s security interest</w:t>
      </w:r>
      <w:r>
        <w:rPr>
          <w:rFonts w:ascii="Times New Roman" w:hAnsi="Times New Roman"/>
          <w:szCs w:val="24"/>
        </w:rPr>
        <w:t xml:space="preserve">. However, if money coming subject to the claims of unsecured creditors is used to create </w:t>
      </w:r>
      <w:r w:rsidRPr="00DD6F96">
        <w:rPr>
          <w:rFonts w:ascii="Times New Roman" w:hAnsi="Times New Roman"/>
          <w:szCs w:val="24"/>
        </w:rPr>
        <w:t>new collateral</w:t>
      </w:r>
      <w:r>
        <w:rPr>
          <w:rFonts w:ascii="Times New Roman" w:hAnsi="Times New Roman"/>
          <w:szCs w:val="24"/>
        </w:rPr>
        <w:t xml:space="preserve">, a </w:t>
      </w:r>
      <w:r w:rsidRPr="00DD6F96">
        <w:rPr>
          <w:rFonts w:ascii="Times New Roman" w:hAnsi="Times New Roman"/>
          <w:szCs w:val="24"/>
        </w:rPr>
        <w:t>secured creditor should not receive the benefit of the new collateral</w:t>
      </w:r>
      <w:r>
        <w:rPr>
          <w:rFonts w:ascii="Times New Roman" w:hAnsi="Times New Roman"/>
          <w:szCs w:val="24"/>
        </w:rPr>
        <w:t xml:space="preserve"> because it would be a windfall to the secured creditor at the unsecured creditors’ expense.</w:t>
      </w:r>
    </w:p>
    <w:p w14:paraId="0CAB225F" w14:textId="6631386E" w:rsidR="001A79EA" w:rsidRDefault="00B852BE" w:rsidP="003A2153">
      <w:pPr>
        <w:ind w:firstLine="720"/>
        <w:jc w:val="both"/>
        <w:rPr>
          <w:rFonts w:ascii="Times New Roman" w:hAnsi="Times New Roman"/>
          <w:szCs w:val="24"/>
        </w:rPr>
      </w:pPr>
      <w:r w:rsidRPr="007A5BBC">
        <w:rPr>
          <w:rFonts w:ascii="Times New Roman" w:hAnsi="Times New Roman"/>
          <w:szCs w:val="24"/>
        </w:rPr>
        <w:t xml:space="preserve">Under Section 552,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094EC94D" w14:textId="77777777" w:rsidR="007A3B36" w:rsidRPr="007A5BBC" w:rsidRDefault="007A3B36" w:rsidP="003A2153">
      <w:pPr>
        <w:ind w:firstLine="720"/>
        <w:jc w:val="both"/>
        <w:rPr>
          <w:rFonts w:ascii="Times New Roman" w:hAnsi="Times New Roman"/>
          <w:szCs w:val="24"/>
        </w:rPr>
      </w:pPr>
    </w:p>
    <w:p w14:paraId="56F60D19" w14:textId="7A007723" w:rsidR="006E604E" w:rsidRPr="007A5BBC" w:rsidRDefault="006E604E" w:rsidP="007A3B36">
      <w:pPr>
        <w:pStyle w:val="Heading2"/>
        <w:spacing w:line="240" w:lineRule="auto"/>
      </w:pPr>
      <w:bookmarkStart w:id="4304" w:name="_Toc417380872"/>
      <w:bookmarkStart w:id="4305" w:name="_Toc79699252"/>
      <w:bookmarkStart w:id="4306" w:name="_Toc79699578"/>
      <w:bookmarkStart w:id="4307" w:name="_Toc79699916"/>
      <w:bookmarkStart w:id="4308" w:name="_Toc79700236"/>
      <w:bookmarkStart w:id="4309" w:name="_Toc79700558"/>
      <w:bookmarkStart w:id="4310" w:name="_Toc87039336"/>
      <w:bookmarkStart w:id="4311" w:name="_Toc90983732"/>
      <w:r w:rsidRPr="007A5BBC">
        <w:t>P</w:t>
      </w:r>
      <w:r w:rsidR="00890F11">
        <w:t>ractice Problems</w:t>
      </w:r>
      <w:r w:rsidRPr="007A5BBC">
        <w:t xml:space="preserve">: </w:t>
      </w:r>
      <w:r w:rsidR="00C60FEF">
        <w:t xml:space="preserve">Floating Liens </w:t>
      </w:r>
      <w:bookmarkEnd w:id="4304"/>
      <w:r w:rsidR="00890F11">
        <w:t>in Bankruptcy</w:t>
      </w:r>
      <w:bookmarkStart w:id="4312" w:name="_Toc79693110"/>
      <w:bookmarkStart w:id="4313" w:name="_Toc79693430"/>
      <w:bookmarkStart w:id="4314" w:name="_Toc79693750"/>
      <w:bookmarkStart w:id="4315" w:name="_Toc79694067"/>
      <w:bookmarkStart w:id="4316" w:name="_Toc79694705"/>
      <w:bookmarkStart w:id="4317" w:name="_Toc79695335"/>
      <w:bookmarkStart w:id="4318" w:name="_Toc79697581"/>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r w:rsidR="007A3B36">
        <w:br/>
      </w:r>
    </w:p>
    <w:p w14:paraId="0E541246" w14:textId="11A7DB25" w:rsidR="00890F11" w:rsidRDefault="00890F11" w:rsidP="00CA016D">
      <w:pPr>
        <w:pStyle w:val="0-NORMAL"/>
      </w:pPr>
      <w:r w:rsidRPr="0098672F">
        <w:rPr>
          <w:b/>
        </w:rPr>
        <w:t>Problem 1</w:t>
      </w:r>
      <w:r w:rsidR="00C64143">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49166946" w:rsidR="006E604E" w:rsidRDefault="00890F11" w:rsidP="00CA016D">
      <w:pPr>
        <w:pStyle w:val="0-NORMAL"/>
      </w:pPr>
      <w:r w:rsidRPr="0098672F">
        <w:rPr>
          <w:b/>
        </w:rPr>
        <w:t>Problem 2</w:t>
      </w:r>
      <w:r w:rsidR="00C64143">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7BD18016" w14:textId="77777777" w:rsidR="00C657BD" w:rsidRDefault="00C657BD" w:rsidP="00CA016D">
      <w:pPr>
        <w:pStyle w:val="0-NORMAL"/>
      </w:pPr>
    </w:p>
    <w:p w14:paraId="00333D20" w14:textId="7EEBB770" w:rsidR="003F3F22" w:rsidRPr="007A5BBC" w:rsidRDefault="00AE3EF1" w:rsidP="007A3B36">
      <w:pPr>
        <w:pStyle w:val="Heading2"/>
        <w:spacing w:line="240" w:lineRule="auto"/>
      </w:pPr>
      <w:bookmarkStart w:id="4319" w:name="_Toc417380873"/>
      <w:bookmarkStart w:id="4320" w:name="_Ref421805594"/>
      <w:bookmarkStart w:id="4321" w:name="_Toc79699253"/>
      <w:bookmarkStart w:id="4322" w:name="_Toc79699579"/>
      <w:bookmarkStart w:id="4323" w:name="_Toc79699917"/>
      <w:bookmarkStart w:id="4324" w:name="_Toc79700237"/>
      <w:bookmarkStart w:id="4325" w:name="_Toc79700559"/>
      <w:bookmarkStart w:id="4326" w:name="_Toc87039337"/>
      <w:bookmarkStart w:id="4327" w:name="_Toc90983733"/>
      <w:r w:rsidRPr="007A5BBC">
        <w:t>Relief from Stay and Adequate Protection</w:t>
      </w:r>
      <w:bookmarkStart w:id="4328" w:name="_Toc79693111"/>
      <w:bookmarkStart w:id="4329" w:name="_Toc79693431"/>
      <w:bookmarkStart w:id="4330" w:name="_Toc79693751"/>
      <w:bookmarkStart w:id="4331" w:name="_Toc79694068"/>
      <w:bookmarkStart w:id="4332" w:name="_Toc79694706"/>
      <w:bookmarkStart w:id="4333" w:name="_Toc79695336"/>
      <w:bookmarkStart w:id="4334" w:name="_Toc79697582"/>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r w:rsidR="007A3B36">
        <w:br/>
      </w:r>
    </w:p>
    <w:p w14:paraId="7A6E87A2" w14:textId="1BC66EF9"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The rights of creditors collide with the rights of the debtor and the estate under Section 362(d)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The statute contains two primary grounds for relief from stay: (1) cause, including the lack of adequate protection (§ 362(d)(1)), and (2) lack of equity and necessity for a reorganization (§ 362(d)(2))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1C71C2F2"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are defined in the Bankruptcy Code in any meaningful way</w:t>
      </w:r>
      <w:r w:rsidR="005F6A8B">
        <w:rPr>
          <w:rFonts w:ascii="Times New Roman" w:hAnsi="Times New Roman"/>
          <w:szCs w:val="24"/>
        </w:rPr>
        <w:t xml:space="preserve">. </w:t>
      </w:r>
      <w:r w:rsidRPr="007A5BBC">
        <w:rPr>
          <w:rFonts w:ascii="Times New Roman" w:hAnsi="Times New Roman"/>
          <w:szCs w:val="24"/>
        </w:rPr>
        <w:t>Section 361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33927115"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ganize or obtain maximize</w:t>
      </w:r>
      <w:r w:rsidR="00C64143">
        <w:rPr>
          <w:rFonts w:ascii="Times New Roman" w:hAnsi="Times New Roman"/>
          <w:szCs w:val="24"/>
        </w:rPr>
        <w:t>d</w:t>
      </w:r>
      <w:r w:rsidR="0075675D" w:rsidRPr="007A5BBC">
        <w:rPr>
          <w:rFonts w:ascii="Times New Roman" w:hAnsi="Times New Roman"/>
          <w:szCs w:val="24"/>
        </w:rPr>
        <w:t xml:space="preserv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Is the property insured against casualty loss</w:t>
      </w:r>
      <w:r w:rsidR="00083725" w:rsidRPr="007A5BBC">
        <w:rPr>
          <w:rFonts w:ascii="Times New Roman" w:hAnsi="Times New Roman"/>
          <w:szCs w:val="24"/>
        </w:rPr>
        <w:t xml:space="preserve">? </w:t>
      </w:r>
      <w:r w:rsidR="0064312E" w:rsidRPr="007A5BBC">
        <w:rPr>
          <w:rFonts w:ascii="Times New Roman" w:hAnsi="Times New Roman"/>
          <w:szCs w:val="24"/>
        </w:rPr>
        <w:t>Is the trustee’s use of the property wearing it out to the point that the decline in value threatens the secured creditor’s interest</w:t>
      </w:r>
      <w:r w:rsidR="004751D0" w:rsidRPr="007A5BBC">
        <w:rPr>
          <w:rFonts w:ascii="Times New Roman" w:hAnsi="Times New Roman"/>
          <w:szCs w:val="24"/>
        </w:rPr>
        <w:t xml:space="preserve">? </w:t>
      </w:r>
      <w:r w:rsidR="0064312E" w:rsidRPr="007A5BBC">
        <w:rPr>
          <w:rFonts w:ascii="Times New Roman" w:hAnsi="Times New Roman"/>
          <w:szCs w:val="24"/>
        </w:rPr>
        <w:t xml:space="preserve">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at risk of loss during the bankruptcy case</w:t>
      </w:r>
      <w:r w:rsidR="004751D0" w:rsidRPr="007A5BBC">
        <w:rPr>
          <w:rFonts w:ascii="Times New Roman" w:hAnsi="Times New Roman"/>
          <w:szCs w:val="24"/>
        </w:rPr>
        <w:t xml:space="preserve">? </w:t>
      </w:r>
    </w:p>
    <w:p w14:paraId="58DACF08" w14:textId="3A5E2732"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Must the trustee compensate the creditor for this opportunity loss even though Section 506(b) of the Bankruptcy Code denies the undersecured creditor post-petition interest on its claim</w:t>
      </w:r>
      <w:r w:rsidR="004751D0" w:rsidRPr="007A5BBC">
        <w:rPr>
          <w:rFonts w:ascii="Times New Roman" w:hAnsi="Times New Roman"/>
          <w:szCs w:val="24"/>
        </w:rPr>
        <w:t xml:space="preserve">? </w:t>
      </w:r>
      <w:r w:rsidR="00A12D4B" w:rsidRPr="007A5BBC">
        <w:rPr>
          <w:rFonts w:ascii="Times New Roman" w:hAnsi="Times New Roman"/>
          <w:szCs w:val="24"/>
        </w:rPr>
        <w:t xml:space="preserve">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67C53D30"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Section 506(b)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shion from decline</w:t>
      </w:r>
      <w:r w:rsidR="004751D0" w:rsidRPr="007A5BBC">
        <w:rPr>
          <w:rFonts w:ascii="Times New Roman" w:hAnsi="Times New Roman"/>
          <w:szCs w:val="24"/>
        </w:rPr>
        <w:t xml:space="preserve">? </w:t>
      </w:r>
      <w:r w:rsidR="00816063" w:rsidRPr="007A5BBC">
        <w:rPr>
          <w:rFonts w:ascii="Times New Roman" w:hAnsi="Times New Roman"/>
          <w:szCs w:val="24"/>
        </w:rPr>
        <w:t xml:space="preserve">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2ED572F4" w:rsidR="00A12D4B" w:rsidRPr="007A5BBC" w:rsidRDefault="00966CE1" w:rsidP="003A2153">
      <w:pPr>
        <w:ind w:firstLine="720"/>
        <w:jc w:val="both"/>
        <w:rPr>
          <w:rFonts w:ascii="Times New Roman" w:hAnsi="Times New Roman"/>
          <w:szCs w:val="24"/>
        </w:rPr>
      </w:pPr>
      <w:r w:rsidRPr="007A5BBC">
        <w:rPr>
          <w:rFonts w:ascii="Times New Roman" w:hAnsi="Times New Roman"/>
          <w:szCs w:val="24"/>
        </w:rPr>
        <w:t>Section 362(d)(2) contains an alternative basis for relief from stay</w:t>
      </w:r>
      <w:r w:rsidR="005F6A8B">
        <w:rPr>
          <w:rFonts w:ascii="Times New Roman" w:hAnsi="Times New Roman"/>
          <w:szCs w:val="24"/>
        </w:rPr>
        <w:t xml:space="preserve">. </w:t>
      </w:r>
      <w:r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4751D0" w:rsidRPr="007A5BBC">
        <w:rPr>
          <w:rFonts w:ascii="Times New Roman" w:hAnsi="Times New Roman"/>
          <w:szCs w:val="24"/>
        </w:rPr>
        <w:t xml:space="preserve">? </w:t>
      </w:r>
      <w:r w:rsidR="00A161D5" w:rsidRPr="007A5BBC">
        <w:rPr>
          <w:rFonts w:ascii="Times New Roman" w:hAnsi="Times New Roman"/>
          <w:szCs w:val="24"/>
        </w:rPr>
        <w:t xml:space="preserve">Is it enough for the debtor/trustee to show that </w:t>
      </w:r>
      <w:r w:rsidR="00F7194B" w:rsidRPr="007A5BBC">
        <w:rPr>
          <w:rFonts w:ascii="Times New Roman" w:hAnsi="Times New Roman"/>
          <w:szCs w:val="24"/>
        </w:rPr>
        <w:t>the property would be needed for any reorganization to occur</w:t>
      </w:r>
      <w:r w:rsidR="004751D0" w:rsidRPr="007A5BBC">
        <w:rPr>
          <w:rFonts w:ascii="Times New Roman" w:hAnsi="Times New Roman"/>
          <w:szCs w:val="24"/>
        </w:rPr>
        <w:t xml:space="preserve">? </w:t>
      </w:r>
      <w:r w:rsidR="00A161D5" w:rsidRPr="007A5BBC">
        <w:rPr>
          <w:rFonts w:ascii="Times New Roman" w:hAnsi="Times New Roman"/>
          <w:szCs w:val="24"/>
        </w:rPr>
        <w:t>Can the secured creditor be stalled for years while the court waits to see if a reorganization plan can be confirmed</w:t>
      </w:r>
      <w:r w:rsidR="004751D0" w:rsidRPr="007A5BBC">
        <w:rPr>
          <w:rFonts w:ascii="Times New Roman" w:hAnsi="Times New Roman"/>
          <w:szCs w:val="24"/>
        </w:rPr>
        <w:t xml:space="preserve">?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269C0746"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w:t>
      </w:r>
      <w:r w:rsidR="001E102A">
        <w:rPr>
          <w:rFonts w:ascii="Times New Roman" w:hAnsi="Times New Roman"/>
          <w:szCs w:val="24"/>
        </w:rPr>
        <w:t xml:space="preserve">Supreme Court in the </w:t>
      </w:r>
      <w:r w:rsidR="001E102A" w:rsidRPr="001E102A">
        <w:rPr>
          <w:rFonts w:ascii="Times New Roman" w:hAnsi="Times New Roman"/>
          <w:i/>
          <w:szCs w:val="24"/>
        </w:rPr>
        <w:t>Timbers</w:t>
      </w:r>
      <w:r w:rsidR="001E102A">
        <w:rPr>
          <w:rFonts w:ascii="Times New Roman" w:hAnsi="Times New Roman"/>
          <w:szCs w:val="24"/>
        </w:rPr>
        <w:t xml:space="preserve"> decision, </w:t>
      </w:r>
      <w:r w:rsidR="00A6661B" w:rsidRPr="007A5BBC">
        <w:rPr>
          <w:rFonts w:ascii="Times New Roman" w:hAnsi="Times New Roman"/>
          <w:szCs w:val="24"/>
        </w:rPr>
        <w:t xml:space="preserve">there remain difficult factual questions </w:t>
      </w:r>
      <w:r w:rsidRPr="007A5BBC">
        <w:rPr>
          <w:rFonts w:ascii="Times New Roman" w:hAnsi="Times New Roman"/>
          <w:szCs w:val="24"/>
        </w:rPr>
        <w:t xml:space="preserve">for the 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001E102A">
        <w:rPr>
          <w:rFonts w:ascii="Times New Roman" w:hAnsi="Times New Roman"/>
          <w:szCs w:val="24"/>
        </w:rPr>
        <w:t>First, d</w:t>
      </w:r>
      <w:r w:rsidRPr="007A5BBC">
        <w:rPr>
          <w:rFonts w:ascii="Times New Roman" w:hAnsi="Times New Roman"/>
          <w:szCs w:val="24"/>
        </w:rPr>
        <w:t xml:space="preserve">etermining </w:t>
      </w:r>
      <w:r w:rsidR="001E102A">
        <w:rPr>
          <w:rFonts w:ascii="Times New Roman" w:hAnsi="Times New Roman"/>
          <w:szCs w:val="24"/>
        </w:rPr>
        <w:t xml:space="preserve">the </w:t>
      </w:r>
      <w:r w:rsidRPr="007A5BBC">
        <w:rPr>
          <w:rFonts w:ascii="Times New Roman" w:hAnsi="Times New Roman"/>
          <w:szCs w:val="24"/>
        </w:rPr>
        <w:t xml:space="preserve">fair market value </w:t>
      </w:r>
      <w:r w:rsidR="001E102A">
        <w:rPr>
          <w:rFonts w:ascii="Times New Roman" w:hAnsi="Times New Roman"/>
          <w:szCs w:val="24"/>
        </w:rPr>
        <w:t>of the collateral</w:t>
      </w:r>
      <w:r w:rsidR="00A6661B" w:rsidRPr="007A5BBC">
        <w:rPr>
          <w:rFonts w:ascii="Times New Roman" w:hAnsi="Times New Roman"/>
          <w:szCs w:val="24"/>
        </w:rPr>
        <w:t xml:space="preserve">, in order to determine whether the Debtor has equity in the </w:t>
      </w:r>
      <w:r w:rsidR="001E102A">
        <w:rPr>
          <w:rFonts w:ascii="Times New Roman" w:hAnsi="Times New Roman"/>
          <w:szCs w:val="24"/>
        </w:rPr>
        <w:t xml:space="preserve">collateral,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ow much would the property sell for if it were offered for sale</w:t>
      </w:r>
      <w:r w:rsidR="004751D0" w:rsidRPr="007A5BBC">
        <w:rPr>
          <w:rFonts w:ascii="Times New Roman" w:hAnsi="Times New Roman"/>
          <w:szCs w:val="24"/>
        </w:rPr>
        <w:t xml:space="preserv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 xml:space="preserve">write lengthy reports </w:t>
      </w:r>
      <w:r w:rsidR="001E102A">
        <w:rPr>
          <w:rFonts w:ascii="Times New Roman" w:hAnsi="Times New Roman"/>
          <w:szCs w:val="24"/>
        </w:rPr>
        <w:t xml:space="preserve">estimating value. There are usually three approaches to value used in the reports: (1) the cost approach estimates </w:t>
      </w:r>
      <w:r w:rsidRPr="007A5BBC">
        <w:rPr>
          <w:rFonts w:ascii="Times New Roman" w:hAnsi="Times New Roman"/>
          <w:szCs w:val="24"/>
        </w:rPr>
        <w:t>the co</w:t>
      </w:r>
      <w:r w:rsidR="001E102A">
        <w:rPr>
          <w:rFonts w:ascii="Times New Roman" w:hAnsi="Times New Roman"/>
          <w:szCs w:val="24"/>
        </w:rPr>
        <w:t xml:space="preserve">st of duplicating the property. (2) The income approach estimates </w:t>
      </w:r>
      <w:r w:rsidRPr="007A5BBC">
        <w:rPr>
          <w:rFonts w:ascii="Times New Roman" w:hAnsi="Times New Roman"/>
          <w:szCs w:val="24"/>
        </w:rPr>
        <w:t>the present value of the income stream generated from the property</w:t>
      </w:r>
      <w:r w:rsidR="001E102A">
        <w:rPr>
          <w:rFonts w:ascii="Times New Roman" w:hAnsi="Times New Roman"/>
          <w:szCs w:val="24"/>
        </w:rPr>
        <w:t xml:space="preserve"> using uncertain discount rates, uncertain </w:t>
      </w:r>
      <w:r w:rsidRPr="007A5BBC">
        <w:rPr>
          <w:rFonts w:ascii="Times New Roman" w:hAnsi="Times New Roman"/>
          <w:szCs w:val="24"/>
        </w:rPr>
        <w:t>assumptions about future income</w:t>
      </w:r>
      <w:r w:rsidR="001E102A">
        <w:rPr>
          <w:rFonts w:ascii="Times New Roman" w:hAnsi="Times New Roman"/>
          <w:szCs w:val="24"/>
        </w:rPr>
        <w:t xml:space="preserve"> and expenses</w:t>
      </w:r>
      <w:r w:rsidRPr="007A5BBC">
        <w:rPr>
          <w:rFonts w:ascii="Times New Roman" w:hAnsi="Times New Roman"/>
          <w:szCs w:val="24"/>
        </w:rPr>
        <w:t xml:space="preserve">, </w:t>
      </w:r>
      <w:r w:rsidR="001E102A">
        <w:rPr>
          <w:rFonts w:ascii="Times New Roman" w:hAnsi="Times New Roman"/>
          <w:szCs w:val="24"/>
        </w:rPr>
        <w:t>and uncertain terminal values. (3) The report compare</w:t>
      </w:r>
      <w:r w:rsidR="00C64143">
        <w:rPr>
          <w:rFonts w:ascii="Times New Roman" w:hAnsi="Times New Roman"/>
          <w:szCs w:val="24"/>
        </w:rPr>
        <w:t>s</w:t>
      </w:r>
      <w:r w:rsidR="001E102A">
        <w:rPr>
          <w:rFonts w:ascii="Times New Roman" w:hAnsi="Times New Roman"/>
          <w:szCs w:val="24"/>
        </w:rPr>
        <w:t xml:space="preserve"> </w:t>
      </w:r>
      <w:r w:rsidRPr="007A5BBC">
        <w:rPr>
          <w:rFonts w:ascii="Times New Roman" w:hAnsi="Times New Roman"/>
          <w:szCs w:val="24"/>
        </w:rPr>
        <w:t>market sales of different properties</w:t>
      </w:r>
      <w:r w:rsidR="001E102A">
        <w:rPr>
          <w:rFonts w:ascii="Times New Roman" w:hAnsi="Times New Roman"/>
          <w:szCs w:val="24"/>
        </w:rPr>
        <w:t xml:space="preserve">, making discretionary adjustments for differences between the comparable and the subject property, </w:t>
      </w:r>
      <w:r w:rsidR="00E660B0" w:rsidRPr="007A5BBC">
        <w:rPr>
          <w:rFonts w:ascii="Times New Roman" w:hAnsi="Times New Roman"/>
          <w:szCs w:val="24"/>
        </w:rPr>
        <w:t xml:space="preserve">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must determine which experts to believe</w:t>
      </w:r>
      <w:r w:rsidR="005F6A8B">
        <w:rPr>
          <w:rFonts w:ascii="Times New Roman" w:hAnsi="Times New Roman"/>
          <w:szCs w:val="24"/>
        </w:rPr>
        <w:t xml:space="preserve">. </w:t>
      </w:r>
      <w:r w:rsidR="00E660B0" w:rsidRPr="007A5BBC">
        <w:rPr>
          <w:rFonts w:ascii="Times New Roman" w:hAnsi="Times New Roman"/>
          <w:szCs w:val="24"/>
        </w:rPr>
        <w:t xml:space="preserve">The battle of experts is expensive for all concerned, and has often led with the benefit of hindsight to incorrect </w:t>
      </w:r>
      <w:r w:rsidR="001E102A">
        <w:rPr>
          <w:rFonts w:ascii="Times New Roman" w:hAnsi="Times New Roman"/>
          <w:szCs w:val="24"/>
        </w:rPr>
        <w:t>decisions by the courts</w:t>
      </w:r>
      <w:r w:rsidR="004751D0">
        <w:rPr>
          <w:rFonts w:ascii="Times New Roman" w:hAnsi="Times New Roman"/>
          <w:szCs w:val="24"/>
        </w:rPr>
        <w:t xml:space="preserve">. </w:t>
      </w:r>
    </w:p>
    <w:p w14:paraId="4C3643B3" w14:textId="17CA4F29" w:rsidR="00E660B0"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court gets the valuation wrong</w:t>
      </w:r>
      <w:r w:rsidR="004751D0" w:rsidRPr="007A5BBC">
        <w:rPr>
          <w:rFonts w:ascii="Times New Roman" w:hAnsi="Times New Roman"/>
          <w:szCs w:val="24"/>
        </w:rPr>
        <w:t xml:space="preserve">? </w:t>
      </w:r>
      <w:r w:rsidRPr="007A5BBC">
        <w:rPr>
          <w:rFonts w:ascii="Times New Roman" w:hAnsi="Times New Roman"/>
          <w:szCs w:val="24"/>
        </w:rPr>
        <w:t xml:space="preserve">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w:t>
      </w:r>
      <w:r w:rsidR="001E102A">
        <w:rPr>
          <w:rFonts w:ascii="Times New Roman" w:hAnsi="Times New Roman"/>
          <w:szCs w:val="24"/>
        </w:rPr>
        <w:t xml:space="preserve"> to foreclosure</w:t>
      </w:r>
      <w:r w:rsidR="0092446A">
        <w:rPr>
          <w:rFonts w:ascii="Times New Roman" w:hAnsi="Times New Roman"/>
          <w:szCs w:val="24"/>
        </w:rPr>
        <w:t>, and with it a prospect for reorganization</w:t>
      </w:r>
      <w:r w:rsidR="001E102A">
        <w:rPr>
          <w:rFonts w:ascii="Times New Roman" w:hAnsi="Times New Roman"/>
          <w:szCs w:val="24"/>
        </w:rPr>
        <w:t xml:space="preserve"> or profit for the unsecured creditors</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Section 507(b)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r w:rsidR="00A6661B" w:rsidRPr="007A5BBC">
        <w:rPr>
          <w:rFonts w:ascii="Times New Roman" w:hAnsi="Times New Roman"/>
          <w:szCs w:val="24"/>
        </w:rPr>
        <w:t xml:space="preserve">Section 507(b) </w:t>
      </w:r>
      <w:r w:rsidRPr="007A5BBC">
        <w:rPr>
          <w:rFonts w:ascii="Times New Roman" w:hAnsi="Times New Roman"/>
          <w:szCs w:val="24"/>
        </w:rPr>
        <w:t>in a surprisingly limited way.</w:t>
      </w:r>
    </w:p>
    <w:p w14:paraId="474B8454" w14:textId="77777777" w:rsidR="007A3B36" w:rsidRPr="007A5BBC" w:rsidRDefault="007A3B36" w:rsidP="003A2153">
      <w:pPr>
        <w:ind w:firstLine="720"/>
        <w:jc w:val="both"/>
        <w:rPr>
          <w:rFonts w:ascii="Times New Roman" w:hAnsi="Times New Roman"/>
          <w:szCs w:val="24"/>
        </w:rPr>
      </w:pPr>
    </w:p>
    <w:p w14:paraId="66B5E161" w14:textId="5544D640" w:rsidR="007E15BF" w:rsidRPr="0092446A" w:rsidRDefault="00646EC9" w:rsidP="007A3B36">
      <w:pPr>
        <w:pStyle w:val="Heading2"/>
        <w:spacing w:line="240" w:lineRule="auto"/>
      </w:pPr>
      <w:bookmarkStart w:id="4335" w:name="_Toc417380874"/>
      <w:bookmarkStart w:id="4336" w:name="_Toc79699254"/>
      <w:bookmarkStart w:id="4337" w:name="_Toc79699580"/>
      <w:bookmarkStart w:id="4338" w:name="_Toc79699918"/>
      <w:bookmarkStart w:id="4339" w:name="_Toc79700238"/>
      <w:bookmarkStart w:id="4340" w:name="_Toc79700560"/>
      <w:bookmarkStart w:id="4341" w:name="_Toc87039338"/>
      <w:bookmarkStart w:id="4342" w:name="_Toc90983734"/>
      <w:r>
        <w:t>Cases on</w:t>
      </w:r>
      <w:r w:rsidR="00E90A56" w:rsidRPr="007A5BBC">
        <w:t xml:space="preserve"> Relief from Stay</w:t>
      </w:r>
      <w:bookmarkStart w:id="4343" w:name="_Toc79693112"/>
      <w:bookmarkStart w:id="4344" w:name="_Toc79693432"/>
      <w:bookmarkStart w:id="4345" w:name="_Toc79693752"/>
      <w:bookmarkStart w:id="4346" w:name="_Toc79694069"/>
      <w:bookmarkStart w:id="4347" w:name="_Toc79694707"/>
      <w:bookmarkStart w:id="4348" w:name="_Toc79695337"/>
      <w:bookmarkStart w:id="4349" w:name="_Toc79697583"/>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r w:rsidR="007A3B36">
        <w:br/>
      </w:r>
    </w:p>
    <w:p w14:paraId="6922B7C7" w14:textId="4E653BB8" w:rsidR="00E90A56" w:rsidRPr="007A3B36" w:rsidRDefault="007C1024" w:rsidP="007A3B36">
      <w:pPr>
        <w:pStyle w:val="Heading3"/>
        <w:rPr>
          <w:u w:val="single"/>
        </w:rPr>
      </w:pPr>
      <w:hyperlink r:id="rId232" w:history="1">
        <w:bookmarkStart w:id="4350" w:name="_Toc87039339"/>
        <w:bookmarkStart w:id="4351" w:name="_Toc90983735"/>
        <w:r w:rsidR="00E90A56" w:rsidRPr="007A3B36">
          <w:rPr>
            <w:rStyle w:val="Hyperlink"/>
          </w:rPr>
          <w:t>U</w:t>
        </w:r>
        <w:r w:rsidR="00890F11" w:rsidRPr="007A3B36">
          <w:rPr>
            <w:rStyle w:val="Hyperlink"/>
          </w:rPr>
          <w:t xml:space="preserve">NITED SAVINGS v. TIMBERS OF INWOOD FOREST, </w:t>
        </w:r>
        <w:r w:rsidR="00E90A56" w:rsidRPr="007A3B36">
          <w:rPr>
            <w:rStyle w:val="Hyperlink"/>
          </w:rPr>
          <w:t>484 U.S. 365 (1988)</w:t>
        </w:r>
        <w:bookmarkEnd w:id="4350"/>
        <w:bookmarkEnd w:id="4351"/>
      </w:hyperlink>
      <w:bookmarkStart w:id="4352" w:name="_Toc79693113"/>
      <w:bookmarkStart w:id="4353" w:name="_Toc79693433"/>
      <w:bookmarkStart w:id="4354" w:name="_Toc79693753"/>
      <w:bookmarkStart w:id="4355" w:name="_Toc79694070"/>
      <w:bookmarkStart w:id="4356" w:name="_Toc79694388"/>
      <w:bookmarkStart w:id="4357" w:name="_Toc79694708"/>
      <w:bookmarkStart w:id="4358" w:name="_Toc79695022"/>
      <w:bookmarkStart w:id="4359" w:name="_Toc79695338"/>
      <w:bookmarkStart w:id="4360" w:name="_Toc79695654"/>
      <w:bookmarkStart w:id="4361" w:name="_Toc79695970"/>
      <w:bookmarkStart w:id="4362" w:name="_Toc79696286"/>
      <w:bookmarkStart w:id="4363" w:name="_Toc79696602"/>
      <w:bookmarkStart w:id="4364" w:name="_Toc79696923"/>
      <w:bookmarkStart w:id="4365" w:name="_Toc79697255"/>
      <w:bookmarkStart w:id="4366" w:name="_Toc79697584"/>
      <w:bookmarkStart w:id="4367" w:name="_Toc79699255"/>
      <w:bookmarkStart w:id="4368" w:name="_Toc79699581"/>
      <w:bookmarkStart w:id="4369" w:name="_Toc79699919"/>
      <w:bookmarkStart w:id="4370" w:name="_Toc79700239"/>
      <w:bookmarkStart w:id="4371" w:name="_Toc79700561"/>
      <w:bookmarkStart w:id="4372" w:name="_Toc79700883"/>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r w:rsidR="007A3B36" w:rsidRPr="007A3B36">
        <w:rPr>
          <w:rStyle w:val="Hyperlink"/>
        </w:rPr>
        <w:br/>
      </w:r>
    </w:p>
    <w:p w14:paraId="4759AA26" w14:textId="7E69114A" w:rsidR="00E90A56" w:rsidRPr="007A5BBC" w:rsidRDefault="00AB3EFD" w:rsidP="00E90A56">
      <w:pPr>
        <w:ind w:firstLine="720"/>
        <w:rPr>
          <w:rFonts w:ascii="Times New Roman" w:hAnsi="Times New Roman"/>
          <w:szCs w:val="24"/>
        </w:rPr>
      </w:pPr>
      <w:r w:rsidRPr="007A5BBC">
        <w:rPr>
          <w:rFonts w:ascii="Times New Roman" w:hAnsi="Times New Roman"/>
          <w:szCs w:val="24"/>
        </w:rPr>
        <w:t xml:space="preserve">JUSTICE </w:t>
      </w:r>
      <w:r w:rsidR="00E90A56" w:rsidRPr="007A5BBC">
        <w:rPr>
          <w:rFonts w:ascii="Times New Roman" w:hAnsi="Times New Roman"/>
          <w:szCs w:val="24"/>
        </w:rPr>
        <w:t>SCALIA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Respondent had agreed to pay petitioner the postpetition rents from the apartment project (covered by the after-acquired property clause in the security agreement), minus operating 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We granted certiorari to determine whether undersecured creditors are entitled to compensation under 11 U.S.C. 362(d)(1) for the delay caused by the automatic stay in foreclosing on their collateral.</w:t>
      </w:r>
    </w:p>
    <w:p w14:paraId="23CCC075" w14:textId="7777777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It is common ground that the "interest in property" referred to by § 362(d)(1)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 362(d)(1), to cash payments or additional security in the amount of the decline, as § 361 describes. The crux of the present dispute 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5F5E890B"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The term "interest in property" certainly summons up such concepts as "fee ownership," "life estate," "co-ownership," and "security interest" more readily than it does the notion of "right to immediate foreclosure." Nonetheless, viewed in the isolated context of § 362(d)(1),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substantive effect that is compatible with the rest of the law. That is the case here. Section 362(d)(1) is only one of a series of provisions in the Bankruptcy Code dealing with the rights of secured creditors. The language in those other provisions, and the substantive dispositions that they effect, persuade us that the "interest in property" protected by § 362(d)(1) does not include a secured party's right to immediate foreclosure.</w:t>
      </w:r>
    </w:p>
    <w:p w14:paraId="3D1F37E1" w14:textId="310E14E3"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506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Pr="007A5BBC">
        <w:rPr>
          <w:rFonts w:ascii="Times New Roman" w:hAnsi="Times New Roman"/>
          <w:szCs w:val="24"/>
        </w:rPr>
        <w:t>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 506(a) means "the value of the collateral." H.R.Rep. No. 95-595, pp. 181, 356 (1977); We think the phrase "value of such entity's interest" in § 361(1) and (2), when applied to secured creditors, means the same.</w:t>
      </w:r>
    </w:p>
    <w:p w14:paraId="78C4A382" w14:textId="6F6CFE5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Even more important for our purposes than § 506's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Section 506(b) </w:t>
      </w:r>
      <w:r w:rsidR="00485437" w:rsidRPr="007A5BBC">
        <w:rPr>
          <w:rFonts w:ascii="Times New Roman" w:hAnsi="Times New Roman"/>
          <w:szCs w:val="24"/>
        </w:rPr>
        <w:t xml:space="preserve">. . . </w:t>
      </w:r>
      <w:r w:rsidRPr="007A5BBC">
        <w:rPr>
          <w:rFonts w:ascii="Times New Roman" w:hAnsi="Times New Roman"/>
          <w:szCs w:val="24"/>
        </w:rPr>
        <w:t>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 362(d)(1). Instead of the intricate phraseology set forth above, § 506(b) would simply have said that the secured creditor is entitled to interest "on his allowed claim, or on the value of the property securing his allowed claim, whichever is lesser." Petitioner's interpretation of § 362(d)(1) must be regarded as contradicting the carefully drawn disposition of § 506(b).</w:t>
      </w:r>
    </w:p>
    <w:p w14:paraId="64936FF2" w14:textId="6BF40007"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 506(b)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bankruptcy law. Section 506(b)'s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33"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It was considered unfair to allow an undersecured creditor to recover interest from the estate's unencumbered assets before unsecured creditors had recovered any principal. We think it unlikely that § 506(b)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 362(d)(1) at the inception of the reorganization process—thereby probably pushing the estate into liquidation—but not if they forbear and seek it only at the completion of the reorganization.</w:t>
      </w:r>
    </w:p>
    <w:p w14:paraId="6C2EDDCE" w14:textId="75D3B92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Second, petitioner's interpretation of § 362(d)(1) is structurally inconsistent with 11 U.S.C. 552. Section 552(a) states the general rule that a prepetition security interest does not reach property acquired by the estate or debtor postpetition. Section 552(b) sets forth an exception, allowing postpetition "proceeds, product, offspring, rents, or profits" of the collateral to be covered only if the security agreement expressly provides for an interest in such property, and the interest has been perfected under "applicable nonbankruptcy law." Section 552(b) therefore makes possession of a perfected security interest in postpetition rents or profits from collateral a condition of having them applied to satisfying the claim of the secured creditor ahead of the claims of unsecured creditors. Under petitioner's interpretation, however, the undersecured creditor who lacks such a perfected security interest in effect achieves the same result by demanding the "use value" of his collateral under § 362. It is true that § 506(b) gives the over secured creditor, despite lack of compliance with the conditions of § 552, a similar priority over unsecured creditors; but that does not compromise the principle of § 552, since the interest payments come only out of the "cushion" in which the oversecured creditor does have a perfected security interest.</w:t>
      </w:r>
    </w:p>
    <w:p w14:paraId="65137298" w14:textId="5671F3F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Third, petitioner's interpretation of § 362(d)(1) makes nonsense of § 362(d)(2). On petitioner's theory, the undersecured creditor's inability to take immediate possession of his collateral is always "cause" for conditioning the stay (upon the payment of market rate interest) under § 362(d)(1), since there is, within the meaning of that paragraph, "lack of adequate protection of an interest in property." But § 362(d)(2) expressly provides a different standard for relief from a stay "of an act against property," which of course includes taking possession of collateral. By applying the "adequate protection of an interest in property" provision of § 362(d)(1) to the alleged "interest" in the earning power of collateral, petitioner creates the strange consequence that § 362 entitles the secured creditor to relief from the stay (1) if he is undersecured (and thus not eligible for interest under § 506(b)), or (2) if he is undersecured and his collateral "is not necessary to an effective reorganization." This renders § 362(d)(2) a practical nullity and a theoretical absurdity. If § 362(d)(1) is interpreted in this fashion, an undersecured creditor would seek relief under § 362(d)(2)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401320AA"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Section 362(d)(2) also belies petitioner's contention that undersecured creditors will face inordinate and extortionate delay if they are denied compensation for interest lost during the stay as part of "adequate protection" under § 362(d)(1). Once the movant under § 362(d)(2) establishes that he is an undersecured creditor, it is the burden of the debtor to establish that the collateral at issue is "necessary to an effective reorganization." See § 362(g). </w:t>
      </w:r>
      <w:bookmarkStart w:id="4373" w:name="OLE_LINK102"/>
      <w:bookmarkStart w:id="4374" w:name="OLE_LINK103"/>
      <w:r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Pr="007A5BBC">
        <w:rPr>
          <w:rFonts w:ascii="Times New Roman" w:hAnsi="Times New Roman"/>
          <w:szCs w:val="24"/>
        </w:rPr>
        <w:t xml:space="preserve"> This means, as many lower courts, including the en banc court in this case, have properly said, that </w:t>
      </w:r>
      <w:r w:rsidRPr="007A5BBC">
        <w:rPr>
          <w:rFonts w:ascii="Times New Roman" w:hAnsi="Times New Roman"/>
          <w:b/>
          <w:szCs w:val="24"/>
        </w:rPr>
        <w:t>there must be "a reasonable possibility of a successful reorganization within a reasonable time</w:t>
      </w:r>
      <w:r w:rsidRPr="007A5BBC">
        <w:rPr>
          <w:rFonts w:ascii="Times New Roman" w:hAnsi="Times New Roman"/>
          <w:szCs w:val="24"/>
        </w:rPr>
        <w:t xml:space="preserve">." </w:t>
      </w:r>
      <w:bookmarkEnd w:id="4373"/>
      <w:bookmarkEnd w:id="4374"/>
      <w:r w:rsidRPr="007A5BBC">
        <w:rPr>
          <w:rFonts w:ascii="Times New Roman" w:hAnsi="Times New Roman"/>
          <w:szCs w:val="24"/>
        </w:rPr>
        <w:t xml:space="preserve">The </w:t>
      </w:r>
      <w:bookmarkStart w:id="4375" w:name="OLE_LINK104"/>
      <w:bookmarkStart w:id="4376" w:name="OLE_LINK105"/>
      <w:r w:rsidRPr="007A5BBC">
        <w:rPr>
          <w:rFonts w:ascii="Times New Roman" w:hAnsi="Times New Roman"/>
          <w:szCs w:val="24"/>
        </w:rPr>
        <w:t>cases are numerous in which § 362(d)(2) relief has been provided within less than a year from the filing of the bankruptcy petition. And while the bankruptcy courts demand less detailed showings during the four months in which the debtor is given the exclusive right to put together a plan, see 11 U.S.C. 1121(b), (c)(2), even within that period lack of any realistic prospect of effective reorganization wi</w:t>
      </w:r>
      <w:r w:rsidR="00485437" w:rsidRPr="007A5BBC">
        <w:rPr>
          <w:rFonts w:ascii="Times New Roman" w:hAnsi="Times New Roman"/>
          <w:szCs w:val="24"/>
        </w:rPr>
        <w:t xml:space="preserve">ll require § 362(d)(2) relief. </w:t>
      </w:r>
    </w:p>
    <w:bookmarkEnd w:id="4375"/>
    <w:bookmarkEnd w:id="4376"/>
    <w:p w14:paraId="746070B0" w14:textId="6EDA131A" w:rsidR="007C7C82" w:rsidRDefault="00E90A56" w:rsidP="0009710D">
      <w:pPr>
        <w:ind w:firstLine="720"/>
        <w:jc w:val="both"/>
        <w:rPr>
          <w:rFonts w:ascii="Times New Roman" w:hAnsi="Times New Roman"/>
          <w:szCs w:val="24"/>
        </w:rPr>
      </w:pPr>
      <w:r w:rsidRPr="007A5BBC">
        <w:rPr>
          <w:rFonts w:ascii="Times New Roman" w:hAnsi="Times New Roman"/>
          <w:szCs w:val="24"/>
        </w:rPr>
        <w:t>The Fifth Circuit correctly held that the undersecured petitioner is not entitled to interest on its collateral during the stay to assure adequate protection under 11 U.S.C. 362(d)(1). Petitioner has never sought relief from the stay under § 362(d)(2)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43ADA0E3" w14:textId="77777777" w:rsidR="00280D22" w:rsidRPr="007A5BBC" w:rsidRDefault="00280D22" w:rsidP="0009710D">
      <w:pPr>
        <w:ind w:firstLine="720"/>
        <w:jc w:val="both"/>
        <w:rPr>
          <w:rFonts w:ascii="Times New Roman" w:hAnsi="Times New Roman"/>
          <w:szCs w:val="24"/>
        </w:rPr>
      </w:pPr>
    </w:p>
    <w:p w14:paraId="664D204A" w14:textId="268CE4D1" w:rsidR="004D5E30" w:rsidRPr="002D0AA1" w:rsidRDefault="007C1024" w:rsidP="00D95675">
      <w:pPr>
        <w:pStyle w:val="Heading3"/>
        <w:rPr>
          <w:u w:val="single"/>
        </w:rPr>
      </w:pPr>
      <w:hyperlink r:id="rId234" w:history="1">
        <w:bookmarkStart w:id="4377" w:name="_Toc87039340"/>
        <w:bookmarkStart w:id="4378" w:name="_Toc90983736"/>
        <w:r w:rsidR="004D5E30" w:rsidRPr="002D0AA1">
          <w:rPr>
            <w:rStyle w:val="Hyperlink"/>
          </w:rPr>
          <w:t>B</w:t>
        </w:r>
        <w:r w:rsidR="00890F11" w:rsidRPr="002D0AA1">
          <w:rPr>
            <w:rStyle w:val="Hyperlink"/>
          </w:rPr>
          <w:t>ANKERS LIFE INS</w:t>
        </w:r>
        <w:r w:rsidR="00850A70" w:rsidRPr="002D0AA1">
          <w:rPr>
            <w:rStyle w:val="Hyperlink"/>
          </w:rPr>
          <w:t xml:space="preserve">. </w:t>
        </w:r>
        <w:r w:rsidR="00890F11" w:rsidRPr="002D0AA1">
          <w:rPr>
            <w:rStyle w:val="Hyperlink"/>
          </w:rPr>
          <w:t xml:space="preserve">CO., v. ALYUCAN INTERSTATE CORP., </w:t>
        </w:r>
        <w:r w:rsidR="004D5E30" w:rsidRPr="002D0AA1">
          <w:rPr>
            <w:rStyle w:val="Hyperlink"/>
          </w:rPr>
          <w:t>12 B.R. 803 (Bankr</w:t>
        </w:r>
        <w:r w:rsidR="0020301B" w:rsidRPr="002D0AA1">
          <w:rPr>
            <w:rStyle w:val="Hyperlink"/>
          </w:rPr>
          <w:t>.</w:t>
        </w:r>
        <w:r w:rsidR="004D5E30" w:rsidRPr="002D0AA1">
          <w:rPr>
            <w:rStyle w:val="Hyperlink"/>
          </w:rPr>
          <w:t xml:space="preserve"> D. Utah 1981)</w:t>
        </w:r>
        <w:bookmarkEnd w:id="4377"/>
        <w:bookmarkEnd w:id="4378"/>
      </w:hyperlink>
      <w:bookmarkStart w:id="4379" w:name="_Toc79693114"/>
      <w:bookmarkStart w:id="4380" w:name="_Toc79693434"/>
      <w:bookmarkStart w:id="4381" w:name="_Toc79693754"/>
      <w:bookmarkStart w:id="4382" w:name="_Toc79694071"/>
      <w:bookmarkStart w:id="4383" w:name="_Toc79694389"/>
      <w:bookmarkStart w:id="4384" w:name="_Toc79694709"/>
      <w:bookmarkStart w:id="4385" w:name="_Toc79695023"/>
      <w:bookmarkStart w:id="4386" w:name="_Toc79695339"/>
      <w:bookmarkStart w:id="4387" w:name="_Toc79695655"/>
      <w:bookmarkStart w:id="4388" w:name="_Toc79695971"/>
      <w:bookmarkStart w:id="4389" w:name="_Toc79696287"/>
      <w:bookmarkStart w:id="4390" w:name="_Toc79696603"/>
      <w:bookmarkStart w:id="4391" w:name="_Toc79696924"/>
      <w:bookmarkStart w:id="4392" w:name="_Toc79697256"/>
      <w:bookmarkStart w:id="4393" w:name="_Toc79697585"/>
      <w:bookmarkStart w:id="4394" w:name="_Toc79699256"/>
      <w:bookmarkStart w:id="4395" w:name="_Toc79699582"/>
      <w:bookmarkStart w:id="4396" w:name="_Toc79699920"/>
      <w:bookmarkStart w:id="4397" w:name="_Toc79700240"/>
      <w:bookmarkStart w:id="4398" w:name="_Toc79700562"/>
      <w:bookmarkStart w:id="4399" w:name="_Toc79700884"/>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r w:rsidR="002D0AA1" w:rsidRPr="002D0AA1">
        <w:rPr>
          <w:rStyle w:val="Hyperlink"/>
        </w:rPr>
        <w:br/>
      </w:r>
    </w:p>
    <w:p w14:paraId="18F34A76" w14:textId="77777777"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This case raises the question whether an "equity cushion" is necessary to provide adequate protection under 11 U.S.C. Section 362(d)(1).[1]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Bankers Life is not adequately protected. On May 20, the preliminary hearing contemplated by Section 362(e) was held. After receiving evidence, the Court fixed the </w:t>
      </w:r>
      <w:bookmarkStart w:id="4400" w:name="OLE_LINK106"/>
      <w:bookmarkStart w:id="4401"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4400"/>
      <w:bookmarkEnd w:id="4401"/>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absorbed through interest, commissions, and other costs of resale. The cushion analysis enjoys practical appeal and ease of application.</w:t>
      </w:r>
    </w:p>
    <w:p w14:paraId="066E1CF4" w14:textId="51CCDE65"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Section 362(d)(2)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Section 362(d)(2) which speaks in terms of equity and reorganization. Indeed, this dual requirement emphasizes the role of equity, when present, not as a cushion, but to underwrite, through sale or credit, the rehabilitation of debtors. . . . </w:t>
      </w:r>
    </w:p>
    <w:p w14:paraId="495961F4" w14:textId="20A7B8BF"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Although the "idea of equity" became "something of a totem for courts," it was equity in the sense contemplated under Section 362(d)(2), not an equity cushion. Thus, it was acknowledged that "deciding whether to continue or vacate the stay solely on the ground of the 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0632DC54" w:rsidR="00082B5B" w:rsidRDefault="004D5E30" w:rsidP="0009710D">
      <w:pPr>
        <w:ind w:firstLine="720"/>
        <w:jc w:val="both"/>
        <w:rPr>
          <w:rFonts w:ascii="Times New Roman" w:hAnsi="Times New Roman"/>
          <w:szCs w:val="24"/>
        </w:rPr>
      </w:pPr>
      <w:r w:rsidRPr="007A5BBC">
        <w:rPr>
          <w:rFonts w:ascii="Times New Roman" w:hAnsi="Times New Roman"/>
          <w:szCs w:val="24"/>
        </w:rPr>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683B310B" w14:textId="77777777" w:rsidR="002D0AA1" w:rsidRPr="007A5BBC" w:rsidRDefault="002D0AA1" w:rsidP="0009710D">
      <w:pPr>
        <w:ind w:firstLine="720"/>
        <w:jc w:val="both"/>
        <w:rPr>
          <w:rFonts w:ascii="Times New Roman" w:hAnsi="Times New Roman"/>
          <w:szCs w:val="24"/>
        </w:rPr>
      </w:pPr>
    </w:p>
    <w:p w14:paraId="30F4D40F" w14:textId="2F1623DC" w:rsidR="00082B5B" w:rsidRPr="002D0AA1" w:rsidRDefault="007C1024" w:rsidP="00D95675">
      <w:pPr>
        <w:pStyle w:val="Heading3"/>
        <w:rPr>
          <w:u w:val="single"/>
        </w:rPr>
      </w:pPr>
      <w:hyperlink r:id="rId235" w:history="1">
        <w:bookmarkStart w:id="4402" w:name="_Toc87039341"/>
        <w:bookmarkStart w:id="4403" w:name="_Toc90983737"/>
        <w:r w:rsidR="00082B5B" w:rsidRPr="002D0AA1">
          <w:rPr>
            <w:rStyle w:val="Hyperlink"/>
          </w:rPr>
          <w:t>F</w:t>
        </w:r>
        <w:r w:rsidR="00890F11" w:rsidRPr="002D0AA1">
          <w:rPr>
            <w:rStyle w:val="Hyperlink"/>
          </w:rPr>
          <w:t xml:space="preserve">ORD MOTOR CREDIT COMPANY v. DOBBINS, </w:t>
        </w:r>
        <w:r w:rsidR="00082B5B" w:rsidRPr="002D0AA1">
          <w:rPr>
            <w:rStyle w:val="Hyperlink"/>
          </w:rPr>
          <w:t>35 F.3d 860 (4th Cir. 1994)</w:t>
        </w:r>
        <w:bookmarkEnd w:id="4402"/>
        <w:bookmarkEnd w:id="4403"/>
      </w:hyperlink>
      <w:bookmarkStart w:id="4404" w:name="_Toc79693115"/>
      <w:bookmarkStart w:id="4405" w:name="_Toc79693435"/>
      <w:bookmarkStart w:id="4406" w:name="_Toc79693755"/>
      <w:bookmarkStart w:id="4407" w:name="_Toc79694072"/>
      <w:bookmarkStart w:id="4408" w:name="_Toc79694390"/>
      <w:bookmarkStart w:id="4409" w:name="_Toc79694710"/>
      <w:bookmarkStart w:id="4410" w:name="_Toc79695024"/>
      <w:bookmarkStart w:id="4411" w:name="_Toc79695340"/>
      <w:bookmarkStart w:id="4412" w:name="_Toc79695656"/>
      <w:bookmarkStart w:id="4413" w:name="_Toc79695972"/>
      <w:bookmarkStart w:id="4414" w:name="_Toc79696288"/>
      <w:bookmarkStart w:id="4415" w:name="_Toc79696604"/>
      <w:bookmarkStart w:id="4416" w:name="_Toc79696925"/>
      <w:bookmarkStart w:id="4417" w:name="_Toc79697257"/>
      <w:bookmarkStart w:id="4418" w:name="_Toc79697586"/>
      <w:bookmarkStart w:id="4419" w:name="_Toc79699257"/>
      <w:bookmarkStart w:id="4420" w:name="_Toc79699583"/>
      <w:bookmarkStart w:id="4421" w:name="_Toc79699921"/>
      <w:bookmarkStart w:id="4422" w:name="_Toc79700241"/>
      <w:bookmarkStart w:id="4423" w:name="_Toc79700563"/>
      <w:bookmarkStart w:id="4424" w:name="_Toc79700885"/>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r w:rsidR="002D0AA1">
        <w:rPr>
          <w:rStyle w:val="Hyperlink"/>
        </w:rPr>
        <w:br/>
      </w:r>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From 1970 until 1980 Dobbins operated a car dealership in Roanoke, Virginia. In 1980, as a result of financial problems, the Dealership ceased operating. On March 3, 1981, the Dealership 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4425" w:name="OLE_LINK108"/>
      <w:bookmarkStart w:id="4426" w:name="OLE_LINK109"/>
      <w:r w:rsidR="00082B5B" w:rsidRPr="007A5BBC">
        <w:rPr>
          <w:rFonts w:ascii="Times New Roman" w:hAnsi="Times New Roman"/>
          <w:szCs w:val="24"/>
        </w:rPr>
        <w:t>697,720.54. FMCC and the Dobbinses presented expert testimony on the value of the secured collateral. FMCC's experts valued the Melrose Avenue property at $425,000 and the remaining personal property of the Dealership at $47,731. The Dobbinses' and the Dealership's experts valued the Melrose Avenue property at $898,000 and the remaining personal property at $190,000.</w:t>
      </w:r>
      <w:bookmarkEnd w:id="4425"/>
      <w:bookmarkEnd w:id="4426"/>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4427" w:name="OLE_LINK110"/>
      <w:bookmarkStart w:id="4428" w:name="OLE_LINK111"/>
      <w:r w:rsidRPr="007A5BBC">
        <w:rPr>
          <w:rFonts w:ascii="Times New Roman" w:hAnsi="Times New Roman"/>
          <w:szCs w:val="24"/>
        </w:rPr>
        <w:t xml:space="preserve">January 30, 1987, about one year after the court lifted the stay, FMCC finally sold the Melrose Avenue property for $375,000 </w:t>
      </w:r>
      <w:bookmarkEnd w:id="4427"/>
      <w:bookmarkEnd w:id="4428"/>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7FDA60D8"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4429" w:name="OLE_LINK112"/>
      <w:bookmarkStart w:id="4430" w:name="OLE_LINK113"/>
      <w:r w:rsidRPr="007A5BBC">
        <w:rPr>
          <w:rFonts w:ascii="Times New Roman" w:hAnsi="Times New Roman"/>
          <w:szCs w:val="24"/>
        </w:rPr>
        <w:t>deficiency in the amount of $545,639.41, which included postpetition interest, legal fees and expenses</w:t>
      </w:r>
      <w:bookmarkEnd w:id="4429"/>
      <w:bookmarkEnd w:id="4430"/>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sought a superpriority administrative expense under 11 U.S.C. § 507(b)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4E1DBD59"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led to a § 507(b)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that FMCC was entitled to a § 507(b)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417B326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contends that it is entitled to a superpriority administrative expense under § 507(b) because the value of the Melrose Avenue property declined after the adequate protection order, with the property eventually selling for less than the amount of FMCC's claim. In short, adequate protection proved to be inadequate. </w:t>
      </w:r>
    </w:p>
    <w:p w14:paraId="3397FDB0"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 507(b) that a creditor must satisfy several requirements in order to trigger the superpriority. </w:t>
      </w:r>
      <w:bookmarkStart w:id="4431" w:name="OLE_LINK114"/>
      <w:bookmarkStart w:id="4432" w:name="OLE_LINK115"/>
      <w:r w:rsidRPr="007A5BBC">
        <w:rPr>
          <w:rFonts w:ascii="Times New Roman" w:hAnsi="Times New Roman"/>
          <w:szCs w:val="24"/>
        </w:rPr>
        <w:t>First, adequate protection must have been provided previously, and the protection ultimately must prove to be inadequate. Second, the creditor must have a claim allowable under § 507(a)(1) (which in turn requires that the creditor have an administrative expense claim under § 503(b)). And third, the claim must have arisen from either the automatic stay under § 362; or the use, sale or lease of the collateral under § 363; or the granting of a lien under § 364(d). For the reasons that follow, we conclude that FMCC is not entitled to a § 507(b) superpriority because it does not meet the second requirement above, i.e., it does not have a claim allowable under § 507(a)(1).</w:t>
      </w:r>
    </w:p>
    <w:bookmarkEnd w:id="4431"/>
    <w:bookmarkEnd w:id="4432"/>
    <w:p w14:paraId="23740ECC" w14:textId="01108D3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presumption in bankruptcy cases is that the debtor's limited resources will be equally distributed among the creditors. Thus, statutory priorities must be narrowly construed." Heeding this principle, we begin with the language of § 507(b), which allows a superpriority only to a claim otherwise allowable under § 507(a)(1). Section 507(a)(1), in turn, allows a claim for "administrative expenses allowable under § 503(b</w:t>
      </w:r>
      <w:bookmarkStart w:id="4433" w:name="OLE_LINK116"/>
      <w:bookmarkStart w:id="4434" w:name="OLE_LINK117"/>
      <w:r w:rsidRPr="007A5BBC">
        <w:rPr>
          <w:rFonts w:ascii="Times New Roman" w:hAnsi="Times New Roman"/>
          <w:szCs w:val="24"/>
        </w:rPr>
        <w:t xml:space="preserve">)...." For our purposes, the administrative expenses allowable under § 503(b) are "the actual, necessary costs and expenses of preserving the estate...." </w:t>
      </w:r>
      <w:bookmarkEnd w:id="4433"/>
      <w:bookmarkEnd w:id="4434"/>
      <w:r w:rsidRPr="007A5BBC">
        <w:rPr>
          <w:rFonts w:ascii="Times New Roman" w:hAnsi="Times New Roman"/>
          <w:szCs w:val="24"/>
        </w:rPr>
        <w:t xml:space="preserve">Thus, FMCC cannot receive a § 507(b) superpriority unless it can demonstrate that it has incurred postpetition an actual and necessary cost or expense of preserving the Dobbinses' estate. </w:t>
      </w:r>
    </w:p>
    <w:p w14:paraId="103F4D63" w14:textId="2803F733"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4435" w:name="OLE_LINK118"/>
      <w:bookmarkStart w:id="4436"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[o]ne of the goals of Chapter 11 is to keep administrative costs to a minimum in order to preserve the debtor's scarce resources and thus encourage rehabilitation. In keeping with this goal, § 503(b)(1)(A)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4435"/>
    <w:bookmarkEnd w:id="4436"/>
    <w:p w14:paraId="73017A2E" w14:textId="4339DF8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presented with a close question here, but we do not believe that the mere opportunity to market collateral is the type of concrete, actual benefit contemplated by § 503(b)(1)(A).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CDFC04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FMCC's theory is that a debtor's opportunity to benefit from the continued possession postpetition of collateral constitutes an actual and necessary cost of preserving the estate for purposes of § 503(b)(1)(A). But every time a bankruptcy court denies a secured creditor's motion to lift the stay the debtor is given some "opportunity" to benefit from the continued possession of the collateral (e.g., to use, lease or sell it). Thus, were we to adopt FMCC's theory, we would be hard pressed to find a case where a creditor would not be entitled to a superpriority after adequate protection proved inadequate. In effect, FMCC would have us read out of § 507(b) Congress' requirement (in its cross-reference to § 503(b)) that the creditor must have incurred an actual and necessary cost of preserving the estate. Because a literal application of § 507(b) would 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distribution but it also dilutes the value of the priority for the claims of creditors Congress in fact intended to prefer." </w:t>
      </w:r>
    </w:p>
    <w:p w14:paraId="19BCD85A" w14:textId="55B26F99"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Postpetition Interest Under § 506(b)</w:t>
      </w:r>
    </w:p>
    <w:p w14:paraId="7E15DFEC" w14:textId="682AE2C5"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11 U.S.C. § 502(b)(2). However, in § 506(b) Congress carved out an exception for oversecured creditors. "Section 506(b)'s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0EFC268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The first and critical inquiry under § 506(b) is whether FMCC is oversecured. The Dobbinses argue, and the bankruptcy court found, that FMCC is undersecured for purposes of § 506(b) because the Melrose Avenue property ultimately sold for an amount less than FMCC's secured claim. FMCC concedes that, if we use the sale price to determine the value of the collateral for purposes of § 506(b),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oversecured creditor for purposes of § 506(b), even if the creditor ultimately ends up undersecured when the collateral is sold. The district court agreed with FMCC and reversed the bankruptcy court.</w:t>
      </w:r>
    </w:p>
    <w:p w14:paraId="3D389AF5" w14:textId="64E0537B" w:rsidR="00EC3267" w:rsidRPr="007A5BBC" w:rsidRDefault="00082B5B" w:rsidP="003A2153">
      <w:pPr>
        <w:ind w:firstLine="720"/>
        <w:jc w:val="both"/>
        <w:rPr>
          <w:rFonts w:ascii="Times New Roman" w:hAnsi="Times New Roman"/>
          <w:szCs w:val="24"/>
        </w:rPr>
      </w:pPr>
      <w:bookmarkStart w:id="4437" w:name="OLE_LINK120"/>
      <w:bookmarkStart w:id="4438" w:name="OLE_LINK121"/>
      <w:r w:rsidRPr="007A5BBC">
        <w:rPr>
          <w:rFonts w:ascii="Times New Roman" w:hAnsi="Times New Roman"/>
          <w:szCs w:val="24"/>
        </w:rPr>
        <w:t>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 506(b</w:t>
      </w:r>
    </w:p>
    <w:bookmarkEnd w:id="4437"/>
    <w:bookmarkEnd w:id="4438"/>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Using the sale price thus makes practical sense because it is "conclusive evidence of the property's value," </w:t>
      </w:r>
      <w:r w:rsidRPr="003E2EBD">
        <w:rPr>
          <w:rFonts w:ascii="Times New Roman" w:hAnsi="Times New Roman"/>
          <w:i/>
          <w:iCs/>
          <w:szCs w:val="24"/>
        </w:rPr>
        <w:t>Alpine Group</w:t>
      </w:r>
      <w:r w:rsidRPr="007A5BBC">
        <w:rPr>
          <w:rFonts w:ascii="Times New Roman" w:hAnsi="Times New Roman"/>
          <w:szCs w:val="24"/>
        </w:rPr>
        <w:t>, 151 B.R. at 935, and it is the amount of money the collateral actually was able to bring into the estate for distribution.</w:t>
      </w:r>
    </w:p>
    <w:p w14:paraId="699E26DC" w14:textId="537082A9"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unencumbered assets, a dollar that would otherwise be available for distribution to unsecured creditors. By using sale price, we avoid this inequitable result. Of course, secured creditors may benefit by a § 506(b) valuation based on sale price if the collateral appreciates postpetition and the property is sold for more than it was appraised earlier in the proceedings. </w:t>
      </w:r>
    </w:p>
    <w:p w14:paraId="7345A35B" w14:textId="7F6A6850" w:rsidR="00082B5B" w:rsidRDefault="00082B5B" w:rsidP="003A2153">
      <w:pPr>
        <w:ind w:firstLine="720"/>
        <w:jc w:val="both"/>
        <w:rPr>
          <w:rFonts w:ascii="Times New Roman" w:hAnsi="Times New Roman"/>
          <w:szCs w:val="24"/>
        </w:rPr>
      </w:pPr>
      <w:r w:rsidRPr="007A5BBC">
        <w:rPr>
          <w:rFonts w:ascii="Times New Roman" w:hAnsi="Times New Roman"/>
          <w:szCs w:val="24"/>
        </w:rPr>
        <w:t>In sum, when valuing secured collateral to determine whether a creditor is oversecured and thus entitled to postpetition interest pursuant to § 506(b),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 506(b) and thus is not entitled to any postpetition interest.</w:t>
      </w:r>
    </w:p>
    <w:p w14:paraId="09E60350" w14:textId="77777777" w:rsidR="00280D22" w:rsidRPr="007A5BBC" w:rsidRDefault="00280D22" w:rsidP="003A2153">
      <w:pPr>
        <w:ind w:firstLine="720"/>
        <w:jc w:val="both"/>
        <w:rPr>
          <w:rFonts w:ascii="Times New Roman" w:hAnsi="Times New Roman"/>
          <w:szCs w:val="24"/>
        </w:rPr>
      </w:pPr>
    </w:p>
    <w:p w14:paraId="515574CD" w14:textId="7D6E8E02" w:rsidR="00082B5B" w:rsidRPr="007A5BBC" w:rsidRDefault="00C60FEF" w:rsidP="002D0AA1">
      <w:pPr>
        <w:pStyle w:val="Heading2"/>
        <w:spacing w:line="240" w:lineRule="auto"/>
      </w:pPr>
      <w:bookmarkStart w:id="4439" w:name="_Toc417380875"/>
      <w:bookmarkStart w:id="4440" w:name="_Toc79699258"/>
      <w:bookmarkStart w:id="4441" w:name="_Toc79699584"/>
      <w:bookmarkStart w:id="4442" w:name="_Toc79699922"/>
      <w:bookmarkStart w:id="4443" w:name="_Toc79700242"/>
      <w:bookmarkStart w:id="4444" w:name="_Toc79700564"/>
      <w:bookmarkStart w:id="4445" w:name="_Toc87039342"/>
      <w:bookmarkStart w:id="4446" w:name="_Toc90983738"/>
      <w:r>
        <w:t>Practice Problems:</w:t>
      </w:r>
      <w:r w:rsidR="00AC101C" w:rsidRPr="007A5BBC">
        <w:t xml:space="preserve"> Relief from Stay</w:t>
      </w:r>
      <w:bookmarkStart w:id="4447" w:name="_Toc79693116"/>
      <w:bookmarkStart w:id="4448" w:name="_Toc79693436"/>
      <w:bookmarkStart w:id="4449" w:name="_Toc79693756"/>
      <w:bookmarkStart w:id="4450" w:name="_Toc79694073"/>
      <w:bookmarkStart w:id="4451" w:name="_Toc79694711"/>
      <w:bookmarkStart w:id="4452" w:name="_Toc79695341"/>
      <w:bookmarkStart w:id="4453" w:name="_Toc79697587"/>
      <w:bookmarkStart w:id="4454" w:name="OLE_LINK122"/>
      <w:bookmarkStart w:id="4455" w:name="OLE_LINK123"/>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r w:rsidR="002D0AA1">
        <w:br/>
      </w:r>
    </w:p>
    <w:p w14:paraId="76F45215" w14:textId="680F287D" w:rsidR="00147C42" w:rsidRPr="007A5BBC" w:rsidRDefault="00310847" w:rsidP="00CA016D">
      <w:pPr>
        <w:pStyle w:val="0-NORMAL"/>
      </w:pPr>
      <w:r w:rsidRPr="00640384">
        <w:rPr>
          <w:b/>
        </w:rPr>
        <w:t>Problem 1</w:t>
      </w:r>
      <w:r w:rsidR="005F6A8B" w:rsidRPr="00232384">
        <w:rPr>
          <w:bCs/>
        </w:rPr>
        <w:t>.</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One of the defendants files bankruptcy</w:t>
      </w:r>
      <w:r w:rsidR="005F6A8B">
        <w:t xml:space="preserve">. </w:t>
      </w:r>
      <w:r w:rsidR="00147C42" w:rsidRPr="007A5BBC">
        <w:t>You do not want to delay the trial</w:t>
      </w:r>
      <w:r w:rsidR="005F6A8B">
        <w:t xml:space="preserve">. </w:t>
      </w:r>
      <w:r w:rsidR="00147C42" w:rsidRPr="007A5BBC">
        <w:t>What should you do</w:t>
      </w:r>
      <w:r w:rsidR="004751D0" w:rsidRPr="007A5BBC">
        <w:t xml:space="preserve">? </w:t>
      </w:r>
    </w:p>
    <w:p w14:paraId="39FC40B0" w14:textId="4B8D7F42" w:rsidR="00640384" w:rsidRDefault="00640384" w:rsidP="00CA016D">
      <w:pPr>
        <w:pStyle w:val="0-NORMAL"/>
      </w:pPr>
      <w:r w:rsidRPr="00640384">
        <w:rPr>
          <w:b/>
        </w:rPr>
        <w:t>Problem 2</w:t>
      </w:r>
      <w:r w:rsidR="005F6A8B">
        <w:t xml:space="preserve">. </w:t>
      </w:r>
      <w:r w:rsidR="00147C42" w:rsidRPr="00640384">
        <w:t>Bank made a $100,000 loan secured by the debtor’s real property. According to the loan documents, interest accrues at the rate of 1% per month, but interest is not compounded (no interest on unpaid interest)</w:t>
      </w:r>
      <w:r w:rsidR="005F6A8B">
        <w:t xml:space="preserve">. </w:t>
      </w:r>
      <w:r w:rsidR="00147C42" w:rsidRPr="00640384">
        <w:t>The Bank filed a motion for relief from stay asserting that it was owed $100,000 of principal, $5,000 of interest, and $2,000 in legal fees as of the date the bankruptcy petition was filed, and will be owed an additional $4,000 in post-petition interest and $3,000 in post-petition legal fees as of the date of the hearing</w:t>
      </w:r>
      <w:r w:rsidR="005F6A8B">
        <w:t xml:space="preserve">. </w:t>
      </w:r>
      <w:r w:rsidR="004B725C" w:rsidRPr="00640384">
        <w:t>I</w:t>
      </w:r>
      <w:r w:rsidR="00147C42" w:rsidRPr="00640384">
        <w:t>f the court determines that the property is worth $120,000, what claims will the Bank have, what will the Bank have to show to get relief from stay, and what will the debtor have to show to avoid relief from stay</w:t>
      </w:r>
      <w:r w:rsidR="004B725C" w:rsidRPr="00640384">
        <w:t>?</w:t>
      </w:r>
      <w:r w:rsidR="00147C42" w:rsidRPr="00640384">
        <w:t xml:space="preserve"> </w:t>
      </w:r>
    </w:p>
    <w:p w14:paraId="0105190D" w14:textId="1FDF0C1B" w:rsidR="00640384" w:rsidRDefault="00640384" w:rsidP="00CA016D">
      <w:pPr>
        <w:pStyle w:val="0-NORMAL"/>
      </w:pPr>
      <w:r>
        <w:rPr>
          <w:b/>
        </w:rPr>
        <w:t>Problem 3</w:t>
      </w:r>
      <w:r w:rsidR="005F6A8B">
        <w:t xml:space="preserve">. </w:t>
      </w:r>
      <w:r w:rsidR="00147C42" w:rsidRPr="00640384">
        <w:t>What difference would it make, if any, in the last problem if the property was worth $123,000, but was also encumbered by a second lien in the amount of $10,000</w:t>
      </w:r>
      <w:bookmarkStart w:id="4456" w:name="OLE_LINK124"/>
      <w:bookmarkStart w:id="4457" w:name="OLE_LINK125"/>
      <w:bookmarkEnd w:id="4454"/>
      <w:bookmarkEnd w:id="4455"/>
      <w:r w:rsidR="004751D0" w:rsidRPr="00640384">
        <w:t xml:space="preserve">? </w:t>
      </w:r>
    </w:p>
    <w:p w14:paraId="3A7509CD" w14:textId="7ABEEB34" w:rsidR="00640384" w:rsidRDefault="00640384" w:rsidP="00CA016D">
      <w:pPr>
        <w:pStyle w:val="0-NORMAL"/>
      </w:pPr>
      <w:r>
        <w:rPr>
          <w:b/>
        </w:rPr>
        <w:t>Problem 4</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48BF7B61" w:rsidR="00640384" w:rsidRDefault="00640384" w:rsidP="00CA016D">
      <w:pPr>
        <w:pStyle w:val="0-NORMAL"/>
      </w:pPr>
      <w:r>
        <w:rPr>
          <w:b/>
        </w:rPr>
        <w:t>Problem 5</w:t>
      </w:r>
      <w:r w:rsidR="005F6A8B">
        <w:t xml:space="preserve">. </w:t>
      </w:r>
      <w:r w:rsidR="004B725C" w:rsidRPr="00640384">
        <w:t xml:space="preserve">Suppose the property in </w:t>
      </w:r>
      <w:r w:rsidR="001A5F10">
        <w:t>P</w:t>
      </w:r>
      <w:r w:rsidR="004B725C" w:rsidRPr="00640384">
        <w:t>roblem (</w:t>
      </w:r>
      <w:r>
        <w:t>2</w:t>
      </w:r>
      <w:r w:rsidR="004B725C" w:rsidRPr="00640384">
        <w:t>) is worth</w:t>
      </w:r>
      <w:r w:rsidR="004734FD" w:rsidRPr="00640384">
        <w:t xml:space="preserve"> $115,000, and is encumbered by a second mortgage of $25,000</w:t>
      </w:r>
      <w:r w:rsidR="005F6A8B">
        <w:t xml:space="preserve">. </w:t>
      </w:r>
      <w:r w:rsidR="004734FD" w:rsidRPr="00640384">
        <w:t>Can the second mortgage be stripped down to the secured claim of $1,000</w:t>
      </w:r>
      <w:r w:rsidR="004751D0" w:rsidRPr="00640384">
        <w:t xml:space="preserve">? </w:t>
      </w:r>
    </w:p>
    <w:p w14:paraId="339840BB" w14:textId="606BDB23" w:rsidR="00640384" w:rsidRDefault="00640384" w:rsidP="00CA016D">
      <w:pPr>
        <w:pStyle w:val="0-NORMAL"/>
      </w:pPr>
      <w:r>
        <w:rPr>
          <w:b/>
        </w:rPr>
        <w:t>Problem 6</w:t>
      </w:r>
      <w:r w:rsidRPr="00640384">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6BD59585" w:rsidR="00640384" w:rsidRDefault="00640384" w:rsidP="00CA016D">
      <w:pPr>
        <w:pStyle w:val="0-NORMAL"/>
      </w:pPr>
      <w:r>
        <w:rPr>
          <w:b/>
        </w:rPr>
        <w:t>Problem 7</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4458" w:name="OLE_LINK126"/>
      <w:bookmarkStart w:id="4459" w:name="OLE_LINK127"/>
      <w:bookmarkEnd w:id="4456"/>
      <w:bookmarkEnd w:id="4457"/>
    </w:p>
    <w:p w14:paraId="0E2C54D1" w14:textId="6D2AC309" w:rsidR="00163AAE" w:rsidRPr="00640384" w:rsidRDefault="00640384" w:rsidP="00CA016D">
      <w:pPr>
        <w:pStyle w:val="0-NORMAL"/>
      </w:pPr>
      <w:r>
        <w:rPr>
          <w:b/>
        </w:rPr>
        <w:t>Problem 8</w:t>
      </w:r>
      <w:r w:rsidR="005F6A8B">
        <w:t xml:space="preserve">. </w:t>
      </w:r>
      <w:r w:rsidR="00147C42" w:rsidRPr="00640384">
        <w:t>The Debtor owns a D</w:t>
      </w:r>
      <w:r w:rsidR="005B4B8F" w:rsidRPr="00640384">
        <w:t xml:space="preserve">ull brand </w:t>
      </w:r>
      <w:r w:rsidR="00147C42" w:rsidRPr="00640384">
        <w:t>laptop computer that the debtor needs for his job</w:t>
      </w:r>
      <w:r w:rsidR="005F6A8B">
        <w:t xml:space="preserve">. </w:t>
      </w:r>
      <w:r w:rsidR="00147C42" w:rsidRPr="00640384">
        <w:t>He owes D</w:t>
      </w:r>
      <w:r w:rsidR="005B4B8F" w:rsidRPr="00640384">
        <w:t>u</w:t>
      </w:r>
      <w:r w:rsidR="00147C42" w:rsidRPr="00640384">
        <w:t>ll $1,200, and the laptop is worth $400</w:t>
      </w:r>
      <w:r w:rsidR="005F6A8B">
        <w:t xml:space="preserve">. </w:t>
      </w:r>
      <w:r w:rsidR="00147C42" w:rsidRPr="00640384">
        <w:t>He bought the laptop from D</w:t>
      </w:r>
      <w:r w:rsidR="005B4B8F" w:rsidRPr="00640384">
        <w:t>u</w:t>
      </w:r>
      <w:r w:rsidR="00147C42" w:rsidRPr="00640384">
        <w:t xml:space="preserve">ll </w:t>
      </w:r>
      <w:r w:rsidR="005B4B8F" w:rsidRPr="00640384">
        <w:t xml:space="preserve">Computer Corporation </w:t>
      </w:r>
      <w:r w:rsidR="00147C42" w:rsidRPr="00640384">
        <w:t>7 months ago, and D</w:t>
      </w:r>
      <w:r w:rsidR="005B4B8F" w:rsidRPr="00640384">
        <w:t>u</w:t>
      </w:r>
      <w:r w:rsidR="00147C42" w:rsidRPr="00640384">
        <w:t>ll’s interest rate on the loan is 35%</w:t>
      </w:r>
      <w:r w:rsidR="005F6A8B">
        <w:t xml:space="preserve">. </w:t>
      </w:r>
      <w:r w:rsidR="00147C42" w:rsidRPr="00640384">
        <w:t>The contract payments are $55 per month, and there are three years left on the term</w:t>
      </w:r>
      <w:r w:rsidR="005F6A8B">
        <w:t xml:space="preserve">. </w:t>
      </w:r>
      <w:r w:rsidR="00C80812" w:rsidRPr="00640384">
        <w:t>What options does the debtor have?</w:t>
      </w:r>
      <w:bookmarkEnd w:id="4458"/>
      <w:bookmarkEnd w:id="4459"/>
      <w:r w:rsidR="00CD4B8A" w:rsidRPr="00640384">
        <w:t xml:space="preserve"> </w:t>
      </w:r>
      <w:r w:rsidR="00163AAE" w:rsidRPr="00640384">
        <w:br w:type="page"/>
      </w:r>
    </w:p>
    <w:p w14:paraId="68090BFA" w14:textId="3A1DC616" w:rsidR="00310847" w:rsidRPr="00232384" w:rsidRDefault="00F85E9F" w:rsidP="002D0AA1">
      <w:pPr>
        <w:pStyle w:val="Heading1"/>
        <w:spacing w:line="240" w:lineRule="auto"/>
      </w:pPr>
      <w:bookmarkStart w:id="4460" w:name="_Toc417380876"/>
      <w:bookmarkStart w:id="4461" w:name="_Toc79699259"/>
      <w:bookmarkStart w:id="4462" w:name="_Toc79699585"/>
      <w:bookmarkStart w:id="4463" w:name="_Toc79699923"/>
      <w:bookmarkStart w:id="4464" w:name="_Toc79700243"/>
      <w:bookmarkStart w:id="4465" w:name="_Toc79700565"/>
      <w:bookmarkStart w:id="4466" w:name="_Toc87039343"/>
      <w:bookmarkStart w:id="4467" w:name="_Toc90983739"/>
      <w:r w:rsidRPr="00232384">
        <w:t>Unsecured Claims in Bankrupt</w:t>
      </w:r>
      <w:bookmarkStart w:id="4468" w:name="_Toc417379008"/>
      <w:bookmarkStart w:id="4469" w:name="_Toc417380877"/>
      <w:bookmarkStart w:id="4470" w:name="_Toc417379009"/>
      <w:bookmarkStart w:id="4471" w:name="_Toc417380878"/>
      <w:bookmarkStart w:id="4472" w:name="_Toc438473288"/>
      <w:bookmarkStart w:id="4473" w:name="_Toc438473604"/>
      <w:bookmarkStart w:id="4474" w:name="_Toc438473920"/>
      <w:bookmarkStart w:id="4475" w:name="_Toc438474236"/>
      <w:bookmarkStart w:id="4476" w:name="_Toc438476697"/>
      <w:bookmarkStart w:id="4477" w:name="_Toc438661450"/>
      <w:bookmarkStart w:id="4478" w:name="_Toc438661779"/>
      <w:bookmarkStart w:id="4479" w:name="_Toc438662174"/>
      <w:bookmarkStart w:id="4480" w:name="_Toc438662506"/>
      <w:bookmarkStart w:id="4481" w:name="_Toc438662844"/>
      <w:bookmarkStart w:id="4482" w:name="_Toc438663176"/>
      <w:bookmarkStart w:id="4483" w:name="_Toc438663503"/>
      <w:bookmarkStart w:id="4484" w:name="_Toc438663830"/>
      <w:bookmarkStart w:id="4485" w:name="_Toc438664155"/>
      <w:bookmarkStart w:id="4486" w:name="_Toc438664482"/>
      <w:bookmarkStart w:id="4487" w:name="_Toc438665227"/>
      <w:bookmarkStart w:id="4488" w:name="_Toc450735171"/>
      <w:bookmarkStart w:id="4489" w:name="_Toc450735500"/>
      <w:bookmarkStart w:id="4490" w:name="_Toc450739896"/>
      <w:bookmarkStart w:id="4491" w:name="_Toc457995716"/>
      <w:bookmarkStart w:id="4492" w:name="_Toc457997545"/>
      <w:bookmarkStart w:id="4493" w:name="_Toc458006777"/>
      <w:bookmarkStart w:id="4494" w:name="_Toc458075089"/>
      <w:bookmarkStart w:id="4495" w:name="_Toc485065623"/>
      <w:bookmarkEnd w:id="4460"/>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r w:rsidR="003E2EBD" w:rsidRPr="00232384">
        <w:t>cy</w:t>
      </w:r>
      <w:bookmarkStart w:id="4496" w:name="_Toc438473289"/>
      <w:bookmarkStart w:id="4497" w:name="_Toc438473605"/>
      <w:bookmarkStart w:id="4498" w:name="_Toc438473921"/>
      <w:bookmarkStart w:id="4499" w:name="_Toc438474237"/>
      <w:bookmarkStart w:id="4500" w:name="_Toc438476698"/>
      <w:bookmarkStart w:id="4501" w:name="_Toc438661451"/>
      <w:bookmarkStart w:id="4502" w:name="_Toc438661780"/>
      <w:bookmarkStart w:id="4503" w:name="_Toc438662175"/>
      <w:bookmarkStart w:id="4504" w:name="_Toc438662507"/>
      <w:bookmarkStart w:id="4505" w:name="_Toc438662845"/>
      <w:bookmarkStart w:id="4506" w:name="_Toc438663177"/>
      <w:bookmarkStart w:id="4507" w:name="_Toc438663504"/>
      <w:bookmarkStart w:id="4508" w:name="_Toc438663831"/>
      <w:bookmarkStart w:id="4509" w:name="_Toc438664156"/>
      <w:bookmarkStart w:id="4510" w:name="_Toc438664483"/>
      <w:bookmarkStart w:id="4511" w:name="_Toc438665228"/>
      <w:bookmarkStart w:id="4512" w:name="_Toc450735172"/>
      <w:bookmarkStart w:id="4513" w:name="_Toc450735501"/>
      <w:bookmarkStart w:id="4514" w:name="_Toc450739897"/>
      <w:bookmarkStart w:id="4515" w:name="_Toc457995717"/>
      <w:bookmarkStart w:id="4516" w:name="_Toc457997546"/>
      <w:bookmarkStart w:id="4517" w:name="_Toc458006778"/>
      <w:bookmarkStart w:id="4518" w:name="_Toc458075090"/>
      <w:bookmarkStart w:id="4519" w:name="_Toc485065624"/>
      <w:bookmarkStart w:id="4520" w:name="_Toc79687476"/>
      <w:bookmarkStart w:id="4521" w:name="_Toc79687800"/>
      <w:bookmarkStart w:id="4522" w:name="_Toc79688167"/>
      <w:bookmarkStart w:id="4523" w:name="_Toc79688496"/>
      <w:bookmarkStart w:id="4524" w:name="_Toc79689432"/>
      <w:bookmarkStart w:id="4525" w:name="_Toc79693117"/>
      <w:bookmarkStart w:id="4526" w:name="_Toc79693437"/>
      <w:bookmarkStart w:id="4527" w:name="_Toc79693757"/>
      <w:bookmarkStart w:id="4528" w:name="_Toc79694074"/>
      <w:bookmarkStart w:id="4529" w:name="_Toc79694392"/>
      <w:bookmarkStart w:id="4530" w:name="_Toc79694712"/>
      <w:bookmarkStart w:id="4531" w:name="_Toc79695026"/>
      <w:bookmarkStart w:id="4532" w:name="_Toc79695342"/>
      <w:bookmarkStart w:id="4533" w:name="_Toc79695658"/>
      <w:bookmarkStart w:id="4534" w:name="_Toc79695974"/>
      <w:bookmarkStart w:id="4535" w:name="_Toc79696290"/>
      <w:bookmarkStart w:id="4536" w:name="_Toc79696606"/>
      <w:bookmarkStart w:id="4537" w:name="_Toc79696927"/>
      <w:bookmarkStart w:id="4538" w:name="_Toc79697259"/>
      <w:bookmarkStart w:id="4539" w:name="_Toc79697588"/>
      <w:bookmarkStart w:id="4540" w:name="_Toc417380879"/>
      <w:bookmarkEnd w:id="4461"/>
      <w:bookmarkEnd w:id="4462"/>
      <w:bookmarkEnd w:id="4463"/>
      <w:bookmarkEnd w:id="4464"/>
      <w:bookmarkEnd w:id="4465"/>
      <w:bookmarkEnd w:id="4466"/>
      <w:bookmarkEnd w:id="4467"/>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r w:rsidR="002D0AA1">
        <w:br/>
      </w:r>
    </w:p>
    <w:p w14:paraId="3F4FA739" w14:textId="3857DA1C" w:rsidR="00925D4A" w:rsidRPr="007A5BBC" w:rsidRDefault="00925D4A" w:rsidP="002D0AA1">
      <w:pPr>
        <w:pStyle w:val="Heading2"/>
        <w:spacing w:line="240" w:lineRule="auto"/>
      </w:pPr>
      <w:bookmarkStart w:id="4541" w:name="_Toc79699260"/>
      <w:bookmarkStart w:id="4542" w:name="_Toc79699586"/>
      <w:bookmarkStart w:id="4543" w:name="_Toc79699924"/>
      <w:bookmarkStart w:id="4544" w:name="_Toc79700244"/>
      <w:bookmarkStart w:id="4545" w:name="_Toc79700566"/>
      <w:bookmarkStart w:id="4546" w:name="_Toc87039344"/>
      <w:bookmarkStart w:id="4547" w:name="_Toc90983740"/>
      <w:r w:rsidRPr="007A5BBC">
        <w:t xml:space="preserve">What is a </w:t>
      </w:r>
      <w:r w:rsidR="0009710D" w:rsidRPr="007A5BBC">
        <w:t>“</w:t>
      </w:r>
      <w:r w:rsidRPr="007A5BBC">
        <w:t>Claim</w:t>
      </w:r>
      <w:r w:rsidR="0009710D" w:rsidRPr="007A5BBC">
        <w:t>”</w:t>
      </w:r>
      <w:r w:rsidRPr="007A5BBC">
        <w:t>?</w:t>
      </w:r>
      <w:bookmarkStart w:id="4548" w:name="_Toc79693118"/>
      <w:bookmarkStart w:id="4549" w:name="_Toc79693438"/>
      <w:bookmarkStart w:id="4550" w:name="_Toc79693758"/>
      <w:bookmarkStart w:id="4551" w:name="_Toc79694075"/>
      <w:bookmarkStart w:id="4552" w:name="_Toc79694713"/>
      <w:bookmarkStart w:id="4553" w:name="_Toc79695343"/>
      <w:bookmarkStart w:id="4554" w:name="_Toc7969758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r w:rsidR="002D0AA1">
        <w:br/>
      </w:r>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036C81E6" w:rsidR="00DD70F8"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74C001BC" w14:textId="77777777" w:rsidR="002D0AA1" w:rsidRPr="007A5BBC" w:rsidRDefault="002D0AA1" w:rsidP="003A2153">
      <w:pPr>
        <w:ind w:firstLine="720"/>
        <w:jc w:val="both"/>
        <w:rPr>
          <w:rFonts w:ascii="Times New Roman" w:hAnsi="Times New Roman"/>
          <w:szCs w:val="24"/>
        </w:rPr>
      </w:pPr>
    </w:p>
    <w:p w14:paraId="1206166D" w14:textId="0A62BCB4" w:rsidR="00196694" w:rsidRPr="007A5BBC" w:rsidRDefault="00646EC9" w:rsidP="002D0AA1">
      <w:pPr>
        <w:pStyle w:val="Heading2"/>
        <w:spacing w:line="240" w:lineRule="auto"/>
      </w:pPr>
      <w:bookmarkStart w:id="4555" w:name="_Toc417380880"/>
      <w:bookmarkStart w:id="4556" w:name="_Toc79699261"/>
      <w:bookmarkStart w:id="4557" w:name="_Toc79699587"/>
      <w:bookmarkStart w:id="4558" w:name="_Toc79699925"/>
      <w:bookmarkStart w:id="4559" w:name="_Toc79700245"/>
      <w:bookmarkStart w:id="4560" w:name="_Toc79700567"/>
      <w:bookmarkStart w:id="4561" w:name="_Toc87039345"/>
      <w:bookmarkStart w:id="4562" w:name="_Toc90983741"/>
      <w:r>
        <w:t xml:space="preserve">Cases on </w:t>
      </w:r>
      <w:r w:rsidR="0009710D" w:rsidRPr="007A5BBC">
        <w:t>C</w:t>
      </w:r>
      <w:r w:rsidR="00196694" w:rsidRPr="007A5BBC">
        <w:t>laim</w:t>
      </w:r>
      <w:r w:rsidR="00DF4A15" w:rsidRPr="007A5BBC">
        <w:t>s</w:t>
      </w:r>
      <w:r w:rsidR="0009710D" w:rsidRPr="007A5BBC">
        <w:t xml:space="preserve"> and Due Process</w:t>
      </w:r>
      <w:bookmarkStart w:id="4563" w:name="_Toc79693119"/>
      <w:bookmarkStart w:id="4564" w:name="_Toc79693439"/>
      <w:bookmarkStart w:id="4565" w:name="_Toc79693759"/>
      <w:bookmarkStart w:id="4566" w:name="_Toc79694076"/>
      <w:bookmarkStart w:id="4567" w:name="_Toc79694714"/>
      <w:bookmarkStart w:id="4568" w:name="_Toc79695344"/>
      <w:bookmarkStart w:id="4569" w:name="_Toc79697590"/>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r w:rsidR="002D0AA1">
        <w:br/>
      </w:r>
    </w:p>
    <w:p w14:paraId="62F4863A" w14:textId="291C3E04" w:rsidR="00511C9F" w:rsidRPr="002D0AA1" w:rsidRDefault="007C1024" w:rsidP="002D0AA1">
      <w:pPr>
        <w:pStyle w:val="Heading3"/>
        <w:rPr>
          <w:u w:val="single"/>
        </w:rPr>
      </w:pPr>
      <w:hyperlink r:id="rId236" w:history="1">
        <w:bookmarkStart w:id="4570" w:name="_Toc87039346"/>
        <w:bookmarkStart w:id="4571" w:name="_Toc90983742"/>
        <w:r w:rsidR="00511C9F" w:rsidRPr="002D0AA1">
          <w:rPr>
            <w:rStyle w:val="Hyperlink"/>
          </w:rPr>
          <w:t>M</w:t>
        </w:r>
        <w:r w:rsidR="00310847" w:rsidRPr="002D0AA1">
          <w:rPr>
            <w:rStyle w:val="Hyperlink"/>
          </w:rPr>
          <w:t xml:space="preserve">ULLANE v. CENTRAL HANOVER BANK &amp; TRUST CO., </w:t>
        </w:r>
        <w:r w:rsidR="00511C9F" w:rsidRPr="002D0AA1">
          <w:rPr>
            <w:rStyle w:val="Hyperlink"/>
          </w:rPr>
          <w:t>339 U.S. 306 (1950)</w:t>
        </w:r>
        <w:bookmarkEnd w:id="4570"/>
        <w:bookmarkEnd w:id="4571"/>
      </w:hyperlink>
      <w:bookmarkStart w:id="4572" w:name="_Toc79693120"/>
      <w:bookmarkStart w:id="4573" w:name="_Toc79693440"/>
      <w:bookmarkStart w:id="4574" w:name="_Toc79693760"/>
      <w:bookmarkStart w:id="4575" w:name="_Toc79694077"/>
      <w:bookmarkStart w:id="4576" w:name="_Toc79694395"/>
      <w:bookmarkStart w:id="4577" w:name="_Toc79694715"/>
      <w:bookmarkStart w:id="4578" w:name="_Toc79695029"/>
      <w:bookmarkStart w:id="4579" w:name="_Toc79695345"/>
      <w:bookmarkStart w:id="4580" w:name="_Toc79695661"/>
      <w:bookmarkStart w:id="4581" w:name="_Toc79695977"/>
      <w:bookmarkStart w:id="4582" w:name="_Toc79696293"/>
      <w:bookmarkStart w:id="4583" w:name="_Toc79696609"/>
      <w:bookmarkStart w:id="4584" w:name="_Toc79696930"/>
      <w:bookmarkStart w:id="4585" w:name="_Toc79697262"/>
      <w:bookmarkStart w:id="4586" w:name="_Toc79697591"/>
      <w:bookmarkStart w:id="4587" w:name="_Toc79699262"/>
      <w:bookmarkStart w:id="4588" w:name="_Toc79699588"/>
      <w:bookmarkStart w:id="4589" w:name="_Toc79699926"/>
      <w:bookmarkStart w:id="4590" w:name="_Toc79700246"/>
      <w:bookmarkStart w:id="4591" w:name="_Toc79700568"/>
      <w:bookmarkStart w:id="4592" w:name="_Toc79700890"/>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r w:rsidR="002D0AA1" w:rsidRPr="002D0AA1">
        <w:rPr>
          <w:rStyle w:val="Hyperlink"/>
        </w:rPr>
        <w:br/>
      </w:r>
    </w:p>
    <w:p w14:paraId="59FC56B3" w14:textId="0565C744" w:rsidR="00511C9F" w:rsidRPr="007A5BBC" w:rsidRDefault="00AB3EFD" w:rsidP="00511C9F">
      <w:pPr>
        <w:ind w:firstLine="720"/>
        <w:rPr>
          <w:rFonts w:ascii="Times New Roman" w:hAnsi="Times New Roman"/>
          <w:szCs w:val="24"/>
        </w:rPr>
      </w:pPr>
      <w:r w:rsidRPr="007A5BBC">
        <w:rPr>
          <w:rFonts w:ascii="Times New Roman" w:hAnsi="Times New Roman"/>
          <w:szCs w:val="24"/>
        </w:rPr>
        <w:t xml:space="preserve">MR. JUSTICE </w:t>
      </w:r>
      <w:r w:rsidR="00511C9F" w:rsidRPr="007A5BBC">
        <w:rPr>
          <w:rFonts w:ascii="Times New Roman" w:hAnsi="Times New Roman"/>
          <w:szCs w:val="24"/>
        </w:rPr>
        <w:t>JACKSON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decree, in each such judicial settlement of accounts, is made binding and conclusive as to any matter set forth in the account 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January, 1946, Central Hanover Bank and Trust Company established a common trust fund in accordance with these provisions, and, in March, 1947, it petitioned the Surrogate's Court 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Quite different from the question of a state's power to discharge trustees is that of the opportunity it must give beneficiaries to contest. Many controversies have raged about the cryptic and abstract words of the Due Process Clause, but there can be no doubt that, at a 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4593" w:name="OLE_LINK128"/>
      <w:bookmarkStart w:id="4594" w:name="OLE_LINK129"/>
      <w:r w:rsidRPr="007A5BBC">
        <w:rPr>
          <w:rFonts w:ascii="Times New Roman" w:hAnsi="Times New Roman"/>
          <w:szCs w:val="24"/>
        </w:rPr>
        <w:t>cut off their rights to have the trustee answer for negligent or illegal impairments of their interests</w:t>
      </w:r>
      <w:bookmarkEnd w:id="4593"/>
      <w:bookmarkEnd w:id="4594"/>
      <w:r w:rsidRPr="007A5BBC">
        <w:rPr>
          <w:rFonts w:ascii="Times New Roman" w:hAnsi="Times New Roman"/>
          <w:szCs w:val="24"/>
        </w:rPr>
        <w:t>. Also, their interests are presumably subject to diminution in the proceeding by allowance of fees and expenses to one who, in their names but without their knowledge, may conduct a fruitless or 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4595" w:name="OLE_LINK130"/>
      <w:bookmarkStart w:id="4596"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4595"/>
    <w:bookmarkEnd w:id="4596"/>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is publication here reinforced by steps likely to attract the parties' attention to the proceeding. It is true that publication traditionally has been acceptable as notification supplemental 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Nor do we consider it unreasonable for the State to dispense with more certain notice to those beneficiaries whose interests are either conjectural or future or, although they could be 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statutory notice to known beneficiaries is inadequate not because, in fact, it fails to reach everyone, but because, under the circumstances, it is not reasonably calculated to reach 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3B83F0AD" w:rsidR="009C0D18" w:rsidRDefault="00511C9F" w:rsidP="0009710D">
      <w:pPr>
        <w:ind w:firstLine="720"/>
        <w:jc w:val="both"/>
        <w:rPr>
          <w:rFonts w:ascii="Times New Roman" w:hAnsi="Times New Roman"/>
          <w:szCs w:val="24"/>
        </w:rPr>
      </w:pPr>
      <w:r w:rsidRPr="007A5BBC">
        <w:rPr>
          <w:rFonts w:ascii="Times New Roman" w:hAnsi="Times New Roman"/>
          <w:szCs w:val="24"/>
        </w:rPr>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4FB4F2CA" w14:textId="77777777" w:rsidR="002D0AA1" w:rsidRPr="007A5BBC" w:rsidRDefault="002D0AA1" w:rsidP="0009710D">
      <w:pPr>
        <w:ind w:firstLine="720"/>
        <w:jc w:val="both"/>
        <w:rPr>
          <w:rFonts w:ascii="Times New Roman" w:hAnsi="Times New Roman"/>
          <w:szCs w:val="24"/>
        </w:rPr>
      </w:pPr>
    </w:p>
    <w:p w14:paraId="36E09BDF" w14:textId="6BD31655" w:rsidR="009C0D18" w:rsidRPr="002D0AA1" w:rsidRDefault="007C1024" w:rsidP="00D95675">
      <w:pPr>
        <w:pStyle w:val="Heading3"/>
        <w:rPr>
          <w:u w:val="single"/>
        </w:rPr>
      </w:pPr>
      <w:hyperlink r:id="rId237" w:history="1">
        <w:bookmarkStart w:id="4597" w:name="_Toc87039347"/>
        <w:bookmarkStart w:id="4598" w:name="_Toc90983743"/>
        <w:r w:rsidR="009C0D18" w:rsidRPr="002D0AA1">
          <w:rPr>
            <w:rStyle w:val="Hyperlink"/>
          </w:rPr>
          <w:t>A.H. R</w:t>
        </w:r>
        <w:r w:rsidR="00310847" w:rsidRPr="002D0AA1">
          <w:rPr>
            <w:rStyle w:val="Hyperlink"/>
          </w:rPr>
          <w:t xml:space="preserve">OBINS CO. v. GRADY, </w:t>
        </w:r>
        <w:r w:rsidR="009C0D18" w:rsidRPr="002D0AA1">
          <w:rPr>
            <w:rStyle w:val="Hyperlink"/>
          </w:rPr>
          <w:t>839 F.2d 198 (4th Cir. 1988)</w:t>
        </w:r>
        <w:bookmarkEnd w:id="4597"/>
        <w:bookmarkEnd w:id="4598"/>
      </w:hyperlink>
      <w:bookmarkStart w:id="4599" w:name="_Toc79693121"/>
      <w:bookmarkStart w:id="4600" w:name="_Toc79693441"/>
      <w:bookmarkStart w:id="4601" w:name="_Toc79693761"/>
      <w:bookmarkStart w:id="4602" w:name="_Toc79694078"/>
      <w:bookmarkStart w:id="4603" w:name="_Toc79694396"/>
      <w:bookmarkStart w:id="4604" w:name="_Toc79694716"/>
      <w:bookmarkStart w:id="4605" w:name="_Toc79695030"/>
      <w:bookmarkStart w:id="4606" w:name="_Toc79695346"/>
      <w:bookmarkStart w:id="4607" w:name="_Toc79695662"/>
      <w:bookmarkStart w:id="4608" w:name="_Toc79695978"/>
      <w:bookmarkStart w:id="4609" w:name="_Toc79696294"/>
      <w:bookmarkStart w:id="4610" w:name="_Toc79696610"/>
      <w:bookmarkStart w:id="4611" w:name="_Toc79696931"/>
      <w:bookmarkStart w:id="4612" w:name="_Toc79697263"/>
      <w:bookmarkStart w:id="4613" w:name="_Toc79697592"/>
      <w:bookmarkStart w:id="4614" w:name="_Toc79699263"/>
      <w:bookmarkStart w:id="4615" w:name="_Toc79699589"/>
      <w:bookmarkStart w:id="4616" w:name="_Toc79699927"/>
      <w:bookmarkStart w:id="4617" w:name="_Toc79700247"/>
      <w:bookmarkStart w:id="4618" w:name="_Toc79700569"/>
      <w:bookmarkStart w:id="4619" w:name="_Toc79700891"/>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r w:rsidR="002D0AA1" w:rsidRPr="002D0AA1">
        <w:rPr>
          <w:rStyle w:val="Hyperlink"/>
        </w:rPr>
        <w:br/>
      </w:r>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6DD1B141" w14:textId="570D377A" w:rsidR="00BF19DF" w:rsidRDefault="009C0D18" w:rsidP="00BF19DF">
      <w:pPr>
        <w:ind w:firstLine="720"/>
        <w:jc w:val="both"/>
        <w:rPr>
          <w:rFonts w:ascii="Times New Roman" w:hAnsi="Times New Roman"/>
          <w:szCs w:val="24"/>
        </w:rPr>
      </w:pPr>
      <w:bookmarkStart w:id="4620" w:name="OLE_LINK132"/>
      <w:bookmarkStart w:id="4621"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4620"/>
      <w:bookmarkEnd w:id="4621"/>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It held that the right to payment under 11 U.S.C. Sec. 101(4)(A) of Mrs. Grady's claim arose when the acts giving rise to the liability were performed and thus the claim was pre-petition</w:t>
      </w:r>
      <w:r w:rsidR="004751D0" w:rsidRPr="007A5BBC">
        <w:rPr>
          <w:rFonts w:ascii="Times New Roman" w:hAnsi="Times New Roman"/>
          <w:szCs w:val="24"/>
        </w:rPr>
        <w:t>.</w:t>
      </w:r>
      <w:r w:rsidR="004751D0">
        <w:rPr>
          <w:rFonts w:ascii="Times New Roman" w:hAnsi="Times New Roman"/>
          <w:szCs w:val="24"/>
        </w:rPr>
        <w:t xml:space="preserve"> </w:t>
      </w:r>
    </w:p>
    <w:p w14:paraId="740A9EB6" w14:textId="2089E9ED" w:rsidR="009C0D18" w:rsidRPr="007A5BBC" w:rsidRDefault="00BF19DF" w:rsidP="00BF19DF">
      <w:pPr>
        <w:ind w:firstLine="720"/>
        <w:jc w:val="both"/>
        <w:rPr>
          <w:rFonts w:ascii="Times New Roman" w:hAnsi="Times New Roman"/>
          <w:szCs w:val="24"/>
        </w:rPr>
      </w:pPr>
      <w:r>
        <w:rPr>
          <w:rFonts w:ascii="Times New Roman" w:hAnsi="Times New Roman"/>
          <w:szCs w:val="24"/>
        </w:rPr>
        <w:br w:type="page"/>
      </w:r>
      <w:r w:rsidR="009C0D18" w:rsidRPr="007A5BBC">
        <w:rPr>
          <w:rFonts w:ascii="Times New Roman" w:hAnsi="Times New Roman"/>
          <w:szCs w:val="24"/>
        </w:rPr>
        <w:t xml:space="preserve">We affirm, although our reasoning may vary somewhat from that of the </w:t>
      </w:r>
      <w:r w:rsidR="000B6D95" w:rsidRPr="007A5BBC">
        <w:rPr>
          <w:rFonts w:ascii="Times New Roman" w:hAnsi="Times New Roman"/>
          <w:szCs w:val="24"/>
        </w:rPr>
        <w:t xml:space="preserve">[lower] </w:t>
      </w:r>
      <w:r w:rsidR="009C0D18" w:rsidRPr="007A5BBC">
        <w:rPr>
          <w:rFonts w:ascii="Times New Roman" w:hAnsi="Times New Roman"/>
          <w:szCs w:val="24"/>
        </w:rPr>
        <w:t>court</w:t>
      </w:r>
      <w:r w:rsidR="000B6D95" w:rsidRPr="007A5BBC">
        <w:rPr>
          <w:rFonts w:ascii="Times New Roman" w:hAnsi="Times New Roman"/>
          <w:szCs w:val="24"/>
        </w:rPr>
        <w:t>(s)</w:t>
      </w:r>
      <w:r w:rsidR="009C0D18"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While the parties agree that the term claim is broadly defined under the Bankruptcy Code, they disagree over whether Mrs. Grady's suit falls within that definition</w:t>
      </w:r>
    </w:p>
    <w:p w14:paraId="670DE923"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Sec. 362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Robins argues that Mrs. Grady's claim falls within the definition set out in Sec. 101(4)(A)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above, the legislative history shows that Congress intended that all legal obligations of the debtor, no matter how remote or contingent, will be able to be dealt with in bankruptcy. </w:t>
      </w:r>
    </w:p>
    <w:p w14:paraId="20920FC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Section 362(a)(1) provides for an automatic stay of, among other things, judicial action against the debtor "... to recover a claim against the debtor that arose before the commencement of the case under this title." Section 101(4)(A) defines a claim to be a "right to payment whether or not such right is reduced to judgment, liquidated, unliquidated, fixed, contingent, matured, unmatured, disputed, undisputed, legal, equitable, secured or unsecured." </w:t>
      </w:r>
    </w:p>
    <w:p w14:paraId="1E7414DF"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Code Sec. 101(4)(A)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no present interest exists, and that whether such interest or right ever will exist depends upon a future uncertain event.</w:t>
      </w:r>
    </w:p>
    <w:p w14:paraId="5AAC6D8C"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4622" w:name="OLE_LINK136"/>
      <w:bookmarkStart w:id="4623" w:name="OLE_LINK137"/>
      <w:r w:rsidRPr="007A5BBC">
        <w:rPr>
          <w:rFonts w:ascii="Times New Roman" w:hAnsi="Times New Roman"/>
          <w:szCs w:val="24"/>
        </w:rPr>
        <w:t>undoubtedly "contingent." It depends upon a future uncertain event, that event being the manifestation of injury from use of the Dalkon Shield</w:t>
      </w:r>
      <w:bookmarkEnd w:id="4622"/>
      <w:bookmarkEnd w:id="4623"/>
      <w:r w:rsidRPr="007A5BBC">
        <w:rPr>
          <w:rFonts w:ascii="Times New Roman" w:hAnsi="Times New Roman"/>
          <w:szCs w:val="24"/>
        </w:rPr>
        <w:t>. We do not believe that there must be a right to the immediate payment of money in the case of a tort or allied breach of warranty or like claim, as present here, when the acts constituting the tort or breach of warranty have occurred prior to the filing of the petition, to constitute a claim under Sec. 362(a)(1).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Sec. 362(a)(1).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11 U.S.C. Sec. 105(a) in the use of its equitable powers to assure the orderly conduct of reorganization proceedings. </w:t>
      </w:r>
    </w:p>
    <w:p w14:paraId="621BF14C" w14:textId="1C0CAAC0" w:rsidR="009C0D18" w:rsidRDefault="009C0D18" w:rsidP="003A2153">
      <w:pPr>
        <w:ind w:firstLine="720"/>
        <w:jc w:val="both"/>
        <w:rPr>
          <w:rFonts w:ascii="Times New Roman" w:hAnsi="Times New Roman"/>
          <w:szCs w:val="24"/>
        </w:rPr>
      </w:pPr>
      <w:r w:rsidRPr="007A5BBC">
        <w:rPr>
          <w:rFonts w:ascii="Times New Roman" w:hAnsi="Times New Roman"/>
          <w:szCs w:val="24"/>
        </w:rPr>
        <w:t xml:space="preserve">We emphasize, as did the district court, that </w:t>
      </w:r>
      <w:bookmarkStart w:id="4624" w:name="OLE_LINK138"/>
      <w:bookmarkStart w:id="4625" w:name="OLE_LINK139"/>
      <w:r w:rsidRPr="007A5BBC">
        <w:rPr>
          <w:rFonts w:ascii="Times New Roman" w:hAnsi="Times New Roman"/>
          <w:szCs w:val="24"/>
        </w:rPr>
        <w:t xml:space="preserve">we do not decide whether or not Mrs. Grady's claim or those of the Future Tort Claimants are </w:t>
      </w:r>
      <w:bookmarkStart w:id="4626" w:name="OLE_LINK134"/>
      <w:bookmarkStart w:id="4627" w:name="OLE_LINK135"/>
      <w:r w:rsidRPr="007A5BBC">
        <w:rPr>
          <w:rFonts w:ascii="Times New Roman" w:hAnsi="Times New Roman"/>
          <w:szCs w:val="24"/>
        </w:rPr>
        <w:t>dischargeable in this case.</w:t>
      </w:r>
      <w:bookmarkEnd w:id="4624"/>
      <w:bookmarkEnd w:id="4625"/>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11 U.S.C. Sec. 362(a)(1).</w:t>
      </w:r>
    </w:p>
    <w:p w14:paraId="2CFF4292" w14:textId="77777777" w:rsidR="002D0AA1" w:rsidRPr="007A5BBC" w:rsidRDefault="002D0AA1" w:rsidP="003A2153">
      <w:pPr>
        <w:ind w:firstLine="720"/>
        <w:jc w:val="both"/>
        <w:rPr>
          <w:rFonts w:ascii="Times New Roman" w:hAnsi="Times New Roman"/>
          <w:szCs w:val="24"/>
        </w:rPr>
      </w:pPr>
    </w:p>
    <w:bookmarkEnd w:id="4626"/>
    <w:bookmarkEnd w:id="4627"/>
    <w:p w14:paraId="5F2B2E16" w14:textId="055547C5" w:rsidR="00570C15" w:rsidRPr="002D0AA1" w:rsidRDefault="000505A3" w:rsidP="00D95675">
      <w:pPr>
        <w:pStyle w:val="Heading3"/>
        <w:rPr>
          <w:u w:val="single"/>
        </w:rPr>
      </w:pPr>
      <w:r w:rsidRPr="002D0AA1">
        <w:rPr>
          <w:u w:val="single"/>
        </w:rPr>
        <w:fldChar w:fldCharType="begin"/>
      </w:r>
      <w:r w:rsidRPr="002D0AA1">
        <w:rPr>
          <w:u w:val="single"/>
        </w:rPr>
        <w:instrText xml:space="preserve"> HYPERLINK "https://scholar.google.com/scholar_case?case=15756592667729399562&amp;q=36+B.R.+743+&amp;hl=en&amp;as_sdt=6,33" </w:instrText>
      </w:r>
      <w:r w:rsidRPr="002D0AA1">
        <w:rPr>
          <w:u w:val="single"/>
        </w:rPr>
        <w:fldChar w:fldCharType="separate"/>
      </w:r>
      <w:bookmarkStart w:id="4628" w:name="_Toc87039348"/>
      <w:bookmarkStart w:id="4629" w:name="_Toc90983744"/>
      <w:r w:rsidR="00570C15" w:rsidRPr="002D0AA1">
        <w:rPr>
          <w:rStyle w:val="Hyperlink"/>
        </w:rPr>
        <w:t>I</w:t>
      </w:r>
      <w:r w:rsidR="00310847" w:rsidRPr="002D0AA1">
        <w:rPr>
          <w:rStyle w:val="Hyperlink"/>
        </w:rPr>
        <w:t xml:space="preserve">N RE JOHNS-MANVILLE CORP., </w:t>
      </w:r>
      <w:r w:rsidR="00570C15" w:rsidRPr="002D0AA1">
        <w:rPr>
          <w:rStyle w:val="Hyperlink"/>
        </w:rPr>
        <w:t>36 B.R. 743 (Bankr. S.D.N.Y. 1984)</w:t>
      </w:r>
      <w:bookmarkEnd w:id="4628"/>
      <w:bookmarkEnd w:id="4629"/>
      <w:r w:rsidRPr="002D0AA1">
        <w:rPr>
          <w:u w:val="single"/>
        </w:rPr>
        <w:fldChar w:fldCharType="end"/>
      </w:r>
      <w:bookmarkStart w:id="4630" w:name="_Toc79693122"/>
      <w:bookmarkStart w:id="4631" w:name="_Toc79693442"/>
      <w:bookmarkStart w:id="4632" w:name="_Toc79693762"/>
      <w:bookmarkStart w:id="4633" w:name="_Toc79694079"/>
      <w:bookmarkStart w:id="4634" w:name="_Toc79694397"/>
      <w:bookmarkStart w:id="4635" w:name="_Toc79694717"/>
      <w:bookmarkStart w:id="4636" w:name="_Toc79695031"/>
      <w:bookmarkStart w:id="4637" w:name="_Toc79695347"/>
      <w:bookmarkStart w:id="4638" w:name="_Toc79695663"/>
      <w:bookmarkStart w:id="4639" w:name="_Toc79695979"/>
      <w:bookmarkStart w:id="4640" w:name="_Toc79696295"/>
      <w:bookmarkStart w:id="4641" w:name="_Toc79696611"/>
      <w:bookmarkStart w:id="4642" w:name="_Toc79696932"/>
      <w:bookmarkStart w:id="4643" w:name="_Toc79697264"/>
      <w:bookmarkStart w:id="4644" w:name="_Toc79697593"/>
      <w:bookmarkStart w:id="4645" w:name="_Toc79699264"/>
      <w:bookmarkStart w:id="4646" w:name="_Toc79699590"/>
      <w:bookmarkStart w:id="4647" w:name="_Toc79699928"/>
      <w:bookmarkStart w:id="4648" w:name="_Toc79700248"/>
      <w:bookmarkStart w:id="4649" w:name="_Toc79700570"/>
      <w:bookmarkStart w:id="4650" w:name="_Toc79700892"/>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r w:rsidR="002D0AA1">
        <w:rPr>
          <w:u w:val="single"/>
        </w:rPr>
        <w:br/>
      </w:r>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previously been exposed. Accordingly, Manville expects a proliferation of claims in the next 30 years by those previously exposed who will manifest these diseases in this period.</w:t>
      </w:r>
    </w:p>
    <w:p w14:paraId="2CAC693B" w14:textId="5D8DC09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Section 1109(b)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an otherwise economically robust Manville would not have commenced these reorganization proceedings</w:t>
      </w:r>
      <w:bookmarkStart w:id="4651"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4651"/>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In re UNR Industries, Inc., 725 F.2d 1111, (7th Cir.1984),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4652" w:name="OLE_LINK141"/>
      <w:bookmarkStart w:id="4653" w:name="OLE_LINK142"/>
      <w:r w:rsidRPr="007A5BBC">
        <w:rPr>
          <w:rFonts w:ascii="Times New Roman" w:hAnsi="Times New Roman"/>
          <w:szCs w:val="24"/>
        </w:rPr>
        <w:t xml:space="preserve">Seventh 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4652"/>
    <w:bookmarkEnd w:id="4653"/>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44AA177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concept of the appointment of some kind </w:t>
      </w:r>
      <w:r w:rsidR="001E102A">
        <w:rPr>
          <w:rFonts w:ascii="Times New Roman" w:hAnsi="Times New Roman"/>
          <w:szCs w:val="24"/>
        </w:rPr>
        <w:t xml:space="preserve">of </w:t>
      </w:r>
      <w:r w:rsidRPr="007A5BBC">
        <w:rPr>
          <w:rFonts w:ascii="Times New Roman" w:hAnsi="Times New Roman"/>
          <w:szCs w:val="24"/>
        </w:rPr>
        <w:t xml:space="preserve">representative for parties in interest whose identities are yet unknown is not unprecedented. The power to appoint such a representative is inherent in every court. </w:t>
      </w:r>
    </w:p>
    <w:p w14:paraId="7600040A" w14:textId="33AF071E" w:rsidR="00570C15"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5CB0C65D" w14:textId="77777777" w:rsidR="002D0AA1" w:rsidRPr="007A5BBC" w:rsidRDefault="002D0AA1" w:rsidP="0009710D">
      <w:pPr>
        <w:ind w:firstLine="720"/>
        <w:jc w:val="both"/>
        <w:rPr>
          <w:rFonts w:ascii="Times New Roman" w:hAnsi="Times New Roman"/>
          <w:szCs w:val="24"/>
        </w:rPr>
      </w:pPr>
    </w:p>
    <w:p w14:paraId="3B5089C5" w14:textId="04B6CE08" w:rsidR="00570C15" w:rsidRPr="002D0AA1" w:rsidRDefault="007C1024" w:rsidP="00D95675">
      <w:pPr>
        <w:pStyle w:val="Heading3"/>
        <w:rPr>
          <w:u w:val="single"/>
        </w:rPr>
      </w:pPr>
      <w:hyperlink r:id="rId238" w:history="1">
        <w:bookmarkStart w:id="4654" w:name="_Toc87039349"/>
        <w:bookmarkStart w:id="4655" w:name="_Toc90983745"/>
        <w:r w:rsidR="00570C15" w:rsidRPr="002D0AA1">
          <w:rPr>
            <w:rStyle w:val="Hyperlink"/>
          </w:rPr>
          <w:t>K</w:t>
        </w:r>
        <w:r w:rsidR="00310847" w:rsidRPr="002D0AA1">
          <w:rPr>
            <w:rStyle w:val="Hyperlink"/>
          </w:rPr>
          <w:t xml:space="preserve">ANE v. MANVILLE, </w:t>
        </w:r>
        <w:r w:rsidR="00570C15" w:rsidRPr="002D0AA1">
          <w:rPr>
            <w:rStyle w:val="Hyperlink"/>
          </w:rPr>
          <w:t>843 F.2d 636 (</w:t>
        </w:r>
        <w:r w:rsidR="0020301B" w:rsidRPr="002D0AA1">
          <w:rPr>
            <w:rStyle w:val="Hyperlink"/>
          </w:rPr>
          <w:t xml:space="preserve">2d Cir. </w:t>
        </w:r>
        <w:r w:rsidR="00570C15" w:rsidRPr="002D0AA1">
          <w:rPr>
            <w:rStyle w:val="Hyperlink"/>
          </w:rPr>
          <w:t>1988)</w:t>
        </w:r>
        <w:bookmarkEnd w:id="4654"/>
        <w:bookmarkEnd w:id="4655"/>
      </w:hyperlink>
      <w:bookmarkStart w:id="4656" w:name="_Toc79693123"/>
      <w:bookmarkStart w:id="4657" w:name="_Toc79693443"/>
      <w:bookmarkStart w:id="4658" w:name="_Toc79693763"/>
      <w:bookmarkStart w:id="4659" w:name="_Toc79694080"/>
      <w:bookmarkStart w:id="4660" w:name="_Toc79694398"/>
      <w:bookmarkStart w:id="4661" w:name="_Toc79694718"/>
      <w:bookmarkStart w:id="4662" w:name="_Toc79695032"/>
      <w:bookmarkStart w:id="4663" w:name="_Toc79695348"/>
      <w:bookmarkStart w:id="4664" w:name="_Toc79695664"/>
      <w:bookmarkStart w:id="4665" w:name="_Toc79695980"/>
      <w:bookmarkStart w:id="4666" w:name="_Toc79696296"/>
      <w:bookmarkStart w:id="4667" w:name="_Toc79696612"/>
      <w:bookmarkStart w:id="4668" w:name="_Toc79696933"/>
      <w:bookmarkStart w:id="4669" w:name="_Toc79697265"/>
      <w:bookmarkStart w:id="4670" w:name="_Toc79697594"/>
      <w:bookmarkStart w:id="4671" w:name="_Toc79699265"/>
      <w:bookmarkStart w:id="4672" w:name="_Toc79699591"/>
      <w:bookmarkStart w:id="4673" w:name="_Toc79699929"/>
      <w:bookmarkStart w:id="4674" w:name="_Toc79700249"/>
      <w:bookmarkStart w:id="4675" w:name="_Toc79700571"/>
      <w:bookmarkStart w:id="4676" w:name="_Toc79700893"/>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r w:rsidR="002D0AA1" w:rsidRPr="002D0AA1">
        <w:rPr>
          <w:rStyle w:val="Hyperlink"/>
        </w:rPr>
        <w:br/>
      </w:r>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35F5E8D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now objects to confirmation of the reorganization Plan on several grounds: it discharges the rights of future asbestos victims who do not have "claims" within the meaning of 11 U.S.C. § 101(4)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Prior to its filing for reorganization in 1982, Manville was the world's largest miner of asbestos and a major manufacturer of insulating materials and other asbestos products. Beginning 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16,000 claimants. New suits were being filed at the rate of 425 per month. Epidemiological studies undertaken by Manville revealed that approximately 50,000 to 100,000 additional suits could be expected from persons who had already been exposed to Manville asbestos. On the 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11 U.S.C. § 101(4), they were at least "parties in interest" under section 1109(b)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purpose of the Trust is to provide a means of satisfying Manville's ongoing personal injury liability while allowing Manville to maximize its value by continuing as an ongoing concern. To fulfill this purpose, the Plan seeks to ensure that health claims can be asserted only 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11 U.S.C. § 101(4).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notice campaign produced a large number of present asbestos claimants. In all, 52,440 such claimants submitted proof-of-claim-and-voting forms. Of these, 50,275 or 95.8% approved the Plan, while 2,165 or 4.2% opposed it. In addition to these Class-4 claimants, all other classes of creditors also approved the Plan. Class 8, the common stockholders, opposed the Plan.</w:t>
      </w:r>
    </w:p>
    <w:p w14:paraId="687944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11 U.S.C. § 1129(a)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(1) The Injunction violates the Bankruptcy Code because it affects the rights of future asbestos victims who do not have "claims" within the meaning of 11 U.S.C. § 101(4).[4]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(4) The Class-4 voting procedures violate the Code because persons were permitted to vote before their claims were "allowed" pursuant to 11 U.S.C. § 502 (1982 &amp; Supp. IV 1986), claims were arbitrarily assigned a value of one dollar each for voting purposes, and creditors were denied the opportunity to object to claims.</w:t>
      </w:r>
    </w:p>
    <w:p w14:paraId="67A453B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(5) The Plan fails to meet the requirements of 11 U.S.C. § 1129(a)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does not dispute that his challenges to the Injunction (claims (1) and (2)) assert the constitutional and statutory rights only of the future claimants. Additionally, we note that claim (3) regarding notice of the voting procedures asserts only third-party rights. Kane was present at 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claimants' rights, and we may confidently leave that task entirely to him. Finally, and significantly, the Legal Representative has 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Kane reasons that his own 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rejects Kane’s own claims regarding voting procedures and compliance with the confirmation requirements of the Bankruptcy Code.]</w:t>
      </w:r>
    </w:p>
    <w:p w14:paraId="3681EC5C" w14:textId="579443A7" w:rsidR="00D336A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6DF44D02" w14:textId="77777777" w:rsidR="002D0AA1" w:rsidRPr="007A5BBC" w:rsidRDefault="002D0AA1" w:rsidP="0009710D">
      <w:pPr>
        <w:ind w:firstLine="720"/>
        <w:jc w:val="both"/>
        <w:rPr>
          <w:rFonts w:ascii="Times New Roman" w:hAnsi="Times New Roman"/>
          <w:szCs w:val="24"/>
        </w:rPr>
      </w:pPr>
    </w:p>
    <w:p w14:paraId="2F2F4D50" w14:textId="503B42C8" w:rsidR="00D336AC" w:rsidRPr="002D0AA1" w:rsidRDefault="007C1024" w:rsidP="00D95675">
      <w:pPr>
        <w:pStyle w:val="Heading3"/>
        <w:rPr>
          <w:u w:val="single"/>
        </w:rPr>
      </w:pPr>
      <w:hyperlink r:id="rId239" w:history="1">
        <w:bookmarkStart w:id="4677" w:name="_Toc87039350"/>
        <w:bookmarkStart w:id="4678" w:name="_Toc90983746"/>
        <w:r w:rsidR="00D336AC" w:rsidRPr="002D0AA1">
          <w:rPr>
            <w:rStyle w:val="Hyperlink"/>
          </w:rPr>
          <w:t>E</w:t>
        </w:r>
        <w:r w:rsidR="00310847" w:rsidRPr="002D0AA1">
          <w:rPr>
            <w:rStyle w:val="Hyperlink"/>
          </w:rPr>
          <w:t xml:space="preserve">PSTEIN v. PIPER AIRCRAFT, </w:t>
        </w:r>
        <w:r w:rsidR="00D336AC" w:rsidRPr="002D0AA1">
          <w:rPr>
            <w:rStyle w:val="Hyperlink"/>
          </w:rPr>
          <w:t>58 F.3d 1573 (11th Cir. 1995)</w:t>
        </w:r>
        <w:bookmarkEnd w:id="4677"/>
        <w:bookmarkEnd w:id="4678"/>
      </w:hyperlink>
      <w:bookmarkStart w:id="4679" w:name="_Toc79693124"/>
      <w:bookmarkStart w:id="4680" w:name="_Toc79693444"/>
      <w:bookmarkStart w:id="4681" w:name="_Toc79693764"/>
      <w:bookmarkStart w:id="4682" w:name="_Toc79694081"/>
      <w:bookmarkStart w:id="4683" w:name="_Toc79694399"/>
      <w:bookmarkStart w:id="4684" w:name="_Toc79694719"/>
      <w:bookmarkStart w:id="4685" w:name="_Toc79695033"/>
      <w:bookmarkStart w:id="4686" w:name="_Toc79695349"/>
      <w:bookmarkStart w:id="4687" w:name="_Toc79695665"/>
      <w:bookmarkStart w:id="4688" w:name="_Toc79695981"/>
      <w:bookmarkStart w:id="4689" w:name="_Toc79696297"/>
      <w:bookmarkStart w:id="4690" w:name="_Toc79696613"/>
      <w:bookmarkStart w:id="4691" w:name="_Toc79696934"/>
      <w:bookmarkStart w:id="4692" w:name="_Toc79697266"/>
      <w:bookmarkStart w:id="4693" w:name="_Toc79697595"/>
      <w:bookmarkStart w:id="4694" w:name="_Toc79699266"/>
      <w:bookmarkStart w:id="4695" w:name="_Toc79699592"/>
      <w:bookmarkStart w:id="4696" w:name="_Toc79699930"/>
      <w:bookmarkStart w:id="4697" w:name="_Toc79700250"/>
      <w:bookmarkStart w:id="4698" w:name="_Toc79700572"/>
      <w:bookmarkStart w:id="4699" w:name="_Toc79700894"/>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r w:rsidR="002D0AA1" w:rsidRPr="002D0AA1">
        <w:rPr>
          <w:rStyle w:val="Hyperlink"/>
        </w:rPr>
        <w:br/>
      </w:r>
    </w:p>
    <w:p w14:paraId="44B5BA9F" w14:textId="3452D46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The sole issue on appeal is whether the class of Future Claimants, as defined by the bankruptcy court, holds claims against the estate of Piper Aircraft Corporation (Piper), within the meaning of § 101(5) of the Bankruptcy Code. After review of the relevant provisions, policies and goals of the Bankruptcy Code and the applicable case law, we hold that the Future Claimants do not have claims as defined by § 101(5)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Piper has been manufacturing and distributing general aviation aircraft and spare parts throughout the United States and abroad since 1937. Approximately 50,000 to 60,000 Piper aircraft 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May 19, 1993, the bankruptcy court appointed Appellant Epstein as the legal representative for the Future Claimants. This Order expressly stated that the court was making no finding on whether the Future Claimants could hold claims against Piper under § 101(5) of the Code.</w:t>
      </w:r>
    </w:p>
    <w:p w14:paraId="1D5A0E7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 101(5) claims against Piper. After a hearing on the objection, the bankruptcy court agreed that the Future Claimants did not hold § 101(5) claims, and, on December 6, 1993, entered an Order Sustaining the Committee's Objection and Disallowing the Legal Representative's Proof of Claim</w:t>
      </w:r>
    </w:p>
    <w:p w14:paraId="22EAD86F"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sole issue on appeal, whether any of the Future Claimants hold claims against Piper as defined in § 101(5)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legislative history of the Code suggests that Congress intended to define the term claim very broadly under § 101(5), so that "all legal obligations of the debtor, no matter how remote or contingent, will be able to be dealt with in the bankruptcy case." </w:t>
      </w:r>
    </w:p>
    <w:p w14:paraId="450D7E1E"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Since the enactment of § 101(5),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 101(5).</w:t>
      </w:r>
    </w:p>
    <w:p w14:paraId="31AC2974"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payment arises when the conduct giving rise to the alleged liability occurred. </w:t>
      </w:r>
      <w:bookmarkStart w:id="4700" w:name="OLE_LINK143"/>
      <w:r w:rsidRPr="007A5BBC">
        <w:rPr>
          <w:rFonts w:ascii="Times New Roman" w:hAnsi="Times New Roman"/>
          <w:szCs w:val="24"/>
        </w:rPr>
        <w:t>Epstein's position is that any right to payment arising out of the prepetition conduct of Piper, no matter how remote, should be deemed a claim and provided for, pursuant to § 101(5),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 101(5) of the Code.</w:t>
      </w:r>
    </w:p>
    <w:bookmarkEnd w:id="4700"/>
    <w:p w14:paraId="34BF17D7"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4701" w:name="OLE_LINK144"/>
      <w:bookmarkStart w:id="4702" w:name="OLE_LINK145"/>
      <w:r w:rsidRPr="007A5BBC">
        <w:rPr>
          <w:rFonts w:ascii="Times New Roman" w:hAnsi="Times New Roman"/>
          <w:szCs w:val="24"/>
        </w:rPr>
        <w:t>The prepetition relationship test, as adopted by the bankruptcy court and district court, requires "some prepetition relationship, such as contact, exposure, impact, or privity, between the debtor's prepetition conduct and the claimant" in order for the claimant to hold a § 101(5) claim.</w:t>
      </w:r>
    </w:p>
    <w:bookmarkEnd w:id="4701"/>
    <w:bookmarkEnd w:id="4702"/>
    <w:p w14:paraId="22025EA3"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 101(5).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Epstein espouses, would stretch the scope of § 101(5).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4703" w:name="OLE_LINK146"/>
      <w:bookmarkStart w:id="4704" w:name="OLE_LINK147"/>
      <w:r w:rsidRPr="007A5BBC">
        <w:rPr>
          <w:rFonts w:ascii="Times New Roman" w:hAnsi="Times New Roman"/>
          <w:szCs w:val="24"/>
        </w:rPr>
        <w:t xml:space="preserve">Piper test" in determining the scope of the term claim under § 101(5): an individual has a § 101(5) 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4703"/>
      <w:bookmarkEnd w:id="4704"/>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282C68D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confirmation connection established between Piper and the Future Claimants, the Future Claimants do not hold a § 101(5) claim arising out of Piper's prepetition design, manufacture, sale, and distribution of allegedly defective aircraft.</w:t>
      </w:r>
    </w:p>
    <w:p w14:paraId="74C1D1FE" w14:textId="0C7DD2A5" w:rsidR="00B87745"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5206AB34" w14:textId="77777777" w:rsidR="002D0AA1" w:rsidRPr="007A5BBC" w:rsidRDefault="002D0AA1" w:rsidP="00A473C5">
      <w:pPr>
        <w:ind w:firstLine="720"/>
        <w:jc w:val="both"/>
        <w:rPr>
          <w:rFonts w:ascii="Times New Roman" w:hAnsi="Times New Roman"/>
          <w:szCs w:val="24"/>
        </w:rPr>
      </w:pPr>
    </w:p>
    <w:p w14:paraId="434C85A7" w14:textId="64E2CA9F" w:rsidR="00B87745" w:rsidRPr="002D0AA1" w:rsidRDefault="007C1024" w:rsidP="00D95675">
      <w:pPr>
        <w:pStyle w:val="Heading3"/>
        <w:rPr>
          <w:u w:val="single"/>
        </w:rPr>
      </w:pPr>
      <w:hyperlink r:id="rId240" w:history="1">
        <w:bookmarkStart w:id="4705" w:name="_Toc87039351"/>
        <w:bookmarkStart w:id="4706" w:name="_Toc90983747"/>
        <w:r w:rsidR="00B87745" w:rsidRPr="002D0AA1">
          <w:rPr>
            <w:rStyle w:val="Hyperlink"/>
          </w:rPr>
          <w:t>I</w:t>
        </w:r>
        <w:r w:rsidR="00310847" w:rsidRPr="002D0AA1">
          <w:rPr>
            <w:rStyle w:val="Hyperlink"/>
          </w:rPr>
          <w:t xml:space="preserve">N RE FAIRCHILD AIRCRAFT CORP., </w:t>
        </w:r>
        <w:r w:rsidR="00B87745" w:rsidRPr="002D0AA1">
          <w:rPr>
            <w:rStyle w:val="Hyperlink"/>
          </w:rPr>
          <w:t>184 B</w:t>
        </w:r>
        <w:r w:rsidR="000505A3" w:rsidRPr="002D0AA1">
          <w:rPr>
            <w:rStyle w:val="Hyperlink"/>
          </w:rPr>
          <w:t>.</w:t>
        </w:r>
        <w:r w:rsidR="00B87745" w:rsidRPr="002D0AA1">
          <w:rPr>
            <w:rStyle w:val="Hyperlink"/>
          </w:rPr>
          <w:t>R</w:t>
        </w:r>
        <w:r w:rsidR="000505A3" w:rsidRPr="002D0AA1">
          <w:rPr>
            <w:rStyle w:val="Hyperlink"/>
          </w:rPr>
          <w:t>.</w:t>
        </w:r>
        <w:r w:rsidR="00B87745" w:rsidRPr="002D0AA1">
          <w:rPr>
            <w:rStyle w:val="Hyperlink"/>
          </w:rPr>
          <w:t xml:space="preserve"> 910 (Bankr. W</w:t>
        </w:r>
        <w:r w:rsidR="00E255D0" w:rsidRPr="002D0AA1">
          <w:rPr>
            <w:rStyle w:val="Hyperlink"/>
          </w:rPr>
          <w:t>.</w:t>
        </w:r>
        <w:r w:rsidR="00B87745" w:rsidRPr="002D0AA1">
          <w:rPr>
            <w:rStyle w:val="Hyperlink"/>
          </w:rPr>
          <w:t>D</w:t>
        </w:r>
        <w:r w:rsidR="00E255D0" w:rsidRPr="002D0AA1">
          <w:rPr>
            <w:rStyle w:val="Hyperlink"/>
          </w:rPr>
          <w:t>.</w:t>
        </w:r>
        <w:r w:rsidR="00B87745" w:rsidRPr="002D0AA1">
          <w:rPr>
            <w:rStyle w:val="Hyperlink"/>
          </w:rPr>
          <w:t xml:space="preserve"> Tex</w:t>
        </w:r>
        <w:r w:rsidR="00E255D0" w:rsidRPr="002D0AA1">
          <w:rPr>
            <w:rStyle w:val="Hyperlink"/>
          </w:rPr>
          <w:t>.</w:t>
        </w:r>
        <w:r w:rsidR="00B87745" w:rsidRPr="002D0AA1">
          <w:rPr>
            <w:rStyle w:val="Hyperlink"/>
          </w:rPr>
          <w:t xml:space="preserve"> 1995)</w:t>
        </w:r>
        <w:bookmarkEnd w:id="4705"/>
        <w:bookmarkEnd w:id="4706"/>
      </w:hyperlink>
      <w:bookmarkStart w:id="4707" w:name="_Toc79693125"/>
      <w:bookmarkStart w:id="4708" w:name="_Toc79693445"/>
      <w:bookmarkStart w:id="4709" w:name="_Toc79693765"/>
      <w:bookmarkStart w:id="4710" w:name="_Toc79694082"/>
      <w:bookmarkStart w:id="4711" w:name="_Toc79694400"/>
      <w:bookmarkStart w:id="4712" w:name="_Toc79694720"/>
      <w:bookmarkStart w:id="4713" w:name="_Toc79695034"/>
      <w:bookmarkStart w:id="4714" w:name="_Toc79695350"/>
      <w:bookmarkStart w:id="4715" w:name="_Toc79695666"/>
      <w:bookmarkStart w:id="4716" w:name="_Toc79695982"/>
      <w:bookmarkStart w:id="4717" w:name="_Toc79696298"/>
      <w:bookmarkStart w:id="4718" w:name="_Toc79696614"/>
      <w:bookmarkStart w:id="4719" w:name="_Toc79696935"/>
      <w:bookmarkStart w:id="4720" w:name="_Toc79697267"/>
      <w:bookmarkStart w:id="4721" w:name="_Toc79697596"/>
      <w:bookmarkStart w:id="4722" w:name="_Toc79699267"/>
      <w:bookmarkStart w:id="4723" w:name="_Toc79699593"/>
      <w:bookmarkStart w:id="4724" w:name="_Toc79699931"/>
      <w:bookmarkStart w:id="4725" w:name="_Toc79700251"/>
      <w:bookmarkStart w:id="4726" w:name="_Toc79700573"/>
      <w:bookmarkStart w:id="4727" w:name="_Toc79700895"/>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r w:rsidR="002D0AA1" w:rsidRPr="002D0AA1">
        <w:rPr>
          <w:rStyle w:val="Hyperlink"/>
        </w:rPr>
        <w:br/>
      </w:r>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 would like to stop the defendants in their tracks without ever having to defend against a successor liability lawsuit. It is not hard to understand why. Even if FAI believes the 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51EEB8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must first be sure to understand the nature of the particular claim with which we are here presented. Then we must next determine whether it is in fact a "bankruptcy claim" within the meaning of section 101(5)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4728" w:name="OLE_LINK148"/>
      <w:bookmarkStart w:id="4729" w:name="OLE_LINK149"/>
      <w:r w:rsidRPr="007A5BBC">
        <w:rPr>
          <w:rFonts w:ascii="Times New Roman" w:hAnsi="Times New Roman"/>
          <w:szCs w:val="24"/>
        </w:rPr>
        <w:t>A successor by purchase may be held liable for the debts or liabilities of its predecessor where: (1) there is an express or implied assumption of liability; (2) the transaction amounts to a consolidation, merger 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4728"/>
    <w:bookmarkEnd w:id="4729"/>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Concerned about the broad sweep of the "conduct" test and its adverse impact on notions of fundamental fairness, several courts have devised yet a third approach, characterized as the "relationship" or "conduct plus" test. The "relationship" test looks not merely to the conduct of the 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bankruptcy conduct. The court must also inquire into the relationship of the debtor and the alleged claimant. A claim for bankruptcy purposes will exist only where "some prepetition relationship, such as contact, exposure, impact, or privity, between the debtor's prepetition conduct and the claimant" is established.</w:t>
      </w:r>
    </w:p>
    <w:p w14:paraId="118C92E2" w14:textId="1F48533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41"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(5th 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section 101(5).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4730"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at a minimum, there must be evidence that would permit the debtor to identify, during the course of the bankruptcy proceedings, potential victims and thereby permit notice to these potential victims of the pendency of the proceedings.</w:t>
      </w:r>
    </w:p>
    <w:bookmarkEnd w:id="4730"/>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inquiry, we find 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bankruptcy activities was that associated with the possibility that at least one of the planes that it manufactured might fall out of the sky, for reasons ultimately attributable to something FAC did. Cigarette manufacturers face 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bankruptcy process, after all, has its antecedents in equity. Courts have an affirmative duty to assure that the process, within the confines of the law, achieve a fair and equitable result.</w:t>
      </w:r>
    </w:p>
    <w:p w14:paraId="14B10C3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section 1141(c)).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To be sure, some sort of notice is indicated —mandated, in fact — by the case law in class actions. Publication notice of the broadest sort feasible is certainly a common feature in 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have posited the "legal representative" as one device for assuring fundamental fairness for future claimants. It may not be the only way, of course. Each case will turn on its own facts. We know, for example, that a non-party could be bound to a prior judgment, where the non-party's 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thus reach the denouement of our dialectic. It is indeed possible to synthesize the antipodal notions of broad scope and fair treatment to arrive at a sensible and workable definition of bankruptcy claim. Congress was not, after all, posing an impossible conundrum. Instead, 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4731" w:name="OLE_LINK151"/>
      <w:bookmarkStart w:id="4732"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These claimants could have been claimants 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4731"/>
      <w:bookmarkEnd w:id="4732"/>
      <w:r w:rsidRPr="007A5BBC">
        <w:rPr>
          <w:rFonts w:ascii="Times New Roman" w:hAnsi="Times New Roman"/>
          <w:szCs w:val="24"/>
        </w:rPr>
        <w:t>To reiterate our dialectic, while the claims fit the thesis, they falter on the antithesis.</w:t>
      </w:r>
    </w:p>
    <w:p w14:paraId="7283CC5D" w14:textId="30CB563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Sections 1141(a), 1141(c) and 1141(d) could have provided the relief suggested by FAI, but those sections all have one limiting characteristic in common. Before one can be bound by a plan, have property transferred free and clear or their interest or be subject to the debtor's discharge, the person must hold a "bankruptcy claim." Since, these liabilities cannot properly be considered claims, these </w:t>
      </w:r>
      <w:bookmarkStart w:id="4733" w:name="OLE_LINK153"/>
      <w:bookmarkStart w:id="4734"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6B8422B5" w:rsidR="00683CFF"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4733"/>
      <w:bookmarkEnd w:id="4734"/>
      <w:r w:rsidRPr="007A5BBC">
        <w:rPr>
          <w:rFonts w:ascii="Times New Roman" w:hAnsi="Times New Roman"/>
          <w:szCs w:val="24"/>
        </w:rPr>
        <w:t>Summary judgment must be denied to plaintiffs, and entered in favor of defendants. An order will be entered consistent with this decision.</w:t>
      </w:r>
    </w:p>
    <w:p w14:paraId="473457A4" w14:textId="77777777" w:rsidR="002D0AA1" w:rsidRPr="007A5BBC" w:rsidRDefault="002D0AA1" w:rsidP="0009710D">
      <w:pPr>
        <w:ind w:firstLine="720"/>
        <w:jc w:val="both"/>
        <w:rPr>
          <w:rFonts w:ascii="Times New Roman" w:hAnsi="Times New Roman"/>
          <w:szCs w:val="24"/>
        </w:rPr>
      </w:pPr>
    </w:p>
    <w:p w14:paraId="618B7FE6" w14:textId="37E873FF" w:rsidR="00683CFF" w:rsidRPr="002D0AA1" w:rsidRDefault="007C1024" w:rsidP="002D0AA1">
      <w:pPr>
        <w:pStyle w:val="Heading3"/>
        <w:rPr>
          <w:u w:val="single"/>
        </w:rPr>
      </w:pPr>
      <w:hyperlink r:id="rId242" w:history="1">
        <w:bookmarkStart w:id="4735" w:name="_Toc87039352"/>
        <w:bookmarkStart w:id="4736" w:name="_Toc90983748"/>
        <w:r w:rsidR="00683CFF" w:rsidRPr="002D0AA1">
          <w:rPr>
            <w:rStyle w:val="Hyperlink"/>
          </w:rPr>
          <w:t>I</w:t>
        </w:r>
        <w:r w:rsidR="00310847" w:rsidRPr="002D0AA1">
          <w:rPr>
            <w:rStyle w:val="Hyperlink"/>
          </w:rPr>
          <w:t xml:space="preserve">N RE GROSSMAN’S INC., </w:t>
        </w:r>
        <w:r w:rsidR="00683CFF" w:rsidRPr="002D0AA1">
          <w:rPr>
            <w:rStyle w:val="Hyperlink"/>
          </w:rPr>
          <w:t xml:space="preserve">607 </w:t>
        </w:r>
        <w:r w:rsidR="008B5ADA" w:rsidRPr="002D0AA1">
          <w:rPr>
            <w:rStyle w:val="Hyperlink"/>
          </w:rPr>
          <w:t>F.3d</w:t>
        </w:r>
        <w:r w:rsidR="00683CFF" w:rsidRPr="002D0AA1">
          <w:rPr>
            <w:rStyle w:val="Hyperlink"/>
          </w:rPr>
          <w:t xml:space="preserve"> 114 (</w:t>
        </w:r>
        <w:r w:rsidR="001A75AB" w:rsidRPr="002D0AA1">
          <w:rPr>
            <w:rStyle w:val="Hyperlink"/>
          </w:rPr>
          <w:t>3d</w:t>
        </w:r>
        <w:r w:rsidR="00683CFF" w:rsidRPr="002D0AA1">
          <w:rPr>
            <w:rStyle w:val="Hyperlink"/>
          </w:rPr>
          <w:t xml:space="preserve"> Cir. 2010)</w:t>
        </w:r>
        <w:bookmarkEnd w:id="4735"/>
        <w:bookmarkEnd w:id="4736"/>
      </w:hyperlink>
      <w:bookmarkStart w:id="4737" w:name="_Toc79693126"/>
      <w:bookmarkStart w:id="4738" w:name="_Toc79693446"/>
      <w:bookmarkStart w:id="4739" w:name="_Toc79693766"/>
      <w:bookmarkStart w:id="4740" w:name="_Toc79694083"/>
      <w:bookmarkStart w:id="4741" w:name="_Toc79694401"/>
      <w:bookmarkStart w:id="4742" w:name="_Toc79694721"/>
      <w:bookmarkStart w:id="4743" w:name="_Toc79695035"/>
      <w:bookmarkStart w:id="4744" w:name="_Toc79695351"/>
      <w:bookmarkStart w:id="4745" w:name="_Toc79695667"/>
      <w:bookmarkStart w:id="4746" w:name="_Toc79695983"/>
      <w:bookmarkStart w:id="4747" w:name="_Toc79696299"/>
      <w:bookmarkStart w:id="4748" w:name="_Toc79696615"/>
      <w:bookmarkStart w:id="4749" w:name="_Toc79696936"/>
      <w:bookmarkStart w:id="4750" w:name="_Toc79697268"/>
      <w:bookmarkStart w:id="4751" w:name="_Toc79697597"/>
      <w:bookmarkStart w:id="4752" w:name="_Toc79699268"/>
      <w:bookmarkStart w:id="4753" w:name="_Toc79699594"/>
      <w:bookmarkStart w:id="4754" w:name="_Toc79699932"/>
      <w:bookmarkStart w:id="4755" w:name="_Toc79700252"/>
      <w:bookmarkStart w:id="4756" w:name="_Toc79700574"/>
      <w:bookmarkStart w:id="4757" w:name="_Toc7970089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r w:rsidR="002D0AA1" w:rsidRPr="002D0AA1">
        <w:rPr>
          <w:rStyle w:val="Hyperlink"/>
        </w:rPr>
        <w:br/>
      </w:r>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760207F1"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43"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 101(5)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 362 of the Bankruptcy Code which operates to stay the commencement or continuation of any "action or proceeding" that was or could have been commenced against the debtor. </w:t>
      </w:r>
    </w:p>
    <w:p w14:paraId="5D267E14" w14:textId="46F78EF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11 U.S.C. § 1141(d)(1)(A)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44"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Cir.1991)</w:t>
        </w:r>
      </w:hyperlink>
      <w:r w:rsidRPr="007A5BBC">
        <w:rPr>
          <w:rFonts w:ascii="Times New Roman" w:hAnsi="Times New Roman"/>
          <w:szCs w:val="24"/>
        </w:rPr>
        <w:t>. On the other hand, a broad discharge may disadvantage potential claimants, such as tort claimants, whose injuries were allegedly caused by the debtor but which have not yet manifested and who therefore had no reason to file claims in the bankruptcy. These competing considerations have not been resolved consistently by the cases decided to date.</w:t>
      </w:r>
    </w:p>
    <w:p w14:paraId="28BFA314" w14:textId="2234F25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45"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 101(5)"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64421EE4"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46"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 101(5).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[A]n individual has a § 101(5) claim against a debtor manufacturer if (i) events occurring before confirmation create a relationship, such as contact, exposure, impact, or privity, between the claimant and the debtor's product; and (ii) the basis for liability is the debtor's 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11 U.S.C. § 101(5).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4758" w:name="OLE_LINK155"/>
      <w:bookmarkStart w:id="4759"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That does not necessarily mean that the Van Brunts' claims were discharged by the Plan of Reorganization. Any application of the test to be applied cannot be divorced from fundamental principles of due process. </w:t>
      </w:r>
      <w:bookmarkEnd w:id="4758"/>
      <w:bookmarkEnd w:id="4759"/>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4EA3541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 524(g)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524(g)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 524(g) that Congress was concerned that future claims by presently unknown claimants could cripple the debtor's reorganization. By enacting § 524(g), Congress took account of the due process implications of discharging future claims of individuals whose injuries were not manifest at the time of the bankruptcy petition. </w:t>
      </w:r>
    </w:p>
    <w:p w14:paraId="60C6F4D9" w14:textId="78FC811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due process safeguards in § 524(g)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4760"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4760"/>
      <w:r w:rsidRPr="007A5BBC">
        <w:rPr>
          <w:rFonts w:ascii="Times New Roman" w:hAnsi="Times New Roman"/>
          <w:szCs w:val="24"/>
        </w:rPr>
        <w:t>The only open matter before the District Court is JELD-WEN's request for a declaration that the Van Brunts' claims had been discharged.</w:t>
      </w:r>
    </w:p>
    <w:p w14:paraId="5862C1F8" w14:textId="6BB6CCE9" w:rsidR="00121051" w:rsidRDefault="00683CFF" w:rsidP="00232384">
      <w:pPr>
        <w:ind w:firstLine="720"/>
        <w:jc w:val="both"/>
        <w:rPr>
          <w:rFonts w:ascii="Times New Roman" w:hAnsi="Times New Roman"/>
          <w:szCs w:val="24"/>
        </w:rPr>
      </w:pPr>
      <w:bookmarkStart w:id="4761" w:name="OLE_LINK158"/>
      <w:bookmarkStart w:id="4762"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whether and/or 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 524(g)</w:t>
      </w:r>
      <w:r w:rsidR="005F6A8B">
        <w:rPr>
          <w:rFonts w:ascii="Times New Roman" w:hAnsi="Times New Roman"/>
          <w:b/>
          <w:szCs w:val="24"/>
        </w:rPr>
        <w:t xml:space="preserve">. </w:t>
      </w:r>
      <w:bookmarkEnd w:id="4761"/>
      <w:bookmarkEnd w:id="4762"/>
      <w:r w:rsidRPr="007A5BBC">
        <w:rPr>
          <w:rFonts w:ascii="Times New Roman" w:hAnsi="Times New Roman"/>
          <w:szCs w:val="24"/>
        </w:rPr>
        <w:t>These are not factors for consideration in the first instance by this court sitting en banc. Accordingly, we will reverse the decision of the District Court and remand this case to the District Court for further proceedings consistent with this opinion.</w:t>
      </w:r>
    </w:p>
    <w:p w14:paraId="5EDFE73A" w14:textId="77777777" w:rsidR="002D0AA1" w:rsidRPr="007A5BBC" w:rsidRDefault="002D0AA1" w:rsidP="00232384">
      <w:pPr>
        <w:ind w:firstLine="720"/>
        <w:jc w:val="both"/>
        <w:rPr>
          <w:rFonts w:ascii="Times New Roman" w:hAnsi="Times New Roman"/>
          <w:szCs w:val="24"/>
        </w:rPr>
      </w:pPr>
    </w:p>
    <w:p w14:paraId="63AAFA46" w14:textId="053C1A2A" w:rsidR="00121051" w:rsidRPr="002D0AA1" w:rsidRDefault="007C1024" w:rsidP="00D95675">
      <w:pPr>
        <w:pStyle w:val="Heading3"/>
        <w:rPr>
          <w:u w:val="single"/>
        </w:rPr>
      </w:pPr>
      <w:hyperlink r:id="rId247" w:history="1">
        <w:bookmarkStart w:id="4763" w:name="_Toc87039353"/>
        <w:bookmarkStart w:id="4764" w:name="_Toc90983749"/>
        <w:r w:rsidR="00121051" w:rsidRPr="002D0AA1">
          <w:rPr>
            <w:rStyle w:val="Hyperlink"/>
          </w:rPr>
          <w:t>M</w:t>
        </w:r>
        <w:r w:rsidR="00310847" w:rsidRPr="002D0AA1">
          <w:rPr>
            <w:rStyle w:val="Hyperlink"/>
          </w:rPr>
          <w:t xml:space="preserve">AIDS INTERNATIONAL, INC. v. </w:t>
        </w:r>
        <w:r w:rsidR="002D0AA1" w:rsidRPr="002D0AA1">
          <w:rPr>
            <w:rStyle w:val="Hyperlink"/>
          </w:rPr>
          <w:t>WARD</w:t>
        </w:r>
        <w:r w:rsidR="00310847" w:rsidRPr="002D0AA1">
          <w:rPr>
            <w:rStyle w:val="Hyperlink"/>
          </w:rPr>
          <w:t xml:space="preserve">, </w:t>
        </w:r>
        <w:r w:rsidR="00121051" w:rsidRPr="002D0AA1">
          <w:rPr>
            <w:rStyle w:val="Hyperlink"/>
          </w:rPr>
          <w:t>194 B.R. 703 (Bankr. D. Mass. 1996)</w:t>
        </w:r>
        <w:bookmarkEnd w:id="4763"/>
        <w:bookmarkEnd w:id="4764"/>
      </w:hyperlink>
      <w:bookmarkStart w:id="4765" w:name="_Toc79693127"/>
      <w:bookmarkStart w:id="4766" w:name="_Toc79693447"/>
      <w:bookmarkStart w:id="4767" w:name="_Toc79693767"/>
      <w:bookmarkStart w:id="4768" w:name="_Toc79694084"/>
      <w:bookmarkStart w:id="4769" w:name="_Toc79694402"/>
      <w:bookmarkStart w:id="4770" w:name="_Toc79694722"/>
      <w:bookmarkStart w:id="4771" w:name="_Toc79695036"/>
      <w:bookmarkStart w:id="4772" w:name="_Toc79695352"/>
      <w:bookmarkStart w:id="4773" w:name="_Toc79695668"/>
      <w:bookmarkStart w:id="4774" w:name="_Toc79695984"/>
      <w:bookmarkStart w:id="4775" w:name="_Toc79696300"/>
      <w:bookmarkStart w:id="4776" w:name="_Toc79696616"/>
      <w:bookmarkStart w:id="4777" w:name="_Toc79696937"/>
      <w:bookmarkStart w:id="4778" w:name="_Toc79697269"/>
      <w:bookmarkStart w:id="4779" w:name="_Toc79697598"/>
      <w:bookmarkStart w:id="4780" w:name="_Toc79699269"/>
      <w:bookmarkStart w:id="4781" w:name="_Toc79699595"/>
      <w:bookmarkStart w:id="4782" w:name="_Toc79699933"/>
      <w:bookmarkStart w:id="4783" w:name="_Toc79700253"/>
      <w:bookmarkStart w:id="4784" w:name="_Toc79700575"/>
      <w:bookmarkStart w:id="4785" w:name="_Toc79700897"/>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r w:rsidR="002D0AA1" w:rsidRPr="002D0AA1">
        <w:rPr>
          <w:rStyle w:val="Hyperlink"/>
        </w:rPr>
        <w:br/>
      </w:r>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persons, partnership or corporation, </w:t>
      </w:r>
      <w:r w:rsidRPr="007A5BBC">
        <w:rPr>
          <w:rFonts w:ascii="Times New Roman" w:hAnsi="Times New Roman"/>
          <w:b/>
          <w:szCs w:val="24"/>
        </w:rPr>
        <w:t>own, maintain, engage in, or participate in the operation of a maintenance and 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April 9, 1994. Maids then brought suit in the District Court of Douglas County, Nebraska. On July 20, 1995, that court entered a default judgment against the Debtors in the sum of $61,056. Apparently 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Section 101(5)]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6135A488"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48"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4786" w:name="OLE_LINK160"/>
      <w:bookmarkStart w:id="4787"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4786"/>
      <w:bookmarkEnd w:id="4787"/>
      <w:r w:rsidRPr="007A5BBC">
        <w:rPr>
          <w:rFonts w:ascii="Times New Roman" w:hAnsi="Times New Roman"/>
          <w:szCs w:val="24"/>
        </w:rPr>
        <w:t xml:space="preserve"> </w:t>
      </w:r>
      <w:bookmarkStart w:id="4788" w:name="OLE_LINK162"/>
      <w:bookmarkStart w:id="4789" w:name="OLE_LINK163"/>
      <w:r w:rsidRPr="007A5BBC">
        <w:rPr>
          <w:rFonts w:ascii="Times New Roman" w:hAnsi="Times New Roman"/>
          <w:szCs w:val="24"/>
        </w:rPr>
        <w:t xml:space="preserve">It imposes no requirement that the claimant exercise his right to payment or show an intent to exercise it. </w:t>
      </w:r>
      <w:bookmarkEnd w:id="4788"/>
      <w:bookmarkEnd w:id="4789"/>
      <w:r w:rsidRPr="007A5BBC">
        <w:rPr>
          <w:rFonts w:ascii="Times New Roman" w:hAnsi="Times New Roman"/>
          <w:szCs w:val="24"/>
        </w:rPr>
        <w:t>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damages need only be difficult, not impossible, to prove for equitable relief to be 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4790" w:name="OLE_LINK164"/>
      <w:bookmarkStart w:id="4791" w:name="OLE_LINK165"/>
      <w:r w:rsidRPr="007A5BBC">
        <w:rPr>
          <w:rFonts w:ascii="Times New Roman" w:hAnsi="Times New Roman"/>
          <w:szCs w:val="24"/>
        </w:rPr>
        <w:t xml:space="preserve">If the beneficiary of a covenant not to compete elects to receive damages for loss of future profits, he gets the lost profits. </w:t>
      </w:r>
      <w:bookmarkEnd w:id="4790"/>
      <w:bookmarkEnd w:id="4791"/>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4792" w:name="OLE_LINK166"/>
      <w:bookmarkStart w:id="4793"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4792"/>
      <w:bookmarkEnd w:id="4793"/>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4ACFC07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49"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Section 101(4)(B)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which there may be an alternative equitable remedy with the result that the equitable remedy will be susceptible to being discharged in bankruptcy. For example, </w:t>
      </w:r>
      <w:r w:rsidRPr="007A5BBC">
        <w:rPr>
          <w:rFonts w:ascii="Times New Roman" w:hAnsi="Times New Roman"/>
          <w:b/>
          <w:szCs w:val="24"/>
        </w:rPr>
        <w:t>in some States, a judgment for specific performance may be satisfied by an alternative right to payment, in the event performance is refused; in that event the creditor entitled to specific performance would have a "claim"</w:t>
      </w:r>
      <w:r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DC47F58" w:rsidR="00683CFF"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The 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65634C1" w14:textId="77777777" w:rsidR="002D0AA1" w:rsidRPr="007A5BBC" w:rsidRDefault="002D0AA1" w:rsidP="000F31F0">
      <w:pPr>
        <w:ind w:firstLine="720"/>
        <w:jc w:val="both"/>
        <w:rPr>
          <w:rFonts w:ascii="Times New Roman" w:hAnsi="Times New Roman"/>
          <w:szCs w:val="24"/>
        </w:rPr>
      </w:pPr>
    </w:p>
    <w:p w14:paraId="24900BCD" w14:textId="4BDD5442" w:rsidR="00683CFF" w:rsidRPr="007A5BBC" w:rsidRDefault="00121051" w:rsidP="002D0AA1">
      <w:pPr>
        <w:pStyle w:val="Heading2"/>
        <w:spacing w:line="240" w:lineRule="auto"/>
      </w:pPr>
      <w:bookmarkStart w:id="4794" w:name="_Toc417380881"/>
      <w:bookmarkStart w:id="4795" w:name="_Toc79699270"/>
      <w:bookmarkStart w:id="4796" w:name="_Toc79699596"/>
      <w:bookmarkStart w:id="4797" w:name="_Toc79699934"/>
      <w:bookmarkStart w:id="4798" w:name="_Toc79700254"/>
      <w:bookmarkStart w:id="4799" w:name="_Toc79700576"/>
      <w:bookmarkStart w:id="4800" w:name="_Toc87039354"/>
      <w:bookmarkStart w:id="4801" w:name="_Toc90983750"/>
      <w:r w:rsidRPr="007A5BBC">
        <w:t>Claim Procedures</w:t>
      </w:r>
      <w:bookmarkStart w:id="4802" w:name="_Toc79693128"/>
      <w:bookmarkStart w:id="4803" w:name="_Toc79693448"/>
      <w:bookmarkStart w:id="4804" w:name="_Toc79693768"/>
      <w:bookmarkStart w:id="4805" w:name="_Toc79694085"/>
      <w:bookmarkStart w:id="4806" w:name="_Toc79694723"/>
      <w:bookmarkStart w:id="4807" w:name="_Toc79695353"/>
      <w:bookmarkStart w:id="4808" w:name="_Toc79697599"/>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r w:rsidR="002D0AA1">
        <w:br/>
      </w:r>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0897DE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r w:rsidR="00CB0C7C" w:rsidRPr="007A5BBC">
        <w:rPr>
          <w:rFonts w:ascii="Times New Roman" w:hAnsi="Times New Roman"/>
          <w:szCs w:val="24"/>
        </w:rPr>
        <w:t>Bankruptcy Rule 3002(c)(5).</w:t>
      </w:r>
    </w:p>
    <w:p w14:paraId="56F127BC" w14:textId="5F0B1852"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Bankruptcy Rule 3003(c)(3)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0FC611C1"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r w:rsidRPr="007A5BBC">
        <w:rPr>
          <w:rFonts w:ascii="Times New Roman" w:hAnsi="Times New Roman"/>
          <w:szCs w:val="24"/>
        </w:rPr>
        <w:t>11 U.S.C. § 502(a)</w:t>
      </w:r>
      <w:r w:rsidR="005F6A8B">
        <w:rPr>
          <w:rFonts w:ascii="Times New Roman" w:hAnsi="Times New Roman"/>
          <w:szCs w:val="24"/>
        </w:rPr>
        <w:t xml:space="preserve">. </w:t>
      </w:r>
      <w:r w:rsidRPr="007A5BBC">
        <w:rPr>
          <w:rFonts w:ascii="Times New Roman" w:hAnsi="Times New Roman"/>
          <w:szCs w:val="24"/>
        </w:rPr>
        <w:t xml:space="preserve">Section 502(b)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Section 502(b) applies</w:t>
      </w:r>
      <w:r w:rsidR="005F6A8B">
        <w:rPr>
          <w:rFonts w:ascii="Times New Roman" w:hAnsi="Times New Roman"/>
          <w:szCs w:val="24"/>
        </w:rPr>
        <w:t xml:space="preserve">. </w:t>
      </w:r>
      <w:r w:rsidR="00CB0C7C" w:rsidRPr="0012134E">
        <w:rPr>
          <w:rFonts w:ascii="Times New Roman" w:hAnsi="Times New Roman"/>
          <w:i/>
          <w:iCs/>
          <w:szCs w:val="24"/>
        </w:rPr>
        <w:t>Id.</w:t>
      </w:r>
      <w:r w:rsidR="00CB0C7C" w:rsidRPr="007A5BBC">
        <w:rPr>
          <w:rFonts w:ascii="Times New Roman" w:hAnsi="Times New Roman"/>
          <w:szCs w:val="24"/>
        </w:rPr>
        <w:t>; 11 U.S.C. § 502(c)(1)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Section 502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r w:rsidR="002A4333">
        <w:rPr>
          <w:rFonts w:ascii="Times New Roman" w:hAnsi="Times New Roman"/>
          <w:szCs w:val="24"/>
        </w:rPr>
        <w:t>Section 506(b)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r w:rsidR="00CB0C7C" w:rsidRPr="007A5BBC">
        <w:rPr>
          <w:rFonts w:ascii="Times New Roman" w:hAnsi="Times New Roman"/>
          <w:szCs w:val="24"/>
        </w:rPr>
        <w:t>11 U.S.C. § 502(b)(2)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1A4D766D"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Section 502 contains two important claim limitations</w:t>
      </w:r>
      <w:r w:rsidR="005F6A8B">
        <w:rPr>
          <w:rFonts w:ascii="Times New Roman" w:hAnsi="Times New Roman"/>
          <w:szCs w:val="24"/>
        </w:rPr>
        <w:t xml:space="preserve">. </w:t>
      </w:r>
      <w:r w:rsidR="001E102A">
        <w:rPr>
          <w:rFonts w:ascii="Times New Roman" w:hAnsi="Times New Roman"/>
          <w:szCs w:val="24"/>
        </w:rPr>
        <w:t>First, t</w:t>
      </w:r>
      <w:r w:rsidRPr="007A5BBC">
        <w:rPr>
          <w:rFonts w:ascii="Times New Roman" w:hAnsi="Times New Roman"/>
          <w:szCs w:val="24"/>
        </w:rPr>
        <w:t>he claim</w:t>
      </w:r>
      <w:r w:rsidR="00AB65D7">
        <w:rPr>
          <w:rFonts w:ascii="Times New Roman" w:hAnsi="Times New Roman"/>
          <w:szCs w:val="24"/>
        </w:rPr>
        <w:t>s</w:t>
      </w:r>
      <w:r w:rsidRPr="007A5BBC">
        <w:rPr>
          <w:rFonts w:ascii="Times New Roman" w:hAnsi="Times New Roman"/>
          <w:szCs w:val="24"/>
        </w:rPr>
        <w:t xml:space="preserve"> </w:t>
      </w:r>
      <w:r w:rsidR="000E3B05" w:rsidRPr="007A5BBC">
        <w:rPr>
          <w:rFonts w:ascii="Times New Roman" w:hAnsi="Times New Roman"/>
          <w:szCs w:val="24"/>
        </w:rPr>
        <w:t xml:space="preserve">of </w:t>
      </w:r>
      <w:r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w:t>
      </w:r>
      <w:r w:rsidR="00AB65D7">
        <w:rPr>
          <w:rFonts w:ascii="Times New Roman" w:hAnsi="Times New Roman"/>
          <w:szCs w:val="24"/>
        </w:rPr>
        <w:t xml:space="preserve">long term </w:t>
      </w:r>
      <w:r w:rsidR="000E3B05" w:rsidRPr="007A5BBC">
        <w:rPr>
          <w:rFonts w:ascii="Times New Roman" w:hAnsi="Times New Roman"/>
          <w:szCs w:val="24"/>
        </w:rPr>
        <w:t xml:space="preserve">real property lease, and </w:t>
      </w:r>
      <w:r w:rsidR="00AB65D7">
        <w:rPr>
          <w:rFonts w:ascii="Times New Roman" w:hAnsi="Times New Roman"/>
          <w:szCs w:val="24"/>
        </w:rPr>
        <w:t xml:space="preserve">second </w:t>
      </w:r>
      <w:r w:rsidR="000E3B05" w:rsidRPr="007A5BBC">
        <w:rPr>
          <w:rFonts w:ascii="Times New Roman" w:hAnsi="Times New Roman"/>
          <w:szCs w:val="24"/>
        </w:rPr>
        <w:t>the claim</w:t>
      </w:r>
      <w:r w:rsidR="00AB65D7">
        <w:rPr>
          <w:rFonts w:ascii="Times New Roman" w:hAnsi="Times New Roman"/>
          <w:szCs w:val="24"/>
        </w:rPr>
        <w:t>s</w:t>
      </w:r>
      <w:r w:rsidR="000E3B05" w:rsidRPr="007A5BBC">
        <w:rPr>
          <w:rFonts w:ascii="Times New Roman" w:hAnsi="Times New Roman"/>
          <w:szCs w:val="24"/>
        </w:rPr>
        <w:t xml:space="preserve"> of an employee under a</w:t>
      </w:r>
      <w:r w:rsidR="00AB65D7">
        <w:rPr>
          <w:rFonts w:ascii="Times New Roman" w:hAnsi="Times New Roman"/>
          <w:szCs w:val="24"/>
        </w:rPr>
        <w:t xml:space="preserve"> long term </w:t>
      </w:r>
      <w:r w:rsidR="000E3B05" w:rsidRPr="007A5BBC">
        <w:rPr>
          <w:rFonts w:ascii="Times New Roman" w:hAnsi="Times New Roman"/>
          <w:szCs w:val="24"/>
        </w:rPr>
        <w:t xml:space="preserve">employment contract with an employer debtor, </w:t>
      </w:r>
      <w:r w:rsidR="00AB65D7">
        <w:rPr>
          <w:rFonts w:ascii="Times New Roman" w:hAnsi="Times New Roman"/>
          <w:szCs w:val="24"/>
        </w:rPr>
        <w:t>are</w:t>
      </w:r>
      <w:r w:rsidRPr="007A5BBC">
        <w:rPr>
          <w:rFonts w:ascii="Times New Roman" w:hAnsi="Times New Roman"/>
          <w:szCs w:val="24"/>
        </w:rPr>
        <w:t xml:space="preserve"> limited by formula</w:t>
      </w:r>
      <w:r w:rsidR="00445809">
        <w:rPr>
          <w:rFonts w:ascii="Times New Roman" w:hAnsi="Times New Roman"/>
          <w:szCs w:val="24"/>
        </w:rPr>
        <w:t>s</w:t>
      </w:r>
      <w:r w:rsidRPr="007A5BBC">
        <w:rPr>
          <w:rFonts w:ascii="Times New Roman" w:hAnsi="Times New Roman"/>
          <w:szCs w:val="24"/>
        </w:rPr>
        <w:t xml:space="preserve"> set forth in Section</w:t>
      </w:r>
      <w:r w:rsidR="00445809">
        <w:rPr>
          <w:rFonts w:ascii="Times New Roman" w:hAnsi="Times New Roman"/>
          <w:szCs w:val="24"/>
        </w:rPr>
        <w:t>s</w:t>
      </w:r>
      <w:r w:rsidRPr="007A5BBC">
        <w:rPr>
          <w:rFonts w:ascii="Times New Roman" w:hAnsi="Times New Roman"/>
          <w:szCs w:val="24"/>
        </w:rPr>
        <w:t xml:space="preserve"> 502(b)(6)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43FBAA03" w:rsidR="000E3B05" w:rsidRDefault="000E3B05" w:rsidP="000F31F0">
      <w:pPr>
        <w:ind w:firstLine="720"/>
        <w:jc w:val="both"/>
        <w:rPr>
          <w:rFonts w:ascii="Times New Roman" w:hAnsi="Times New Roman"/>
          <w:szCs w:val="24"/>
        </w:rPr>
      </w:pPr>
      <w:r w:rsidRPr="007A5BBC">
        <w:rPr>
          <w:rFonts w:ascii="Times New Roman" w:hAnsi="Times New Roman"/>
          <w:szCs w:val="24"/>
        </w:rPr>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r w:rsidRPr="007A5BBC">
        <w:rPr>
          <w:rFonts w:ascii="Times New Roman" w:hAnsi="Times New Roman"/>
          <w:szCs w:val="24"/>
        </w:rPr>
        <w:t>11 U.S.C. § 502(e)(1)(B)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28B60018" w14:textId="77777777" w:rsidR="002D0AA1" w:rsidRPr="007A5BBC" w:rsidRDefault="002D0AA1" w:rsidP="000F31F0">
      <w:pPr>
        <w:ind w:firstLine="720"/>
        <w:jc w:val="both"/>
        <w:rPr>
          <w:rFonts w:ascii="Times New Roman" w:hAnsi="Times New Roman"/>
          <w:szCs w:val="24"/>
        </w:rPr>
      </w:pPr>
    </w:p>
    <w:p w14:paraId="1F7B73E3" w14:textId="5BEEF419" w:rsidR="003536A3" w:rsidRDefault="000E3B05" w:rsidP="002D0AA1">
      <w:pPr>
        <w:pStyle w:val="Heading2"/>
        <w:spacing w:line="240" w:lineRule="auto"/>
      </w:pPr>
      <w:bookmarkStart w:id="4809" w:name="_Toc417380882"/>
      <w:bookmarkStart w:id="4810" w:name="_Toc79699271"/>
      <w:bookmarkStart w:id="4811" w:name="_Toc79699597"/>
      <w:bookmarkStart w:id="4812" w:name="_Toc79699935"/>
      <w:bookmarkStart w:id="4813" w:name="_Toc79700255"/>
      <w:bookmarkStart w:id="4814" w:name="_Toc79700577"/>
      <w:bookmarkStart w:id="4815" w:name="_Toc87039355"/>
      <w:bookmarkStart w:id="4816" w:name="_Toc90983751"/>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4809"/>
      <w:bookmarkEnd w:id="4810"/>
      <w:bookmarkEnd w:id="4811"/>
      <w:bookmarkEnd w:id="4812"/>
      <w:bookmarkEnd w:id="4813"/>
      <w:bookmarkEnd w:id="4814"/>
      <w:bookmarkEnd w:id="4815"/>
      <w:bookmarkEnd w:id="4816"/>
      <w:r w:rsidRPr="007A5BBC">
        <w:t xml:space="preserve"> </w:t>
      </w:r>
      <w:bookmarkStart w:id="4817" w:name="_Toc79693129"/>
      <w:bookmarkStart w:id="4818" w:name="_Toc79693449"/>
      <w:bookmarkStart w:id="4819" w:name="_Toc79693769"/>
      <w:bookmarkStart w:id="4820" w:name="_Toc79694086"/>
      <w:bookmarkStart w:id="4821" w:name="_Toc79694724"/>
      <w:bookmarkStart w:id="4822" w:name="_Toc79695354"/>
      <w:bookmarkStart w:id="4823" w:name="_Toc79697600"/>
      <w:bookmarkEnd w:id="4817"/>
      <w:bookmarkEnd w:id="4818"/>
      <w:bookmarkEnd w:id="4819"/>
      <w:bookmarkEnd w:id="4820"/>
      <w:bookmarkEnd w:id="4821"/>
      <w:bookmarkEnd w:id="4822"/>
      <w:bookmarkEnd w:id="4823"/>
      <w:r w:rsidR="002D0AA1">
        <w:br/>
      </w:r>
    </w:p>
    <w:p w14:paraId="67818981" w14:textId="06C2CD42" w:rsidR="003536A3" w:rsidRDefault="003536A3" w:rsidP="00CA016D">
      <w:pPr>
        <w:pStyle w:val="0-NORMAL"/>
      </w:pPr>
      <w:r w:rsidRPr="003536A3">
        <w:rPr>
          <w:b/>
        </w:rPr>
        <w:t>Problem 1</w:t>
      </w:r>
      <w:r w:rsidR="005F6A8B" w:rsidRPr="00232384">
        <w:rPr>
          <w:bCs/>
        </w:rPr>
        <w:t>.</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4824" w:name="OLE_LINK168"/>
    </w:p>
    <w:p w14:paraId="13CD5740" w14:textId="71F8E9C2" w:rsidR="000D5080" w:rsidRPr="003536A3" w:rsidRDefault="003536A3" w:rsidP="00AB65D7">
      <w:pPr>
        <w:pStyle w:val="0-NORMAL"/>
      </w:pPr>
      <w:r w:rsidRPr="003536A3">
        <w:rPr>
          <w:b/>
        </w:rPr>
        <w:t>Problem 2</w:t>
      </w:r>
      <w:r w:rsidR="005F6A8B" w:rsidRPr="00232384">
        <w:rPr>
          <w:bCs/>
        </w:rPr>
        <w:t>.</w:t>
      </w:r>
      <w:r w:rsidR="005F6A8B">
        <w:rPr>
          <w:b/>
        </w:rPr>
        <w:t xml:space="preserve"> </w:t>
      </w:r>
      <w:r w:rsidR="00547414" w:rsidRPr="003536A3">
        <w:t xml:space="preserve">Charles </w:t>
      </w:r>
      <w:r w:rsidR="00127112" w:rsidRPr="003536A3">
        <w:t xml:space="preserve">Swindle has made </w:t>
      </w:r>
      <w:r w:rsidR="00AB65D7">
        <w:t xml:space="preserve">a </w:t>
      </w:r>
      <w:r w:rsidR="00127112" w:rsidRPr="003536A3">
        <w:t xml:space="preserve">business </w:t>
      </w:r>
      <w:r w:rsidR="00AB65D7">
        <w:t xml:space="preserve">of filing </w:t>
      </w:r>
      <w:r w:rsidR="00127112" w:rsidRPr="003536A3">
        <w:t xml:space="preserve">proofs of claim in </w:t>
      </w:r>
      <w:r w:rsidR="00AB65D7">
        <w:t xml:space="preserve">numerous </w:t>
      </w:r>
      <w:r w:rsidR="00127112" w:rsidRPr="003536A3">
        <w:t>bankruptcy case</w:t>
      </w:r>
      <w:r w:rsidR="00AB65D7">
        <w:t xml:space="preserve">s, </w:t>
      </w:r>
      <w:r w:rsidR="00127112" w:rsidRPr="003536A3">
        <w:t>even though he is owed nothing by the debtor</w:t>
      </w:r>
      <w:r w:rsidR="00445809" w:rsidRPr="003536A3">
        <w:t>s</w:t>
      </w:r>
      <w:r w:rsidR="005F6A8B">
        <w:t xml:space="preserve">. </w:t>
      </w:r>
      <w:r w:rsidR="00127112" w:rsidRPr="003536A3">
        <w:t>Is Swindle entitled to a distribution on his false claim</w:t>
      </w:r>
      <w:r w:rsidR="00AB65D7">
        <w:t>s</w:t>
      </w:r>
      <w:r w:rsidR="00127112" w:rsidRPr="003536A3">
        <w:t xml:space="preserve"> if no one files a claim objection</w:t>
      </w:r>
      <w:r w:rsidR="00083725" w:rsidRPr="003536A3">
        <w:t xml:space="preserve">? </w:t>
      </w:r>
      <w:r w:rsidR="00127112" w:rsidRPr="003536A3">
        <w:t>11 U.S.C. § 502(a)</w:t>
      </w:r>
      <w:r w:rsidR="005F6A8B">
        <w:t xml:space="preserve">. </w:t>
      </w:r>
      <w:r w:rsidR="00127112" w:rsidRPr="003536A3">
        <w:t>Is there anything stopping mountebanks like Swindle from filing baseless proofs of claim in the hope that no one will notice or have the incentive to object</w:t>
      </w:r>
      <w:bookmarkStart w:id="4825" w:name="OLE_LINK169"/>
      <w:r w:rsidR="00083725" w:rsidRPr="003536A3">
        <w:t>?</w:t>
      </w:r>
      <w:r w:rsidR="00083725">
        <w:t xml:space="preserve"> </w:t>
      </w:r>
      <w:r w:rsidR="00AB65D7">
        <w:t>(The Official Proof of Claim form reads, above the signature line, “I have examined the information in this Proof of Claim and have a reasonable belief that the information is true and correct. I declare under penalty of perjury that the foregoing is true and correct.”).</w:t>
      </w:r>
    </w:p>
    <w:bookmarkEnd w:id="4824"/>
    <w:p w14:paraId="3B543148" w14:textId="606DF2D1" w:rsidR="00127112" w:rsidRPr="003536A3" w:rsidRDefault="003536A3" w:rsidP="00CA016D">
      <w:pPr>
        <w:pStyle w:val="0-NORMAL"/>
      </w:pPr>
      <w:r w:rsidRPr="003536A3">
        <w:rPr>
          <w:b/>
        </w:rPr>
        <w:t>Problem 3</w:t>
      </w:r>
      <w:r w:rsidR="005F6A8B" w:rsidRPr="00232384">
        <w:rPr>
          <w:bCs/>
        </w:rPr>
        <w:t>.</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Is there any reason for the student loan lender to file a proof of claim anyway</w:t>
      </w:r>
      <w:r w:rsidR="00083725" w:rsidRPr="003536A3">
        <w:t xml:space="preserve">? </w:t>
      </w:r>
      <w:r w:rsidR="00127112" w:rsidRPr="003536A3">
        <w:t>If the student loan lender does not file a proof of claim, might the debtor want to file a proof of claim for the creditor</w:t>
      </w:r>
      <w:r w:rsidR="00083725" w:rsidRPr="003536A3">
        <w:t xml:space="preserve">? </w:t>
      </w:r>
      <w:r w:rsidR="00127112" w:rsidRPr="00DA5356">
        <w:rPr>
          <w:i/>
          <w:iCs/>
        </w:rPr>
        <w:t xml:space="preserve">See </w:t>
      </w:r>
      <w:r w:rsidR="00127112" w:rsidRPr="003536A3">
        <w:t>11 U.S.C. § 501(c).</w:t>
      </w:r>
    </w:p>
    <w:p w14:paraId="63BC9A0D" w14:textId="45060C25" w:rsidR="00127112" w:rsidRPr="003536A3" w:rsidRDefault="003536A3" w:rsidP="00CA016D">
      <w:pPr>
        <w:pStyle w:val="0-NORMAL"/>
      </w:pPr>
      <w:bookmarkStart w:id="4826" w:name="OLE_LINK170"/>
      <w:bookmarkStart w:id="4827" w:name="OLE_LINK171"/>
      <w:bookmarkEnd w:id="4825"/>
      <w:r w:rsidRPr="003536A3">
        <w:rPr>
          <w:b/>
        </w:rPr>
        <w:t>Problem 4</w:t>
      </w:r>
      <w:r w:rsidR="005F6A8B" w:rsidRPr="00232384">
        <w:rPr>
          <w:bCs/>
        </w:rPr>
        <w:t>.</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The store 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Review 11 U.S.C. § 502(</w:t>
      </w:r>
      <w:r w:rsidR="00A9350C" w:rsidRPr="003536A3">
        <w:t>b</w:t>
      </w:r>
      <w:r w:rsidR="007E6F45" w:rsidRPr="003536A3">
        <w:t>)(6) carefully and calculate the claim amount.</w:t>
      </w:r>
      <w:bookmarkStart w:id="4828" w:name="OLE_LINK172"/>
      <w:bookmarkStart w:id="4829" w:name="OLE_LINK173"/>
    </w:p>
    <w:bookmarkEnd w:id="4826"/>
    <w:bookmarkEnd w:id="4827"/>
    <w:p w14:paraId="63D274CD" w14:textId="478B0266" w:rsidR="007E6F45" w:rsidRPr="003536A3" w:rsidRDefault="003536A3" w:rsidP="00CA016D">
      <w:pPr>
        <w:pStyle w:val="0-NORMAL"/>
      </w:pPr>
      <w:r w:rsidRPr="003536A3">
        <w:rPr>
          <w:b/>
        </w:rPr>
        <w:t>Problem 5</w:t>
      </w:r>
      <w:r w:rsidR="005F6A8B" w:rsidRPr="00232384">
        <w:rPr>
          <w:bCs/>
        </w:rPr>
        <w:t>.</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4828"/>
    <w:bookmarkEnd w:id="4829"/>
    <w:p w14:paraId="6908D4E5" w14:textId="123B4FF1" w:rsidR="007E6F45" w:rsidRPr="003536A3" w:rsidRDefault="003536A3" w:rsidP="00CA016D">
      <w:pPr>
        <w:pStyle w:val="0-NORMAL"/>
      </w:pPr>
      <w:r w:rsidRPr="003536A3">
        <w:rPr>
          <w:b/>
        </w:rPr>
        <w:t>Problem 6</w:t>
      </w:r>
      <w:r w:rsidR="005F6A8B" w:rsidRPr="00232384">
        <w:rPr>
          <w:bCs/>
        </w:rPr>
        <w:t>.</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At the time of bankruptcy, 25 years and 3 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The Judge has asked you to determine how much of the claim to allow</w:t>
      </w:r>
      <w:r w:rsidR="005F6A8B">
        <w:t xml:space="preserve">. </w:t>
      </w:r>
      <w:r w:rsidR="00745B30" w:rsidRPr="003536A3">
        <w:t>Review 11 U.S.C. § 502(</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558ACFDD" w:rsidR="00745B30" w:rsidRDefault="003536A3" w:rsidP="00CA016D">
      <w:pPr>
        <w:pStyle w:val="0-NORMAL"/>
      </w:pPr>
      <w:bookmarkStart w:id="4830" w:name="OLE_LINK174"/>
      <w:bookmarkStart w:id="4831" w:name="OLE_LINK175"/>
      <w:r w:rsidRPr="003536A3">
        <w:rPr>
          <w:b/>
        </w:rPr>
        <w:t>Problem 7</w:t>
      </w:r>
      <w:r w:rsidR="005F6A8B" w:rsidRPr="00232384">
        <w:rPr>
          <w:bCs/>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745B30" w:rsidRPr="003536A3">
        <w:t xml:space="preserve"> Review 11 U.S.C. § 502(e)(1)(B) carefully to answer this question.</w:t>
      </w:r>
    </w:p>
    <w:p w14:paraId="49553EE8" w14:textId="77777777" w:rsidR="002D0AA1" w:rsidRPr="003536A3" w:rsidRDefault="002D0AA1" w:rsidP="00CA016D">
      <w:pPr>
        <w:pStyle w:val="0-NORMAL"/>
      </w:pPr>
    </w:p>
    <w:p w14:paraId="5810D76F" w14:textId="19C8E942" w:rsidR="00745B30" w:rsidRPr="007A5BBC" w:rsidRDefault="00646EC9" w:rsidP="002D0AA1">
      <w:pPr>
        <w:pStyle w:val="Heading2"/>
        <w:spacing w:line="240" w:lineRule="auto"/>
      </w:pPr>
      <w:bookmarkStart w:id="4832" w:name="_Toc417380883"/>
      <w:bookmarkStart w:id="4833" w:name="_Toc79699272"/>
      <w:bookmarkStart w:id="4834" w:name="_Toc79699598"/>
      <w:bookmarkStart w:id="4835" w:name="_Toc79699936"/>
      <w:bookmarkStart w:id="4836" w:name="_Toc79700256"/>
      <w:bookmarkStart w:id="4837" w:name="_Toc79700578"/>
      <w:bookmarkStart w:id="4838" w:name="_Toc87039356"/>
      <w:bookmarkStart w:id="4839" w:name="_Toc90983752"/>
      <w:bookmarkEnd w:id="4830"/>
      <w:bookmarkEnd w:id="4831"/>
      <w:r>
        <w:t xml:space="preserve">Cases on </w:t>
      </w:r>
      <w:r w:rsidR="00DC704F" w:rsidRPr="007A5BBC">
        <w:t>Claim Estimation and Limitations</w:t>
      </w:r>
      <w:bookmarkStart w:id="4840" w:name="_Toc79693130"/>
      <w:bookmarkStart w:id="4841" w:name="_Toc79693450"/>
      <w:bookmarkStart w:id="4842" w:name="_Toc79693770"/>
      <w:bookmarkStart w:id="4843" w:name="_Toc79694087"/>
      <w:bookmarkStart w:id="4844" w:name="_Toc79694725"/>
      <w:bookmarkStart w:id="4845" w:name="_Toc79695355"/>
      <w:bookmarkStart w:id="4846" w:name="_Toc7969760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r w:rsidR="002D0AA1">
        <w:br/>
      </w:r>
    </w:p>
    <w:p w14:paraId="12F5166B" w14:textId="3E65EABB" w:rsidR="00DA1322" w:rsidRPr="002D0AA1" w:rsidRDefault="007C1024" w:rsidP="002D0AA1">
      <w:pPr>
        <w:pStyle w:val="Heading3"/>
        <w:rPr>
          <w:u w:val="single"/>
        </w:rPr>
      </w:pPr>
      <w:hyperlink r:id="rId250" w:history="1">
        <w:bookmarkStart w:id="4847" w:name="_Toc87039357"/>
        <w:bookmarkStart w:id="4848" w:name="_Toc90983753"/>
        <w:r w:rsidR="00DA1322" w:rsidRPr="002D0AA1">
          <w:rPr>
            <w:rStyle w:val="Hyperlink"/>
          </w:rPr>
          <w:t>I</w:t>
        </w:r>
        <w:r w:rsidR="00310847" w:rsidRPr="002D0AA1">
          <w:rPr>
            <w:rStyle w:val="Hyperlink"/>
          </w:rPr>
          <w:t xml:space="preserve">N RE RADIO-KEITH-ORPHEUM CORPORATION, </w:t>
        </w:r>
        <w:r w:rsidR="00DA1322" w:rsidRPr="002D0AA1">
          <w:rPr>
            <w:rStyle w:val="Hyperlink"/>
          </w:rPr>
          <w:t>106 F.2d 22 (</w:t>
        </w:r>
        <w:r w:rsidR="00B17D36" w:rsidRPr="002D0AA1">
          <w:rPr>
            <w:rStyle w:val="Hyperlink"/>
          </w:rPr>
          <w:t>2d</w:t>
        </w:r>
        <w:r w:rsidR="00DA1322" w:rsidRPr="002D0AA1">
          <w:rPr>
            <w:rStyle w:val="Hyperlink"/>
          </w:rPr>
          <w:t xml:space="preserve"> Cir. 1939)</w:t>
        </w:r>
        <w:bookmarkEnd w:id="4847"/>
        <w:bookmarkEnd w:id="4848"/>
      </w:hyperlink>
      <w:bookmarkStart w:id="4849" w:name="_Toc79693131"/>
      <w:bookmarkStart w:id="4850" w:name="_Toc79693451"/>
      <w:bookmarkStart w:id="4851" w:name="_Toc79693771"/>
      <w:bookmarkStart w:id="4852" w:name="_Toc79694088"/>
      <w:bookmarkStart w:id="4853" w:name="_Toc79694406"/>
      <w:bookmarkStart w:id="4854" w:name="_Toc79694726"/>
      <w:bookmarkStart w:id="4855" w:name="_Toc79695040"/>
      <w:bookmarkStart w:id="4856" w:name="_Toc79695356"/>
      <w:bookmarkStart w:id="4857" w:name="_Toc79695672"/>
      <w:bookmarkStart w:id="4858" w:name="_Toc79695988"/>
      <w:bookmarkStart w:id="4859" w:name="_Toc79696304"/>
      <w:bookmarkStart w:id="4860" w:name="_Toc79696620"/>
      <w:bookmarkStart w:id="4861" w:name="_Toc79696941"/>
      <w:bookmarkStart w:id="4862" w:name="_Toc79697273"/>
      <w:bookmarkStart w:id="4863" w:name="_Toc79697602"/>
      <w:bookmarkStart w:id="4864" w:name="_Toc79699273"/>
      <w:bookmarkStart w:id="4865" w:name="_Toc79699599"/>
      <w:bookmarkStart w:id="4866" w:name="_Toc79699937"/>
      <w:bookmarkStart w:id="4867" w:name="_Toc79700257"/>
      <w:bookmarkStart w:id="4868" w:name="_Toc79700579"/>
      <w:bookmarkStart w:id="4869" w:name="_Toc79700901"/>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r w:rsidR="002D0AA1" w:rsidRPr="002D0AA1">
        <w:rPr>
          <w:rStyle w:val="Hyperlink"/>
        </w:rPr>
        <w:br/>
      </w:r>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The appellants insist that even with this change the plan is prejudicial to contingent claimants in their position and unduly favorable to unsecured creditors with accrued claims and to 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4870" w:name="OLE_LINK176"/>
      <w:bookmarkStart w:id="4871"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4870"/>
    <w:bookmarkEnd w:id="4871"/>
    <w:p w14:paraId="16040E88" w14:textId="66EADE2D" w:rsidR="00F94CAA"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5B5A40CF" w14:textId="77777777" w:rsidR="002D0AA1" w:rsidRPr="007A5BBC" w:rsidRDefault="002D0AA1" w:rsidP="000F31F0">
      <w:pPr>
        <w:ind w:firstLine="720"/>
        <w:jc w:val="both"/>
        <w:rPr>
          <w:rFonts w:ascii="Times New Roman" w:hAnsi="Times New Roman"/>
          <w:szCs w:val="24"/>
        </w:rPr>
      </w:pPr>
    </w:p>
    <w:p w14:paraId="1B7E9172" w14:textId="30752496" w:rsidR="00F94CAA" w:rsidRPr="002D0AA1" w:rsidRDefault="007C1024" w:rsidP="00D95675">
      <w:pPr>
        <w:pStyle w:val="Heading3"/>
        <w:rPr>
          <w:u w:val="single"/>
        </w:rPr>
      </w:pPr>
      <w:hyperlink r:id="rId251" w:history="1">
        <w:bookmarkStart w:id="4872" w:name="_Toc87039358"/>
        <w:bookmarkStart w:id="4873" w:name="_Toc90983754"/>
        <w:r w:rsidR="00F94CAA" w:rsidRPr="002D0AA1">
          <w:rPr>
            <w:rStyle w:val="Hyperlink"/>
          </w:rPr>
          <w:t>I</w:t>
        </w:r>
        <w:r w:rsidR="00310847" w:rsidRPr="002D0AA1">
          <w:rPr>
            <w:rStyle w:val="Hyperlink"/>
          </w:rPr>
          <w:t xml:space="preserve">N RE EL TORO MATERIALS COMPANY, INC., </w:t>
        </w:r>
        <w:r w:rsidR="00F94CAA" w:rsidRPr="002D0AA1">
          <w:rPr>
            <w:rStyle w:val="Hyperlink"/>
          </w:rPr>
          <w:t>504 F.3d 978 (9th Cir. 2007)</w:t>
        </w:r>
        <w:bookmarkEnd w:id="4872"/>
        <w:bookmarkEnd w:id="4873"/>
      </w:hyperlink>
      <w:bookmarkStart w:id="4874" w:name="_Toc79693132"/>
      <w:bookmarkStart w:id="4875" w:name="_Toc79693452"/>
      <w:bookmarkStart w:id="4876" w:name="_Toc79693772"/>
      <w:bookmarkStart w:id="4877" w:name="_Toc79694089"/>
      <w:bookmarkStart w:id="4878" w:name="_Toc79694407"/>
      <w:bookmarkStart w:id="4879" w:name="_Toc79694727"/>
      <w:bookmarkStart w:id="4880" w:name="_Toc79695041"/>
      <w:bookmarkStart w:id="4881" w:name="_Toc79695357"/>
      <w:bookmarkStart w:id="4882" w:name="_Toc79695673"/>
      <w:bookmarkStart w:id="4883" w:name="_Toc79695989"/>
      <w:bookmarkStart w:id="4884" w:name="_Toc79696305"/>
      <w:bookmarkStart w:id="4885" w:name="_Toc79696621"/>
      <w:bookmarkStart w:id="4886" w:name="_Toc79696942"/>
      <w:bookmarkStart w:id="4887" w:name="_Toc79697274"/>
      <w:bookmarkStart w:id="4888" w:name="_Toc79697603"/>
      <w:bookmarkStart w:id="4889" w:name="_Toc79699274"/>
      <w:bookmarkStart w:id="4890" w:name="_Toc79699600"/>
      <w:bookmarkStart w:id="4891" w:name="_Toc79699938"/>
      <w:bookmarkStart w:id="4892" w:name="_Toc79700258"/>
      <w:bookmarkStart w:id="4893" w:name="_Toc79700580"/>
      <w:bookmarkStart w:id="4894" w:name="_Toc79700902"/>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r w:rsidR="002D0AA1" w:rsidRPr="002D0AA1">
        <w:rPr>
          <w:rStyle w:val="Hyperlink"/>
        </w:rPr>
        <w:br/>
      </w:r>
    </w:p>
    <w:p w14:paraId="619E7AFC" w14:textId="77777777" w:rsidR="00F94CAA" w:rsidRPr="007A5BBC" w:rsidRDefault="00F94CAA" w:rsidP="00F94CAA">
      <w:pPr>
        <w:ind w:firstLine="720"/>
        <w:rPr>
          <w:rFonts w:ascii="Times New Roman" w:hAnsi="Times New Roman"/>
          <w:szCs w:val="24"/>
        </w:rPr>
      </w:pPr>
      <w:r w:rsidRPr="007A5BBC">
        <w:rPr>
          <w:rFonts w:ascii="Times New Roman" w:hAnsi="Times New Roman"/>
          <w:szCs w:val="24"/>
        </w:rPr>
        <w:t>KOZINSKI,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interests of competing creditors through an extensive set of rules organizing, prioritizing and structuring claims against the estate. </w:t>
      </w:r>
    </w:p>
    <w:p w14:paraId="2C18917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bankruptcy estate of mining company El Toro Materials hopes to use one of these rules—a cap on damages "resulting from the termination of a lease of real property," id. § 502(b)(6)—to limit its liability for allegedly leaving one million tons of its wet clay "goo," mining equipment and other materials on Saddleback Community Church's property after rejecting its lease. </w:t>
      </w:r>
    </w:p>
    <w:p w14:paraId="4590F6D7"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section 502(b)(6)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for the loss of rental income they suffered when a bankrupt tenant rejected a long-term lease 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section 502(b)(6)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11 U.S.C. § 502(b)(6).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11 U.S.C. § 502(b)(6).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Assuming all other conditions remain constant, would the landlord have the same claim against the tenant if the tenant were to assume the lease rather than rejecting it? Here, Saddleback would still have the same claim it brings today had El Toro accepted the lease and committed to finish its term: The pile of dirt would still be allegedly trespassing on Saddleback's land and Saddleback still would have the same basis for its theories of nuisance, waste and breach of contract. </w:t>
      </w:r>
      <w:bookmarkStart w:id="4895" w:name="OLE_LINK178"/>
      <w:bookmarkStart w:id="4896"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4895"/>
    <w:bookmarkEnd w:id="4896"/>
    <w:p w14:paraId="358CB5C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Interpreting the section 502(b)(6)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1E82A04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52"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9th Cir. 1995)</w:t>
        </w:r>
      </w:hyperlink>
      <w:r w:rsidRPr="007A5BBC">
        <w:rPr>
          <w:rFonts w:ascii="Times New Roman" w:hAnsi="Times New Roman"/>
          <w:szCs w:val="24"/>
        </w:rPr>
        <w:t xml:space="preserve">, and therefore held that Saddleback's recovery against El Toro would be capped under section 502(b)(6). </w:t>
      </w:r>
      <w:bookmarkStart w:id="4897" w:name="OLE_LINK180"/>
      <w:bookmarkStart w:id="4898"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holds section 502(b)(6) to be a limit on tort claims other than those based on lost rent, rent-like payments or other damages directly arising from a tenant's failure to complete a lease term, it is overruled</w:t>
      </w:r>
      <w:bookmarkEnd w:id="4897"/>
      <w:bookmarkEnd w:id="4898"/>
      <w:r w:rsidRPr="007A5BBC">
        <w:rPr>
          <w:rFonts w:ascii="Times New Roman" w:hAnsi="Times New Roman"/>
          <w:szCs w:val="24"/>
        </w:rPr>
        <w:t>.</w:t>
      </w:r>
    </w:p>
    <w:p w14:paraId="085C6D0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Saddleback's argument that section 502(b)(6) does not cap its claim for damages is properly raised before us; Saddleback did not waive the argument by failing to question the breadth of the section 502(b)(6) cap in its cross-appeal from the bankruptcy court to the BAP, as the ruling of the bankruptcy court on this issue was entirely favorable to Saddleback. Saddleback had no reason to challenge a favorable decision.</w:t>
      </w:r>
    </w:p>
    <w:p w14:paraId="426E5156" w14:textId="19094ABD" w:rsidR="00DA1322"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1484E9A3" w14:textId="77777777" w:rsidR="002D0AA1" w:rsidRPr="007A5BBC" w:rsidRDefault="002D0AA1" w:rsidP="000F31F0">
      <w:pPr>
        <w:jc w:val="both"/>
        <w:rPr>
          <w:rFonts w:ascii="Times New Roman" w:hAnsi="Times New Roman"/>
          <w:szCs w:val="24"/>
        </w:rPr>
      </w:pPr>
    </w:p>
    <w:p w14:paraId="519F4567" w14:textId="58DC8CE5" w:rsidR="00F94CAA" w:rsidRPr="007A5BBC" w:rsidRDefault="00310847" w:rsidP="003351EA">
      <w:pPr>
        <w:pStyle w:val="Heading2"/>
        <w:spacing w:line="240" w:lineRule="auto"/>
      </w:pPr>
      <w:bookmarkStart w:id="4899" w:name="_Toc417380884"/>
      <w:bookmarkStart w:id="4900" w:name="_Toc79699275"/>
      <w:bookmarkStart w:id="4901" w:name="_Toc79699601"/>
      <w:bookmarkStart w:id="4902" w:name="_Toc79699939"/>
      <w:bookmarkStart w:id="4903" w:name="_Toc79700259"/>
      <w:bookmarkStart w:id="4904" w:name="_Toc79700581"/>
      <w:bookmarkStart w:id="4905" w:name="_Toc87039359"/>
      <w:bookmarkStart w:id="4906" w:name="_Toc90983755"/>
      <w:r>
        <w:t xml:space="preserve">Priority Claims </w:t>
      </w:r>
      <w:r w:rsidR="00CB2F4D" w:rsidRPr="007A5BBC">
        <w:t>– 11 U.S.C. § 507</w:t>
      </w:r>
      <w:bookmarkStart w:id="4907" w:name="_Toc79693133"/>
      <w:bookmarkStart w:id="4908" w:name="_Toc79693453"/>
      <w:bookmarkStart w:id="4909" w:name="_Toc79693773"/>
      <w:bookmarkStart w:id="4910" w:name="_Toc79694090"/>
      <w:bookmarkStart w:id="4911" w:name="_Toc79694728"/>
      <w:bookmarkStart w:id="4912" w:name="_Toc79695358"/>
      <w:bookmarkStart w:id="4913" w:name="_Toc79697604"/>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r w:rsidR="003351EA">
        <w:br/>
      </w:r>
    </w:p>
    <w:p w14:paraId="401C795C" w14:textId="58217DF1"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Note that Section 507 states the order of priorities</w:t>
      </w:r>
      <w:r w:rsidR="005F6A8B">
        <w:rPr>
          <w:rFonts w:ascii="Times New Roman" w:hAnsi="Times New Roman"/>
          <w:szCs w:val="24"/>
        </w:rPr>
        <w:t xml:space="preserve">. </w:t>
      </w:r>
      <w:r w:rsidRPr="007A5BBC">
        <w:rPr>
          <w:rFonts w:ascii="Times New Roman" w:hAnsi="Times New Roman"/>
          <w:szCs w:val="24"/>
        </w:rPr>
        <w:t xml:space="preserve">11 U.S.C. § 507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Under the absolute priority rule, higher priority creditors must be paid in full before lower priority creditors receive any distribution.</w:t>
      </w:r>
    </w:p>
    <w:p w14:paraId="7E1BEA13" w14:textId="0475D887"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r w:rsidRPr="007A5BBC">
        <w:rPr>
          <w:rFonts w:ascii="Times New Roman" w:hAnsi="Times New Roman"/>
          <w:szCs w:val="24"/>
        </w:rPr>
        <w:t>11 U.S.C. § 507(a)(2); 503</w:t>
      </w:r>
      <w:r w:rsidR="005F6A8B">
        <w:rPr>
          <w:rFonts w:ascii="Times New Roman" w:hAnsi="Times New Roman"/>
          <w:szCs w:val="24"/>
        </w:rPr>
        <w:t xml:space="preserve">. </w:t>
      </w:r>
    </w:p>
    <w:p w14:paraId="4C7C7B4E" w14:textId="0E7B5DB9"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r w:rsidRPr="007A5BBC">
        <w:rPr>
          <w:rFonts w:ascii="Times New Roman" w:hAnsi="Times New Roman"/>
          <w:szCs w:val="24"/>
        </w:rPr>
        <w:t>11 U.S.C. § 507(a)(1)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r w:rsidRPr="007A5BBC">
        <w:rPr>
          <w:rFonts w:ascii="Times New Roman" w:hAnsi="Times New Roman"/>
          <w:szCs w:val="24"/>
        </w:rPr>
        <w:t>11 U.S.C. § 507(a)(1)(C).</w:t>
      </w:r>
    </w:p>
    <w:p w14:paraId="795498D4" w14:textId="2542594A"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Priorities are given to the Debtor’s employees for unpaid wages (11 U.S.C. § 507(a)(4)) and certain employee benefits (11 U.S.C. § 507(a)(5))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515FE9D8"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r w:rsidRPr="007A5BBC">
        <w:rPr>
          <w:rFonts w:ascii="Times New Roman" w:hAnsi="Times New Roman"/>
          <w:szCs w:val="24"/>
        </w:rPr>
        <w:t>11 U.S.C. § 507(a)(7).</w:t>
      </w:r>
    </w:p>
    <w:p w14:paraId="3EA0BEC0" w14:textId="6D16EACC"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r w:rsidRPr="007A5BBC">
        <w:rPr>
          <w:rFonts w:ascii="Times New Roman" w:hAnsi="Times New Roman"/>
          <w:szCs w:val="24"/>
        </w:rPr>
        <w:t>11 U.S.C. § 507(a)(8)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523(a)(1)(A)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7D09FE8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w:t>
      </w:r>
      <w:r w:rsidR="000F059A">
        <w:rPr>
          <w:rFonts w:ascii="Times New Roman" w:hAnsi="Times New Roman"/>
          <w:szCs w:val="24"/>
        </w:rPr>
        <w:t>,</w:t>
      </w:r>
      <w:r w:rsidRPr="007A5BBC">
        <w:rPr>
          <w:rFonts w:ascii="Times New Roman" w:hAnsi="Times New Roman"/>
          <w:szCs w:val="24"/>
        </w:rPr>
        <w:t xml:space="preserve"> then the taxes are subject to a priority</w:t>
      </w:r>
      <w:r w:rsidR="005F6A8B">
        <w:rPr>
          <w:rFonts w:ascii="Times New Roman" w:hAnsi="Times New Roman"/>
          <w:szCs w:val="24"/>
        </w:rPr>
        <w:t xml:space="preserve">. </w:t>
      </w:r>
      <w:r w:rsidR="000F059A">
        <w:rPr>
          <w:rFonts w:ascii="Times New Roman" w:hAnsi="Times New Roman"/>
          <w:szCs w:val="24"/>
        </w:rPr>
        <w:t>11 U.S.C. § 507(a)(8)(A)(i)</w:t>
      </w:r>
      <w:r w:rsidR="00083725">
        <w:rPr>
          <w:rFonts w:ascii="Times New Roman" w:hAnsi="Times New Roman"/>
          <w:szCs w:val="24"/>
        </w:rPr>
        <w:t xml:space="preserve">. </w:t>
      </w:r>
      <w:r w:rsidRPr="007A5BBC">
        <w:rPr>
          <w:rFonts w:ascii="Times New Roman" w:hAnsi="Times New Roman"/>
          <w:szCs w:val="24"/>
        </w:rPr>
        <w:t>Thus, for each tax year in which the debtor owes taxes, you must determine: (1) when the return for the tax year was due (usually April 15 of the following year if no extension, or October 15 if an extension was granted</w:t>
      </w:r>
      <w:r w:rsidR="000F059A">
        <w:rPr>
          <w:rFonts w:ascii="Times New Roman" w:hAnsi="Times New Roman"/>
          <w:szCs w:val="24"/>
        </w:rPr>
        <w:t>)</w:t>
      </w:r>
      <w:r w:rsidRPr="007A5BBC">
        <w:rPr>
          <w:rFonts w:ascii="Times New Roman" w:hAnsi="Times New Roman"/>
          <w:szCs w:val="24"/>
        </w:rPr>
        <w:t>,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r w:rsidR="000F059A">
        <w:rPr>
          <w:rFonts w:ascii="Times New Roman" w:hAnsi="Times New Roman"/>
          <w:szCs w:val="24"/>
        </w:rPr>
        <w:t xml:space="preserve"> </w:t>
      </w:r>
    </w:p>
    <w:p w14:paraId="148CAD53" w14:textId="764308DF"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 xml:space="preserve">Any taxes assessed within 240 days before bankruptcy are </w:t>
      </w:r>
      <w:r w:rsidR="000F059A">
        <w:rPr>
          <w:rFonts w:ascii="Times New Roman" w:hAnsi="Times New Roman"/>
          <w:szCs w:val="24"/>
        </w:rPr>
        <w:t xml:space="preserve">also </w:t>
      </w:r>
      <w:r w:rsidR="00FC0D7E" w:rsidRPr="007A5BBC">
        <w:rPr>
          <w:rFonts w:ascii="Times New Roman" w:hAnsi="Times New Roman"/>
          <w:szCs w:val="24"/>
        </w:rPr>
        <w:t>entitled to a priority</w:t>
      </w:r>
      <w:r w:rsidR="005F6A8B">
        <w:rPr>
          <w:rFonts w:ascii="Times New Roman" w:hAnsi="Times New Roman"/>
          <w:szCs w:val="24"/>
        </w:rPr>
        <w:t xml:space="preserve">. </w:t>
      </w:r>
      <w:r w:rsidR="00FC0D7E" w:rsidRPr="007A5BBC">
        <w:rPr>
          <w:rFonts w:ascii="Times New Roman" w:hAnsi="Times New Roman"/>
          <w:szCs w:val="24"/>
        </w:rPr>
        <w:t>11 U.S.C. § 507(a)(8)(a)(ii)</w:t>
      </w:r>
      <w:r w:rsidR="00083725">
        <w:rPr>
          <w:rFonts w:ascii="Times New Roman" w:hAnsi="Times New Roman"/>
          <w:szCs w:val="24"/>
        </w:rPr>
        <w:t xml:space="preserve">. </w:t>
      </w:r>
      <w:r w:rsidR="000F059A">
        <w:rPr>
          <w:rFonts w:ascii="Times New Roman" w:hAnsi="Times New Roman"/>
          <w:szCs w:val="24"/>
        </w:rPr>
        <w:t xml:space="preserve">Further, </w:t>
      </w:r>
      <w:r w:rsidR="00FC0D7E" w:rsidRPr="007A5BBC">
        <w:rPr>
          <w:rFonts w:ascii="Times New Roman" w:hAnsi="Times New Roman"/>
          <w:szCs w:val="24"/>
        </w:rPr>
        <w:t xml:space="preserve">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r w:rsidR="00FC0D7E" w:rsidRPr="007A5BBC">
        <w:rPr>
          <w:rFonts w:ascii="Times New Roman" w:hAnsi="Times New Roman"/>
          <w:szCs w:val="24"/>
        </w:rPr>
        <w:t>11 U.S.C. § 507(a)(8)(a)(ii)(I) and (II).</w:t>
      </w:r>
    </w:p>
    <w:p w14:paraId="71D58846" w14:textId="60557AFE"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 xml:space="preserve">Finally, taxes that have not been assessed but are assessable </w:t>
      </w:r>
      <w:r w:rsidR="000F059A">
        <w:rPr>
          <w:rFonts w:ascii="Times New Roman" w:hAnsi="Times New Roman"/>
          <w:szCs w:val="24"/>
        </w:rPr>
        <w:t xml:space="preserve">after bankruptcy </w:t>
      </w:r>
      <w:r w:rsidRPr="007A5BBC">
        <w:rPr>
          <w:rFonts w:ascii="Times New Roman" w:hAnsi="Times New Roman"/>
          <w:szCs w:val="24"/>
        </w:rPr>
        <w:t>are entitled to priority</w:t>
      </w:r>
      <w:r w:rsidR="005F6A8B">
        <w:rPr>
          <w:rFonts w:ascii="Times New Roman" w:hAnsi="Times New Roman"/>
          <w:szCs w:val="24"/>
        </w:rPr>
        <w:t xml:space="preserve">. </w:t>
      </w:r>
      <w:r w:rsidRPr="007A5BBC">
        <w:rPr>
          <w:rFonts w:ascii="Times New Roman" w:hAnsi="Times New Roman"/>
          <w:szCs w:val="24"/>
        </w:rPr>
        <w:t>11 U.S.C. § 507(a)(8)(A)(iii)</w:t>
      </w:r>
      <w:r w:rsidR="005F6A8B">
        <w:rPr>
          <w:rFonts w:ascii="Times New Roman" w:hAnsi="Times New Roman"/>
          <w:szCs w:val="24"/>
        </w:rPr>
        <w:t xml:space="preserve">. </w:t>
      </w:r>
      <w:r w:rsidRPr="007A5BBC">
        <w:rPr>
          <w:rFonts w:ascii="Times New Roman" w:hAnsi="Times New Roman"/>
          <w:szCs w:val="24"/>
        </w:rPr>
        <w:t>Normally, the IRS has three years from the time the debtor files an income tax return to assess a deficiency</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w:t>
      </w:r>
      <w:r w:rsidR="000F059A">
        <w:rPr>
          <w:rFonts w:ascii="Times New Roman" w:hAnsi="Times New Roman"/>
          <w:szCs w:val="24"/>
        </w:rPr>
        <w:t xml:space="preserve">only </w:t>
      </w:r>
      <w:r w:rsidR="001D16E2" w:rsidRPr="007A5BBC">
        <w:rPr>
          <w:rFonts w:ascii="Times New Roman" w:hAnsi="Times New Roman"/>
          <w:szCs w:val="24"/>
        </w:rPr>
        <w:t xml:space="preserve">because the debtor failed to file </w:t>
      </w:r>
      <w:r w:rsidR="000F059A">
        <w:rPr>
          <w:rFonts w:ascii="Times New Roman" w:hAnsi="Times New Roman"/>
          <w:szCs w:val="24"/>
        </w:rPr>
        <w:t xml:space="preserve">a return, </w:t>
      </w:r>
      <w:r w:rsidR="001D16E2" w:rsidRPr="007A5BBC">
        <w:rPr>
          <w:rFonts w:ascii="Times New Roman" w:hAnsi="Times New Roman"/>
          <w:szCs w:val="24"/>
        </w:rPr>
        <w:t>filed a late return, or committed tax fraud</w:t>
      </w:r>
      <w:r w:rsidR="005F6A8B">
        <w:rPr>
          <w:rFonts w:ascii="Times New Roman" w:hAnsi="Times New Roman"/>
          <w:szCs w:val="24"/>
        </w:rPr>
        <w:t xml:space="preserve">. </w:t>
      </w:r>
      <w:r w:rsidR="001D16E2" w:rsidRPr="007A5BBC">
        <w:rPr>
          <w:rFonts w:ascii="Times New Roman" w:hAnsi="Times New Roman"/>
          <w:szCs w:val="24"/>
        </w:rPr>
        <w:t>11 U.S.C. § 507(a)(8)(A)(iii) (</w:t>
      </w:r>
      <w:r w:rsidR="001D16E2" w:rsidRPr="00DA5356">
        <w:rPr>
          <w:rFonts w:ascii="Times New Roman" w:hAnsi="Times New Roman"/>
          <w:i/>
          <w:iCs/>
          <w:szCs w:val="24"/>
        </w:rPr>
        <w:t xml:space="preserve">see </w:t>
      </w:r>
      <w:r w:rsidR="001D16E2" w:rsidRPr="007A5BBC">
        <w:rPr>
          <w:rFonts w:ascii="Times New Roman" w:hAnsi="Times New Roman"/>
          <w:szCs w:val="24"/>
        </w:rPr>
        <w:t>reference to Section 523(a)(1)(B) and (C)).</w:t>
      </w:r>
    </w:p>
    <w:p w14:paraId="28F4418A" w14:textId="5EA0918E"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r w:rsidRPr="007A5BBC">
        <w:rPr>
          <w:rFonts w:ascii="Times New Roman" w:hAnsi="Times New Roman"/>
          <w:szCs w:val="24"/>
        </w:rPr>
        <w:t>11 U.S.C. § 507(a)(8)(C)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r w:rsidR="001D16E2" w:rsidRPr="007A5BBC">
        <w:rPr>
          <w:rFonts w:ascii="Times New Roman" w:hAnsi="Times New Roman"/>
          <w:szCs w:val="24"/>
        </w:rPr>
        <w:t>11 U.S.C. § 507(a)(8)(B)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r w:rsidR="001D16E2" w:rsidRPr="007A5BBC">
        <w:rPr>
          <w:rFonts w:ascii="Times New Roman" w:hAnsi="Times New Roman"/>
          <w:szCs w:val="24"/>
        </w:rPr>
        <w:t>11 U.S.C. § 507(a)(8)(D) and (E)</w:t>
      </w:r>
      <w:r w:rsidR="005F6A8B">
        <w:rPr>
          <w:rFonts w:ascii="Times New Roman" w:hAnsi="Times New Roman"/>
          <w:szCs w:val="24"/>
        </w:rPr>
        <w:t xml:space="preserve">. </w:t>
      </w:r>
    </w:p>
    <w:p w14:paraId="7B906092" w14:textId="210E23C2"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r w:rsidRPr="007A5BBC">
        <w:rPr>
          <w:rFonts w:ascii="Times New Roman" w:hAnsi="Times New Roman"/>
          <w:szCs w:val="24"/>
        </w:rPr>
        <w:t>11 U.S.C. § 507(a)(8)(G)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r w:rsidR="003351EA">
        <w:rPr>
          <w:rFonts w:ascii="Times New Roman" w:hAnsi="Times New Roman"/>
          <w:szCs w:val="24"/>
        </w:rPr>
        <w:br/>
      </w:r>
    </w:p>
    <w:p w14:paraId="2AFF9518" w14:textId="6F9AE0D5" w:rsidR="00310847" w:rsidRPr="00310847" w:rsidRDefault="00C60FEF" w:rsidP="003351EA">
      <w:pPr>
        <w:pStyle w:val="Heading2"/>
        <w:spacing w:line="240" w:lineRule="auto"/>
        <w:rPr>
          <w:szCs w:val="24"/>
        </w:rPr>
      </w:pPr>
      <w:bookmarkStart w:id="4914" w:name="_Toc79699276"/>
      <w:bookmarkStart w:id="4915" w:name="_Toc79699602"/>
      <w:bookmarkStart w:id="4916" w:name="_Toc79699940"/>
      <w:bookmarkStart w:id="4917" w:name="_Toc79700260"/>
      <w:bookmarkStart w:id="4918" w:name="_Toc79700582"/>
      <w:bookmarkStart w:id="4919" w:name="_Toc87039360"/>
      <w:bookmarkStart w:id="4920" w:name="_Toc417380885"/>
      <w:bookmarkStart w:id="4921" w:name="_Toc90983756"/>
      <w:bookmarkStart w:id="4922" w:name="OLE_LINK182"/>
      <w:bookmarkStart w:id="4923" w:name="OLE_LINK183"/>
      <w:r>
        <w:t>Practice Problems</w:t>
      </w:r>
      <w:r w:rsidR="00310847">
        <w:t>: Priority Claims</w:t>
      </w:r>
      <w:bookmarkStart w:id="4924" w:name="_Toc79693134"/>
      <w:bookmarkStart w:id="4925" w:name="_Toc79693454"/>
      <w:bookmarkStart w:id="4926" w:name="_Toc79693774"/>
      <w:bookmarkStart w:id="4927" w:name="_Toc79694091"/>
      <w:bookmarkStart w:id="4928" w:name="_Toc79694729"/>
      <w:bookmarkStart w:id="4929" w:name="_Toc79695359"/>
      <w:bookmarkStart w:id="4930" w:name="_Toc79697605"/>
      <w:bookmarkEnd w:id="4914"/>
      <w:bookmarkEnd w:id="4915"/>
      <w:bookmarkEnd w:id="4916"/>
      <w:bookmarkEnd w:id="4917"/>
      <w:bookmarkEnd w:id="4918"/>
      <w:bookmarkEnd w:id="4919"/>
      <w:bookmarkEnd w:id="4920"/>
      <w:bookmarkEnd w:id="4921"/>
      <w:bookmarkEnd w:id="4924"/>
      <w:bookmarkEnd w:id="4925"/>
      <w:bookmarkEnd w:id="4926"/>
      <w:bookmarkEnd w:id="4927"/>
      <w:bookmarkEnd w:id="4928"/>
      <w:bookmarkEnd w:id="4929"/>
      <w:bookmarkEnd w:id="4930"/>
      <w:r w:rsidR="003351EA">
        <w:rPr>
          <w:b w:val="0"/>
          <w:bCs w:val="0"/>
        </w:rPr>
        <w:br/>
      </w:r>
    </w:p>
    <w:p w14:paraId="5366E4C5" w14:textId="236790B6" w:rsidR="00310847" w:rsidRDefault="001A177E" w:rsidP="00BD448D">
      <w:pPr>
        <w:pStyle w:val="0-NORMAL"/>
      </w:pPr>
      <w:r w:rsidRPr="001A177E">
        <w:rPr>
          <w:b/>
        </w:rPr>
        <w:t>Problem 1</w:t>
      </w:r>
      <w:r w:rsidR="005F6A8B" w:rsidRPr="001A6661">
        <w:rPr>
          <w:bCs/>
        </w:rPr>
        <w:t xml:space="preserve">. </w:t>
      </w:r>
      <w:r w:rsidR="00A36A74" w:rsidRPr="00310847">
        <w:t>Assume that the Debtor did not obtain an extension</w:t>
      </w:r>
      <w:r w:rsidR="000F059A">
        <w:t xml:space="preserve">, </w:t>
      </w:r>
      <w:r w:rsidR="00A36A74" w:rsidRPr="00310847">
        <w:t>and that the Debtor’s tax returns were due on April 15 of each year</w:t>
      </w:r>
      <w:r w:rsidR="005F6A8B">
        <w:t xml:space="preserve">. </w:t>
      </w:r>
      <w:r w:rsidR="00A36A74" w:rsidRPr="00310847">
        <w:t xml:space="preserve">If the Debtor files bankruptcy on February 10, 2015, which years’ taxes will be </w:t>
      </w:r>
      <w:r w:rsidR="000F059A">
        <w:t xml:space="preserve">entitled to priority </w:t>
      </w:r>
      <w:r w:rsidR="00A36A74" w:rsidRPr="00310847">
        <w:t>under the look</w:t>
      </w:r>
      <w:r w:rsidR="007C51C5" w:rsidRPr="00310847">
        <w:t>-</w:t>
      </w:r>
      <w:r w:rsidR="00A36A74" w:rsidRPr="00310847">
        <w:t>back rule</w:t>
      </w:r>
      <w:r w:rsidR="00683EBB">
        <w:t>.</w:t>
      </w:r>
    </w:p>
    <w:p w14:paraId="5F6762DD" w14:textId="38021118" w:rsidR="00310847" w:rsidRDefault="001A177E" w:rsidP="00BD448D">
      <w:pPr>
        <w:pStyle w:val="0-NORMAL"/>
      </w:pPr>
      <w:r w:rsidRPr="001A177E">
        <w:rPr>
          <w:b/>
        </w:rPr>
        <w:t>Problem 2</w:t>
      </w:r>
      <w:r w:rsidR="005F6A8B" w:rsidRPr="001A6661">
        <w:rPr>
          <w:bCs/>
        </w:rPr>
        <w:t>.</w:t>
      </w:r>
      <w:r w:rsidR="005F6A8B">
        <w:rPr>
          <w:b/>
        </w:rPr>
        <w:t xml:space="preserve"> </w:t>
      </w:r>
      <w:r w:rsidR="00A36A74" w:rsidRPr="00310847">
        <w:t xml:space="preserve">Same question as </w:t>
      </w:r>
      <w:r>
        <w:t xml:space="preserve">Problem </w:t>
      </w:r>
      <w:r w:rsidR="001A5F10">
        <w:t>(</w:t>
      </w:r>
      <w:r>
        <w:t>1</w:t>
      </w:r>
      <w:r w:rsidR="001A5F10">
        <w:t>)</w:t>
      </w:r>
      <w:r>
        <w:t xml:space="preserve"> </w:t>
      </w:r>
      <w:r w:rsidR="00A36A74" w:rsidRPr="00310847">
        <w:t xml:space="preserve">except the </w:t>
      </w:r>
      <w:r w:rsidR="000F059A">
        <w:t>D</w:t>
      </w:r>
      <w:r w:rsidR="00A36A74" w:rsidRPr="00310847">
        <w:t>ebtor filed bankruptcy on September 21, 2015.</w:t>
      </w:r>
      <w:bookmarkEnd w:id="4922"/>
      <w:bookmarkEnd w:id="4923"/>
    </w:p>
    <w:p w14:paraId="22855A50" w14:textId="377916CD" w:rsidR="003351EA" w:rsidRPr="00310847" w:rsidRDefault="001A177E" w:rsidP="00511928">
      <w:pPr>
        <w:pStyle w:val="0-NORMAL"/>
      </w:pPr>
      <w:r w:rsidRPr="001A177E">
        <w:rPr>
          <w:b/>
        </w:rPr>
        <w:t>Problem 3</w:t>
      </w:r>
      <w:r w:rsidR="005F6A8B" w:rsidRPr="001A6661">
        <w:rPr>
          <w:bCs/>
        </w:rPr>
        <w:t>.</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w:t>
      </w:r>
      <w:r w:rsidR="00083725" w:rsidRPr="00310847">
        <w:t xml:space="preserve">? </w:t>
      </w:r>
      <w:r w:rsidR="00264C0C" w:rsidRPr="00DA5356">
        <w:rPr>
          <w:i/>
          <w:iCs/>
        </w:rPr>
        <w:t xml:space="preserve">See </w:t>
      </w:r>
      <w:r w:rsidR="00264C0C" w:rsidRPr="00310847">
        <w:t>11 U.S.C. § 507(d)</w:t>
      </w:r>
      <w:r w:rsidR="005F6A8B">
        <w:t xml:space="preserve">. </w:t>
      </w:r>
      <w:r w:rsidR="00264C0C" w:rsidRPr="00310847">
        <w:t>Is Wedgeman’s a subrogee or an assignee</w:t>
      </w:r>
      <w:r w:rsidR="00083725" w:rsidRPr="00310847">
        <w:rPr>
          <w:i/>
        </w:rPr>
        <w:t xml:space="preserve">? </w:t>
      </w:r>
      <w:r w:rsidR="00264C0C" w:rsidRPr="00310847">
        <w:rPr>
          <w:i/>
        </w:rPr>
        <w:t xml:space="preserve">See </w:t>
      </w:r>
      <w:hyperlink r:id="rId253"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(5th Cir.1982)</w:t>
        </w:r>
      </w:hyperlink>
      <w:r w:rsidR="00264C0C" w:rsidRPr="00310847">
        <w:t xml:space="preserve">; </w:t>
      </w:r>
      <w:hyperlink r:id="rId254"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0539C645" w:rsidR="00F94CAA" w:rsidRPr="007A5BBC" w:rsidRDefault="00F94CAA" w:rsidP="003351EA">
      <w:pPr>
        <w:pStyle w:val="Heading2"/>
        <w:spacing w:line="240" w:lineRule="auto"/>
      </w:pPr>
      <w:bookmarkStart w:id="4931" w:name="_Toc417380886"/>
      <w:bookmarkStart w:id="4932" w:name="_Toc79699277"/>
      <w:bookmarkStart w:id="4933" w:name="_Toc79699603"/>
      <w:bookmarkStart w:id="4934" w:name="_Toc79699941"/>
      <w:bookmarkStart w:id="4935" w:name="_Toc79700261"/>
      <w:bookmarkStart w:id="4936" w:name="_Toc79700583"/>
      <w:bookmarkStart w:id="4937" w:name="_Toc87039361"/>
      <w:bookmarkStart w:id="4938" w:name="_Toc90983757"/>
      <w:r w:rsidRPr="007A5BBC">
        <w:t>Subordination</w:t>
      </w:r>
      <w:r w:rsidR="00CB723B">
        <w:t xml:space="preserve"> – </w:t>
      </w:r>
      <w:r w:rsidR="00264C0C" w:rsidRPr="007A5BBC">
        <w:t>11 U.S.C. § 510</w:t>
      </w:r>
      <w:bookmarkStart w:id="4939" w:name="_Toc79693135"/>
      <w:bookmarkStart w:id="4940" w:name="_Toc79693455"/>
      <w:bookmarkStart w:id="4941" w:name="_Toc79693775"/>
      <w:bookmarkStart w:id="4942" w:name="_Toc79694092"/>
      <w:bookmarkStart w:id="4943" w:name="_Toc79694730"/>
      <w:bookmarkStart w:id="4944" w:name="_Toc79695360"/>
      <w:bookmarkStart w:id="4945" w:name="_Toc79697606"/>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r w:rsidR="003351EA">
        <w:br/>
      </w:r>
    </w:p>
    <w:p w14:paraId="372EA42C" w14:textId="3F073BC8"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510(a) of the Bankruptcy Code validates private subordination agreements</w:t>
      </w:r>
      <w:r w:rsidR="005F6A8B">
        <w:rPr>
          <w:rFonts w:ascii="Times New Roman" w:hAnsi="Times New Roman"/>
          <w:szCs w:val="24"/>
        </w:rPr>
        <w:t xml:space="preserve">. </w:t>
      </w:r>
      <w:r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Pr="007A5BBC">
        <w:rPr>
          <w:rFonts w:ascii="Times New Roman" w:hAnsi="Times New Roman"/>
          <w:szCs w:val="24"/>
        </w:rPr>
        <w:t>Contractual subordination is common in sophisticated secured and unsecured financing arrangements, such as corporate bonds and debentures.</w:t>
      </w:r>
    </w:p>
    <w:p w14:paraId="5BD71376" w14:textId="7CFA8B3E"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510(b) provides for automatic subordination of a rescission claim by a purchaser of securities</w:t>
      </w:r>
      <w:r w:rsidR="005F6A8B">
        <w:rPr>
          <w:rFonts w:ascii="Times New Roman" w:hAnsi="Times New Roman"/>
          <w:szCs w:val="24"/>
        </w:rPr>
        <w:t xml:space="preserve">. </w:t>
      </w:r>
      <w:r w:rsidRPr="007A5BBC">
        <w:rPr>
          <w:rFonts w:ascii="Times New Roman" w:hAnsi="Times New Roman"/>
          <w:szCs w:val="24"/>
        </w:rPr>
        <w:t>This prevents a buyer of stock, for example, from attempting to obtain priority over other stockholders by seeking rescission of the stock purchase (which, absent this provision, would make the buyer a creditor rather than a stockholder)</w:t>
      </w:r>
      <w:r w:rsidR="005F6A8B">
        <w:rPr>
          <w:rFonts w:ascii="Times New Roman" w:hAnsi="Times New Roman"/>
          <w:szCs w:val="24"/>
        </w:rPr>
        <w:t xml:space="preserve">. </w:t>
      </w:r>
      <w:r w:rsidRPr="007A5BBC">
        <w:rPr>
          <w:rFonts w:ascii="Times New Roman" w:hAnsi="Times New Roman"/>
          <w:szCs w:val="24"/>
        </w:rPr>
        <w:t>The provision subordinates the claim to the same priority as the security.</w:t>
      </w:r>
    </w:p>
    <w:p w14:paraId="0B33D5FC" w14:textId="1F17DD11" w:rsidR="00264C0C" w:rsidRPr="007A5BBC" w:rsidRDefault="00264C0C" w:rsidP="000F31F0">
      <w:pPr>
        <w:ind w:firstLine="720"/>
        <w:jc w:val="both"/>
        <w:rPr>
          <w:rFonts w:ascii="Times New Roman" w:hAnsi="Times New Roman"/>
          <w:szCs w:val="24"/>
        </w:rPr>
      </w:pPr>
      <w:r w:rsidRPr="007A5BBC">
        <w:rPr>
          <w:rFonts w:ascii="Times New Roman" w:hAnsi="Times New Roman"/>
          <w:szCs w:val="24"/>
        </w:rPr>
        <w:t>Section 510(c) gives the bankruptcy court the power to equitably subordinate claims</w:t>
      </w:r>
      <w:r w:rsidR="005F6A8B">
        <w:rPr>
          <w:rFonts w:ascii="Times New Roman" w:hAnsi="Times New Roman"/>
          <w:szCs w:val="24"/>
        </w:rPr>
        <w:t xml:space="preserve">. </w:t>
      </w:r>
      <w:r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55"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The doctrine has traditionally been used against insiders who have taken advantage of their position to benefit themselves at the expense 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56"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3E958220" w:rsidR="00264C0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08ADD2F4" w14:textId="77777777" w:rsidR="003351EA" w:rsidRPr="007A5BBC" w:rsidRDefault="003351EA" w:rsidP="000F31F0">
      <w:pPr>
        <w:jc w:val="both"/>
        <w:rPr>
          <w:rFonts w:ascii="Times New Roman" w:hAnsi="Times New Roman"/>
          <w:szCs w:val="24"/>
        </w:rPr>
      </w:pPr>
    </w:p>
    <w:p w14:paraId="72626692" w14:textId="69CA8302" w:rsidR="00C44171" w:rsidRPr="007A5BBC" w:rsidRDefault="00C342F1" w:rsidP="003351EA">
      <w:pPr>
        <w:pStyle w:val="Heading2"/>
        <w:spacing w:line="240" w:lineRule="auto"/>
      </w:pPr>
      <w:bookmarkStart w:id="4946" w:name="_Toc417380887"/>
      <w:bookmarkStart w:id="4947" w:name="_Toc79699278"/>
      <w:bookmarkStart w:id="4948" w:name="_Toc79699604"/>
      <w:bookmarkStart w:id="4949" w:name="_Toc79699942"/>
      <w:bookmarkStart w:id="4950" w:name="_Toc79700262"/>
      <w:bookmarkStart w:id="4951" w:name="_Toc79700584"/>
      <w:bookmarkStart w:id="4952" w:name="_Toc87039362"/>
      <w:bookmarkStart w:id="4953" w:name="_Toc90983758"/>
      <w:r w:rsidRPr="007A5BBC">
        <w:t>Abandonment</w:t>
      </w:r>
      <w:r w:rsidR="00CB723B">
        <w:t xml:space="preserve"> – </w:t>
      </w:r>
      <w:r w:rsidR="00C44171" w:rsidRPr="007A5BBC">
        <w:t>11 U.S.C. § 554</w:t>
      </w:r>
      <w:bookmarkStart w:id="4954" w:name="_Toc79693136"/>
      <w:bookmarkStart w:id="4955" w:name="_Toc79693456"/>
      <w:bookmarkStart w:id="4956" w:name="_Toc79693776"/>
      <w:bookmarkStart w:id="4957" w:name="_Toc79694093"/>
      <w:bookmarkStart w:id="4958" w:name="_Toc79694731"/>
      <w:bookmarkStart w:id="4959" w:name="_Toc79695361"/>
      <w:bookmarkStart w:id="4960" w:name="_Toc79697607"/>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r w:rsidR="003351EA">
        <w:br/>
      </w:r>
    </w:p>
    <w:p w14:paraId="5B0BA1D7" w14:textId="759B94CB" w:rsidR="00C44171" w:rsidRDefault="00C44171" w:rsidP="000F31F0">
      <w:pPr>
        <w:ind w:firstLine="720"/>
        <w:jc w:val="both"/>
        <w:rPr>
          <w:rFonts w:ascii="Times New Roman" w:hAnsi="Times New Roman"/>
          <w:szCs w:val="24"/>
        </w:rPr>
      </w:pPr>
      <w:r w:rsidRPr="007A5BBC">
        <w:rPr>
          <w:rFonts w:ascii="Times New Roman" w:hAnsi="Times New Roman"/>
          <w:szCs w:val="24"/>
        </w:rPr>
        <w:t>Section 554 allows the trustee to abandon property that is burdensome or of inconsequential value to the estate</w:t>
      </w:r>
      <w:r w:rsidR="005F6A8B">
        <w:rPr>
          <w:rFonts w:ascii="Times New Roman" w:hAnsi="Times New Roman"/>
          <w:szCs w:val="24"/>
        </w:rPr>
        <w:t xml:space="preserve">. </w:t>
      </w:r>
      <w:r w:rsidRPr="007A5BBC">
        <w:rPr>
          <w:rFonts w:ascii="Times New Roman" w:hAnsi="Times New Roman"/>
          <w:szCs w:val="24"/>
        </w:rPr>
        <w:t xml:space="preserve">The </w:t>
      </w:r>
      <w:r w:rsidR="007C51C5" w:rsidRPr="007A5BBC">
        <w:rPr>
          <w:rFonts w:ascii="Times New Roman" w:hAnsi="Times New Roman"/>
          <w:szCs w:val="24"/>
        </w:rPr>
        <w:t>Supreme Court</w:t>
      </w:r>
      <w:r w:rsidRPr="007A5BBC">
        <w:rPr>
          <w:rFonts w:ascii="Times New Roman" w:hAnsi="Times New Roman"/>
          <w:szCs w:val="24"/>
        </w:rPr>
        <w:t xml:space="preserve"> held that the power to abandon is not without limits, however, in </w:t>
      </w:r>
      <w:r w:rsidRPr="007A5BBC">
        <w:rPr>
          <w:rFonts w:ascii="Times New Roman" w:hAnsi="Times New Roman"/>
          <w:i/>
          <w:szCs w:val="24"/>
        </w:rPr>
        <w:t>Midlantic Nat’l Bank v. NJDEP</w:t>
      </w:r>
      <w:r w:rsidRPr="007A5BBC">
        <w:rPr>
          <w:rFonts w:ascii="Times New Roman" w:hAnsi="Times New Roman"/>
          <w:szCs w:val="24"/>
        </w:rPr>
        <w:t xml:space="preserve">, 474 U.S. 494 (1986), </w:t>
      </w:r>
      <w:r w:rsidR="00B424A2">
        <w:rPr>
          <w:rFonts w:ascii="Times New Roman" w:hAnsi="Times New Roman"/>
          <w:szCs w:val="24"/>
        </w:rPr>
        <w:t xml:space="preserve">reprinted below, </w:t>
      </w:r>
      <w:r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Pr="007A5BBC">
        <w:rPr>
          <w:rFonts w:ascii="Times New Roman" w:hAnsi="Times New Roman"/>
          <w:szCs w:val="24"/>
        </w:rPr>
        <w:t>If the trustee cannot abandon burdensome property, the estate must incur expenses relating to that property</w:t>
      </w:r>
      <w:r w:rsidR="005F6A8B">
        <w:rPr>
          <w:rFonts w:ascii="Times New Roman" w:hAnsi="Times New Roman"/>
          <w:szCs w:val="24"/>
        </w:rPr>
        <w:t xml:space="preserve">. </w:t>
      </w:r>
      <w:r w:rsidRPr="007A5BBC">
        <w:rPr>
          <w:rFonts w:ascii="Times New Roman" w:hAnsi="Times New Roman"/>
          <w:szCs w:val="24"/>
        </w:rPr>
        <w:t>The cost of cleaning up prepetition contamination essentially becomes a prepetition claim</w:t>
      </w:r>
      <w:r w:rsidR="005F6A8B">
        <w:rPr>
          <w:rFonts w:ascii="Times New Roman" w:hAnsi="Times New Roman"/>
          <w:szCs w:val="24"/>
        </w:rPr>
        <w:t xml:space="preserve">. </w:t>
      </w:r>
    </w:p>
    <w:p w14:paraId="0DEE1BB5" w14:textId="6D976FF7" w:rsidR="00280D22" w:rsidRDefault="00280D22" w:rsidP="00511928">
      <w:pPr>
        <w:jc w:val="both"/>
        <w:rPr>
          <w:rFonts w:ascii="Times New Roman" w:hAnsi="Times New Roman"/>
          <w:szCs w:val="24"/>
        </w:rPr>
      </w:pPr>
    </w:p>
    <w:p w14:paraId="65AF470C" w14:textId="10457BFE" w:rsidR="00BC225C" w:rsidRDefault="00BC225C" w:rsidP="00511928">
      <w:pPr>
        <w:jc w:val="both"/>
        <w:rPr>
          <w:rFonts w:ascii="Times New Roman" w:hAnsi="Times New Roman"/>
          <w:szCs w:val="24"/>
        </w:rPr>
      </w:pPr>
    </w:p>
    <w:p w14:paraId="54B27093" w14:textId="1BEA6379" w:rsidR="00BC225C" w:rsidRDefault="00BC225C" w:rsidP="00511928">
      <w:pPr>
        <w:jc w:val="both"/>
        <w:rPr>
          <w:rFonts w:ascii="Times New Roman" w:hAnsi="Times New Roman"/>
          <w:szCs w:val="24"/>
        </w:rPr>
      </w:pPr>
    </w:p>
    <w:p w14:paraId="09F6D7D3" w14:textId="00829098" w:rsidR="00BC225C" w:rsidRDefault="00BC225C" w:rsidP="00511928">
      <w:pPr>
        <w:jc w:val="both"/>
        <w:rPr>
          <w:rFonts w:ascii="Times New Roman" w:hAnsi="Times New Roman"/>
          <w:szCs w:val="24"/>
        </w:rPr>
      </w:pPr>
    </w:p>
    <w:p w14:paraId="2BF1BE68" w14:textId="77777777" w:rsidR="00BC225C" w:rsidRPr="007A5BBC" w:rsidRDefault="00BC225C" w:rsidP="00511928">
      <w:pPr>
        <w:jc w:val="both"/>
        <w:rPr>
          <w:rFonts w:ascii="Times New Roman" w:hAnsi="Times New Roman"/>
          <w:szCs w:val="24"/>
        </w:rPr>
      </w:pPr>
    </w:p>
    <w:p w14:paraId="0CF83612" w14:textId="6D7B9CB5" w:rsidR="00310847" w:rsidRPr="00310847" w:rsidRDefault="00646EC9" w:rsidP="003351EA">
      <w:pPr>
        <w:pStyle w:val="Heading2"/>
        <w:spacing w:line="240" w:lineRule="auto"/>
        <w:rPr>
          <w:color w:val="0000FF"/>
          <w:szCs w:val="24"/>
          <w:u w:val="single"/>
        </w:rPr>
      </w:pPr>
      <w:bookmarkStart w:id="4961" w:name="_Toc417380888"/>
      <w:bookmarkStart w:id="4962" w:name="_Toc79699279"/>
      <w:bookmarkStart w:id="4963" w:name="_Toc79699605"/>
      <w:bookmarkStart w:id="4964" w:name="_Toc79699943"/>
      <w:bookmarkStart w:id="4965" w:name="_Toc79700263"/>
      <w:bookmarkStart w:id="4966" w:name="_Toc79700585"/>
      <w:bookmarkStart w:id="4967" w:name="_Toc87039363"/>
      <w:bookmarkStart w:id="4968" w:name="_Toc90983759"/>
      <w:r>
        <w:t xml:space="preserve">Cases on </w:t>
      </w:r>
      <w:r w:rsidR="00C44171" w:rsidRPr="00310847">
        <w:t>Abandonment</w:t>
      </w:r>
      <w:r w:rsidR="0009710D" w:rsidRPr="007A5BBC">
        <w:t xml:space="preserve"> </w:t>
      </w:r>
      <w:bookmarkEnd w:id="4961"/>
      <w:r>
        <w:t>of Property in Bankruptcy</w:t>
      </w:r>
      <w:bookmarkStart w:id="4969" w:name="_Toc79693137"/>
      <w:bookmarkStart w:id="4970" w:name="_Toc79693457"/>
      <w:bookmarkStart w:id="4971" w:name="_Toc79693777"/>
      <w:bookmarkStart w:id="4972" w:name="_Toc79694094"/>
      <w:bookmarkStart w:id="4973" w:name="_Toc79694732"/>
      <w:bookmarkStart w:id="4974" w:name="_Toc79695362"/>
      <w:bookmarkStart w:id="4975" w:name="_Toc79697608"/>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r w:rsidR="003351EA">
        <w:br/>
      </w:r>
    </w:p>
    <w:p w14:paraId="2EF35736" w14:textId="1919E1EB" w:rsidR="00876F88" w:rsidRPr="003351EA" w:rsidRDefault="007C1024" w:rsidP="003351EA">
      <w:pPr>
        <w:pStyle w:val="Heading3"/>
        <w:rPr>
          <w:u w:val="single"/>
        </w:rPr>
      </w:pPr>
      <w:hyperlink r:id="rId257" w:history="1">
        <w:bookmarkStart w:id="4976" w:name="_Toc87039364"/>
        <w:bookmarkStart w:id="4977" w:name="_Toc90983760"/>
        <w:r w:rsidR="00876F88" w:rsidRPr="003351EA">
          <w:rPr>
            <w:rStyle w:val="Hyperlink"/>
          </w:rPr>
          <w:t>M</w:t>
        </w:r>
        <w:r w:rsidR="00310847" w:rsidRPr="003351EA">
          <w:rPr>
            <w:rStyle w:val="Hyperlink"/>
          </w:rPr>
          <w:t xml:space="preserve">IDLANTIC NAT’L BANK v. NJDEP, </w:t>
        </w:r>
        <w:r w:rsidR="00876F88" w:rsidRPr="003351EA">
          <w:rPr>
            <w:rStyle w:val="Hyperlink"/>
          </w:rPr>
          <w:t>474 U.S. 494 (1986)</w:t>
        </w:r>
        <w:bookmarkEnd w:id="4976"/>
        <w:bookmarkEnd w:id="4977"/>
      </w:hyperlink>
      <w:bookmarkStart w:id="4978" w:name="_Toc79693138"/>
      <w:bookmarkStart w:id="4979" w:name="_Toc79693458"/>
      <w:bookmarkStart w:id="4980" w:name="_Toc79693778"/>
      <w:bookmarkStart w:id="4981" w:name="_Toc79694095"/>
      <w:bookmarkStart w:id="4982" w:name="_Toc79694413"/>
      <w:bookmarkStart w:id="4983" w:name="_Toc79694733"/>
      <w:bookmarkStart w:id="4984" w:name="_Toc79695047"/>
      <w:bookmarkStart w:id="4985" w:name="_Toc79695363"/>
      <w:bookmarkStart w:id="4986" w:name="_Toc79695679"/>
      <w:bookmarkStart w:id="4987" w:name="_Toc79695995"/>
      <w:bookmarkStart w:id="4988" w:name="_Toc79696311"/>
      <w:bookmarkStart w:id="4989" w:name="_Toc79696627"/>
      <w:bookmarkStart w:id="4990" w:name="_Toc79696948"/>
      <w:bookmarkStart w:id="4991" w:name="_Toc79697280"/>
      <w:bookmarkStart w:id="4992" w:name="_Toc79697609"/>
      <w:bookmarkStart w:id="4993" w:name="_Toc79699280"/>
      <w:bookmarkStart w:id="4994" w:name="_Toc79699606"/>
      <w:bookmarkStart w:id="4995" w:name="_Toc79699944"/>
      <w:bookmarkStart w:id="4996" w:name="_Toc79700264"/>
      <w:bookmarkStart w:id="4997" w:name="_Toc79700586"/>
      <w:bookmarkStart w:id="4998" w:name="_Toc79700908"/>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r w:rsidR="003351EA" w:rsidRPr="003351EA">
        <w:rPr>
          <w:rStyle w:val="Hyperlink"/>
        </w:rPr>
        <w:br/>
      </w:r>
    </w:p>
    <w:p w14:paraId="486581AB" w14:textId="77777777" w:rsidR="00876F88" w:rsidRPr="007A5BBC" w:rsidRDefault="00876F88" w:rsidP="00876F88">
      <w:pPr>
        <w:ind w:firstLine="720"/>
        <w:rPr>
          <w:rFonts w:ascii="Times New Roman" w:hAnsi="Times New Roman"/>
          <w:szCs w:val="24"/>
        </w:rPr>
      </w:pPr>
      <w:r w:rsidRPr="007A5BBC">
        <w:rPr>
          <w:rFonts w:ascii="Times New Roman" w:hAnsi="Times New Roman"/>
          <w:szCs w:val="24"/>
        </w:rPr>
        <w:t>JUSTICE POWELL delivered the opinion of the Court.</w:t>
      </w:r>
    </w:p>
    <w:p w14:paraId="792C48C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These petitions for certiorari, arising out of the same bankruptcy proceeding, present the question whether § 554(a)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 554(a). No party to the bankruptcy proceeding disputed the trustee's allegation that the site was "burdensome" and of "inconsequential value to the estate" within the meaning of § 554.</w:t>
      </w:r>
    </w:p>
    <w:p w14:paraId="1D68C7F5" w14:textId="10447AE8"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28 U.S.C. § 959(b)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611E86B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 divided panel of the Court of Appeals for the Third Circuit reversed. Although the court found little guidance in the legislative history of § 554, it concluded that Congress had intended to codify the judge-made abandonment practice developed under the previous Bankruptcy Act. Under that law, where state law or general equitable principles protected certain 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We granted certiorari and consolidated these cases to determine whether the Court of Appeals properly construed § 554, 469 U.S. 1207 (1985). We now affirm.</w:t>
      </w:r>
    </w:p>
    <w:p w14:paraId="10521D81" w14:textId="1437B03F"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 554,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health and safety. For example, § 362(b)(5) permits the Government to enforce "nonmonetary" judgments against a debtor's estate. It is clear from the legislative history that one of the purposes of this exception is to protect public health and safety:</w:t>
      </w:r>
    </w:p>
    <w:p w14:paraId="54ECDB4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Petitioners have suggested that the existence of an express exception to the automatic stay undermines the inference of a similar exception to the abandonment power: had Congress sought to restrict similarly the scope of § 554, it would have enacted similar limiting provisions. This argument, however, fails to acknowledge the differences between the predecessors of §§ 554 and 362. As we have noted, the exceptions to the judicially created abandonment power were firmly established. But in enacting § 362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28 U.S.C. § 959(b) provides additional evidence that Congress did not intend for the Bankruptcy Code to preempt all state laws. Section 959(b) commands the trustee to "manage and operate the property in his possession . . . according to the requirements of the valid laws of the State." Petitioners have contended that § 959(b) is relevant only when the trustee is actually operating the business of the debtor, and not when he is liquidating it. Even though § 959(b) does not directly apply to an abandonment under § 554(a)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07860C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Although the reasons elaborated above suffice for us to conclude that Congress did not intend for the abandonment power to abrogate certain state and local laws, we find additional 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The Court noted that CERCLA] “also empowers the Federal Government to secure such relief as may be necessary to avert ‘imminent and substantial endangerment to the public health or welfare or the environment because of an actual or threatened release of a hazardous substance.’”  42 U.S.C. § 9606. In the face of Congress' undisputed concern over the risks of the improper storage and disposal of hazardous and toxic substances, we are unwilling to presume that, by enactment of § 554(a), Congress implicitly overturned longstanding restrictions on the common law abandonment power.</w:t>
      </w:r>
    </w:p>
    <w:p w14:paraId="1BBA80CA"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 554(a)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4999" w:name="OLE_LINK184"/>
      <w:bookmarkStart w:id="5000"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4999"/>
      <w:bookmarkEnd w:id="5000"/>
      <w:r w:rsidRPr="007A5BBC">
        <w:rPr>
          <w:rFonts w:ascii="Times New Roman" w:hAnsi="Times New Roman"/>
          <w:szCs w:val="24"/>
        </w:rPr>
        <w:t>.</w:t>
      </w:r>
      <w:r w:rsidRPr="007A5BBC">
        <w:rPr>
          <w:rFonts w:ascii="Times New Roman" w:hAnsi="Times New Roman"/>
          <w:szCs w:val="24"/>
          <w:vertAlign w:val="superscript"/>
        </w:rPr>
        <w:t>9</w:t>
      </w:r>
    </w:p>
    <w:p w14:paraId="5CEB7D21" w14:textId="77777777"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 554 is a narrow one. </w:t>
      </w:r>
      <w:bookmarkStart w:id="5001" w:name="OLE_LINK186"/>
      <w:bookmarkStart w:id="5002"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5001"/>
      <w:bookmarkEnd w:id="5002"/>
    </w:p>
    <w:p w14:paraId="2E568CDB" w14:textId="7188995C" w:rsidR="003E2EBD" w:rsidRDefault="00876F88" w:rsidP="00A473C5">
      <w:pPr>
        <w:jc w:val="both"/>
        <w:rPr>
          <w:rFonts w:ascii="Times New Roman" w:hAnsi="Times New Roman"/>
          <w:b/>
          <w:szCs w:val="24"/>
        </w:rPr>
      </w:pPr>
      <w:r w:rsidRPr="007A5BBC">
        <w:rPr>
          <w:rFonts w:ascii="Times New Roman" w:hAnsi="Times New Roman"/>
          <w:b/>
          <w:szCs w:val="24"/>
        </w:rPr>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posted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5003" w:name="_Toc417379020"/>
      <w:bookmarkStart w:id="5004" w:name="_Toc417380889"/>
      <w:bookmarkEnd w:id="5003"/>
      <w:bookmarkEnd w:id="5004"/>
    </w:p>
    <w:p w14:paraId="4A18C679" w14:textId="77777777" w:rsidR="003351EA" w:rsidRDefault="003351EA" w:rsidP="00A473C5">
      <w:pPr>
        <w:jc w:val="both"/>
        <w:rPr>
          <w:rFonts w:ascii="Times New Roman" w:hAnsi="Times New Roman"/>
          <w:b/>
          <w:szCs w:val="24"/>
        </w:rPr>
      </w:pPr>
    </w:p>
    <w:p w14:paraId="7D036A1F" w14:textId="3AEC6BF0" w:rsidR="003E2EBD" w:rsidRDefault="003E2EBD" w:rsidP="003351EA">
      <w:pPr>
        <w:pStyle w:val="Heading2"/>
        <w:spacing w:line="240" w:lineRule="auto"/>
      </w:pPr>
      <w:bookmarkStart w:id="5005" w:name="_Toc79699281"/>
      <w:bookmarkStart w:id="5006" w:name="_Toc79699607"/>
      <w:bookmarkStart w:id="5007" w:name="_Toc79699945"/>
      <w:bookmarkStart w:id="5008" w:name="_Toc79700265"/>
      <w:bookmarkStart w:id="5009" w:name="_Toc79700587"/>
      <w:bookmarkStart w:id="5010" w:name="_Toc87039365"/>
      <w:bookmarkStart w:id="5011" w:name="_Toc90983761"/>
      <w:r>
        <w:t>Estimation of Claims</w:t>
      </w:r>
      <w:bookmarkStart w:id="5012" w:name="_Toc79693139"/>
      <w:bookmarkStart w:id="5013" w:name="_Toc79693459"/>
      <w:bookmarkStart w:id="5014" w:name="_Toc79693779"/>
      <w:bookmarkStart w:id="5015" w:name="_Toc79694096"/>
      <w:bookmarkStart w:id="5016" w:name="_Toc79694734"/>
      <w:bookmarkStart w:id="5017" w:name="_Toc79695364"/>
      <w:bookmarkStart w:id="5018" w:name="_Toc79697610"/>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r w:rsidR="003351EA">
        <w:br/>
      </w:r>
    </w:p>
    <w:p w14:paraId="1A9E3BD6" w14:textId="6C815458" w:rsidR="003E2EBD" w:rsidRDefault="003E2EBD" w:rsidP="003E2EBD">
      <w:pPr>
        <w:pStyle w:val="0-NORMAL"/>
      </w:pPr>
      <w:r>
        <w:t>Bankruptcy Code Section 502(c) allows the court to estimate the dollar value of claims that are contingent (liability is uncertain), unliquidated (amount of the claim is uncertain), or that is based on a breach giving rise to an equitable remedy (which similarly would normally be unliquidated), if estimation is necessary under the circumstances because the claim cannot be determined timely (</w:t>
      </w:r>
      <w:r w:rsidR="00B92379">
        <w:t xml:space="preserve">determining the claim </w:t>
      </w:r>
      <w:r>
        <w:t xml:space="preserve">would </w:t>
      </w:r>
      <w:r w:rsidR="00B92379">
        <w:t>“</w:t>
      </w:r>
      <w:r>
        <w:t>unduly delay the administration of the estate</w:t>
      </w:r>
      <w:r w:rsidR="00B92379">
        <w:t>”)</w:t>
      </w:r>
      <w:r w:rsidR="00284C19">
        <w:t>.</w:t>
      </w:r>
    </w:p>
    <w:p w14:paraId="388D9CB8" w14:textId="77777777" w:rsidR="003351EA" w:rsidRDefault="003351EA" w:rsidP="003E2EBD">
      <w:pPr>
        <w:pStyle w:val="0-NORMAL"/>
      </w:pPr>
    </w:p>
    <w:p w14:paraId="5E844171" w14:textId="2BC21649" w:rsidR="003E2EBD" w:rsidRPr="003351EA" w:rsidRDefault="007C1024" w:rsidP="003351EA">
      <w:pPr>
        <w:pStyle w:val="Heading3"/>
        <w:rPr>
          <w:u w:val="single"/>
        </w:rPr>
      </w:pPr>
      <w:hyperlink r:id="rId258" w:history="1">
        <w:bookmarkStart w:id="5019" w:name="_Toc87039366"/>
        <w:bookmarkStart w:id="5020" w:name="_Toc90983762"/>
        <w:r w:rsidR="00B92379" w:rsidRPr="003351EA">
          <w:rPr>
            <w:rStyle w:val="Hyperlink"/>
          </w:rPr>
          <w:t>BITTNER v. BORNE CHEMICAL COMPANY, INC</w:t>
        </w:r>
        <w:r w:rsidR="00284C19" w:rsidRPr="003351EA">
          <w:rPr>
            <w:rStyle w:val="Hyperlink"/>
          </w:rPr>
          <w:t>.</w:t>
        </w:r>
        <w:r w:rsidR="00B92379" w:rsidRPr="003351EA">
          <w:rPr>
            <w:rStyle w:val="Hyperlink"/>
          </w:rPr>
          <w:t>, 691 F.2d 134 (3d Cir. 1982)</w:t>
        </w:r>
        <w:bookmarkEnd w:id="5019"/>
        <w:bookmarkEnd w:id="5020"/>
      </w:hyperlink>
      <w:bookmarkStart w:id="5021" w:name="_Toc79693140"/>
      <w:bookmarkStart w:id="5022" w:name="_Toc79693460"/>
      <w:bookmarkStart w:id="5023" w:name="_Toc79693780"/>
      <w:bookmarkStart w:id="5024" w:name="_Toc79694097"/>
      <w:bookmarkStart w:id="5025" w:name="_Toc79694415"/>
      <w:bookmarkStart w:id="5026" w:name="_Toc79694735"/>
      <w:bookmarkStart w:id="5027" w:name="_Toc79695049"/>
      <w:bookmarkStart w:id="5028" w:name="_Toc79695365"/>
      <w:bookmarkStart w:id="5029" w:name="_Toc79695681"/>
      <w:bookmarkStart w:id="5030" w:name="_Toc79695997"/>
      <w:bookmarkStart w:id="5031" w:name="_Toc79696313"/>
      <w:bookmarkStart w:id="5032" w:name="_Toc79696629"/>
      <w:bookmarkStart w:id="5033" w:name="_Toc79696950"/>
      <w:bookmarkStart w:id="5034" w:name="_Toc79697282"/>
      <w:bookmarkStart w:id="5035" w:name="_Toc79697611"/>
      <w:bookmarkStart w:id="5036" w:name="_Toc79699282"/>
      <w:bookmarkStart w:id="5037" w:name="_Toc79699608"/>
      <w:bookmarkStart w:id="5038" w:name="_Toc79699946"/>
      <w:bookmarkStart w:id="5039" w:name="_Toc79700266"/>
      <w:bookmarkStart w:id="5040" w:name="_Toc79700588"/>
      <w:bookmarkStart w:id="5041" w:name="_Toc7970091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r w:rsidR="003351EA" w:rsidRPr="003351EA">
        <w:rPr>
          <w:rStyle w:val="Hyperlink"/>
        </w:rPr>
        <w:br/>
      </w:r>
    </w:p>
    <w:p w14:paraId="74739075" w14:textId="6ED59F2B" w:rsidR="00207E12" w:rsidRDefault="00207E12" w:rsidP="00207E12">
      <w:pPr>
        <w:pStyle w:val="0-NORMAL"/>
      </w:pPr>
      <w:r>
        <w:t>Prior to filing its voluntary petition under Chapter 11 of the Code, Borne commenced a state court action against Rolfite for the alleged pirating of trade secrets and proprietary information from Borne. The Rolfite Company filed a counterclaim, alleging, </w:t>
      </w:r>
      <w:r>
        <w:rPr>
          <w:i/>
          <w:iCs/>
        </w:rPr>
        <w:t>inter alia,</w:t>
      </w:r>
      <w:r>
        <w:t> that Borne had tortiously interfered with a proposed merger between Rolfite and the Quaker Chemical Corporation (Quaker) by unilaterally terminating a contract to manufacture Rolfite products and by bringing its suit. Sometime after Borne filed its Chapter 11 petition, the Rolfite stockholders sought relief from the automatic stay so that the state court proceedings might be continued. Borne then filed a motion to disallow temporarily the Rolfite claims until they were finally liquidated in the state court. The bankruptcy court lifted the automatic stay but also granted Borne's motion to disallow temporarily the claims, extending the time within which such claims could be filed and allowed if they should be eventually liquidated.</w:t>
      </w:r>
    </w:p>
    <w:p w14:paraId="1079CC1F" w14:textId="77777777" w:rsidR="00207E12" w:rsidRDefault="00207E12" w:rsidP="00207E12">
      <w:pPr>
        <w:pStyle w:val="0-NORMAL"/>
      </w:pPr>
      <w:r>
        <w:t xml:space="preserve">Upon denial of their motion to stay the hearing on confirmation of Borne's reorganization plan, the Rolfite stockholders appealed to the district court, which vacated the temporary disallowance order and directed the bankruptcy court to hold an estimation hearing. The parties agreed to establish guidelines for the submission of evidence at the hearing, and, in accordance with this agreement, the bankruptcy court relied on the parties' choice of relevant pleadings and other documents related to the state court litigation, and on briefs and oral argument. After weighing the evidence, the court assigned a zero value to the Rolfite claims and reinstated its earlier order to </w:t>
      </w:r>
      <w:r w:rsidRPr="00207E12">
        <w:t>disallow</w:t>
      </w:r>
      <w:r>
        <w:t xml:space="preserve"> temporarily the claims until such time as they might be liquidated in the state court, in effect requiring a waiver of discharge of the Rolfite claims from Borne. Upon appeal, the district court affirmed.</w:t>
      </w:r>
    </w:p>
    <w:p w14:paraId="5CD96FA8" w14:textId="14013A57" w:rsidR="00207E12" w:rsidRDefault="00207E12" w:rsidP="00207E12">
      <w:pPr>
        <w:pStyle w:val="0-NORMAL"/>
      </w:pPr>
      <w:r>
        <w:t>The Code, the Rules of Bankruptcy Procedure, 11 U.S.C. app. (1977), and the Suggested Interim Bankruptcy Rules, 11 U.S.C.A. (1982), are silent as to the manner in which contingent or unliquidated claims are to be estimated. Despite the lack of express direction on the matter, we are persuaded that Congress intended the procedure to be undertaken initially by the bankruptcy judges, using whatever method is best suited to the particular contingencies at issue. The principal consideration must be an accommodation to the underlying purposes of the Code. It is conceivable that in rare and unusual cases arbitration or even a jury trial on all or some of the issues may be necessary to obtain a reasonably accurate evaluation of the claims.</w:t>
      </w:r>
      <w:r>
        <w:rPr>
          <w:i/>
          <w:iCs/>
        </w:rPr>
        <w:t xml:space="preserve"> </w:t>
      </w:r>
      <w:r>
        <w:t>Such methods, however, usually will run counter to the efficient administration of the bankrupt's estate and where there is sufficient evidence on which to base a reasonable estimate of the claim, the bankruptcy judge should determine the value. In so doing, the court is bound by the legal rules which may govern the ultimate value of the claim. For example, when the claim is based on an alleged breach of contract, the court must estimate its worth in accordance with accepted contract law. However, there are no other limitations on the court's authority to evaluate the claim save those general principles which should inform all decisions made pursuant to the Code.</w:t>
      </w:r>
    </w:p>
    <w:p w14:paraId="25CA3377" w14:textId="77777777" w:rsidR="00207E12" w:rsidRDefault="00207E12" w:rsidP="00207E12">
      <w:pPr>
        <w:pStyle w:val="0-NORMAL"/>
      </w:pPr>
      <w:r>
        <w:t>In reviewing the method by which a bankruptcy court has ascertained the value of a claim under section 502(c)(1), an appellate court may only reverse if the bankruptcy court has abused its discretion. That standard of review is narrow. The appellate court must defer to the congressional intent to accord wide latitude to the decisions of the tribunal in question. Section 502(c)(1) of the Code embodies Congress' determination that the bankruptcy courts are better equipped to evaluate the evidence supporting a particular claim within the context of a particular bankruptcy proceeding. Thus, an appellate court can impose its own judgment only when "the factors considered [by the bankruptcy court] do not accord with those required by the policy underlying the substantive right or if the weight given to those factors is not consistent with that necessary to effectuate that policy...."</w:t>
      </w:r>
    </w:p>
    <w:p w14:paraId="5E1A1453" w14:textId="59253073" w:rsidR="00207E12" w:rsidRDefault="00207E12" w:rsidP="00207E12">
      <w:pPr>
        <w:pStyle w:val="0-NORMAL"/>
      </w:pPr>
      <w:r w:rsidRPr="00207E12">
        <w:t>According</w:t>
      </w:r>
      <w:r>
        <w:t xml:space="preserve"> to the Rolfite stockholders, the estimate which section 502(c)(1) requires is the present value of the probability that appellants will be successful in their state court action. Thus, if the bankruptcy court should determine as of this date that the Rolfite stockholders' case is not supported by a preponderance or 51% of the evidence but merely by 40%, they apparently would be entitled to have 40% of their claims allowed during the reorganization proceedings, subject to modification if and when the claims are liquidated in state court. The Rolfite stockholders contend that instead of estimating their claims in this manner, the bankruptcy court assessed the ultimate merits and, believing that they could not establish their case by a preponderance of the evidence, valued the claims at zero.</w:t>
      </w:r>
    </w:p>
    <w:p w14:paraId="298AA525" w14:textId="179FDAC0" w:rsidR="00207E12" w:rsidRDefault="00207E12" w:rsidP="00207E12">
      <w:pPr>
        <w:pStyle w:val="0-NORMAL"/>
      </w:pPr>
      <w:r>
        <w:t>We note first that the bankruptcy court did not explicitly draw the distinction that the Rolfite stockholders make. Assuming however that the bankruptcy court did estimate their claims according to their ultimate merits rather than the present value of the probability that they would succeed in their state court action, we cannot find that such a valuation method is an abuse of the discretion conferred by section 502(c)(1).</w:t>
      </w:r>
    </w:p>
    <w:p w14:paraId="46EE52FC" w14:textId="77777777" w:rsidR="00207E12" w:rsidRDefault="00207E12" w:rsidP="00207E12">
      <w:pPr>
        <w:pStyle w:val="0-NORMAL"/>
      </w:pPr>
      <w:r>
        <w:t>The validity of this estimation must be determined in light of the policy underlying reorganization proceedings. In Chapter 11 of the Code, Congress addressed the complex issues which are raised when a corporation faces mounting financial problems.</w:t>
      </w:r>
    </w:p>
    <w:p w14:paraId="3FF25F85" w14:textId="77777777" w:rsidR="00207E12" w:rsidRDefault="00207E12" w:rsidP="00207E12">
      <w:pPr>
        <w:pStyle w:val="0-NORMAL"/>
      </w:pPr>
      <w:r>
        <w:t>The modern corporation is a complex and multi-faceted entity. Most corporations do not have a significant market share of the lines of business in which they compete. The success, and even the survival, of a corporation in contemporary markets depends on three elements: First, the ability to attract and hold skilled management; second, the ability to obtain credit; and third, the corporation's ability to project to the public an image of vitality....</w:t>
      </w:r>
    </w:p>
    <w:p w14:paraId="50474037" w14:textId="64C6EF49" w:rsidR="00207E12" w:rsidRDefault="00207E12" w:rsidP="00207E12">
      <w:pPr>
        <w:pStyle w:val="Quote"/>
        <w:ind w:firstLine="0"/>
      </w:pPr>
      <w:r>
        <w:t>One cannot overemphasize the advantages of speed and simplicity to both creditors and debtors. Chapter XI allows a debtor to negotiate a plan outside of court and, having reached a settlement with a majority in number and amount of each class of creditors, permits the debtor to bind all unsecured creditors to the terms of the arrangement. From the perspective of creditors, early confirmation of a plan of arrangement: first, generally reduces administrative expenses which have priority over the claims of unsecured creditors; second, permits creditors to receive prompt distributions on their claims with respect to which interest does not accrue after the filing date; and third, increases the ultimate recovery on creditor claims by minimizing the adverse effect on the business which often accompanies efforts to operate an enterprise under the protection of the Bankruptcy Act.</w:t>
      </w:r>
    </w:p>
    <w:p w14:paraId="58776215" w14:textId="2086199D" w:rsidR="00207E12" w:rsidRDefault="00207E12" w:rsidP="00207E12">
      <w:pPr>
        <w:pStyle w:val="0-NORMAL"/>
        <w:ind w:firstLine="0"/>
      </w:pPr>
      <w:r>
        <w:t>124 Cong.Rec. H 11101-H 11102 (daily ed. Sept. 28, 1978). Thus, in order to realize the goals of Chapter 11, a reorganization must be accomplished quickly and efficiently.</w:t>
      </w:r>
    </w:p>
    <w:p w14:paraId="76FAB33D" w14:textId="0B2E4AE7" w:rsidR="00207E12" w:rsidRDefault="00207E12" w:rsidP="00207E12">
      <w:pPr>
        <w:pStyle w:val="0-NORMAL"/>
        <w:rPr>
          <w:rFonts w:cs="Arial"/>
          <w:color w:val="222222"/>
          <w:sz w:val="21"/>
          <w:szCs w:val="21"/>
        </w:rPr>
      </w:pPr>
      <w:r>
        <w:t>If the bankruptcy court estimated the value of the Rolfite stockholders' claims according to the ultimate merits of their state court action, such a valuation method is not inconsistent with the principles which imbue Chapter 11. Those claims are contingent</w:t>
      </w:r>
      <w:r>
        <w:rPr>
          <w:vertAlign w:val="superscript"/>
        </w:rPr>
        <w:t xml:space="preserve"> </w:t>
      </w:r>
      <w:r>
        <w:t>and unliquidated. According to the bankruptcy court's findings of fact, the Rolfite stockholders' chances of ultimately succeeding in the state court action are uncertain at best. Yet, if the court had valued the Rolfite stockholders' claims according to the present probability of success, the Rolfite stockholders might well have acquired a significant, if not controlling, voice in the reorganization proceedings. The interests of those creditors with liquidated claims would have been subject to the Rolfite interests, despite the fact that the state court might ultimately decide against those interests after the reorganization</w:t>
      </w:r>
      <w:r w:rsidR="00083725">
        <w:t>.</w:t>
      </w:r>
      <w:r w:rsidR="00083725">
        <w:rPr>
          <w:vertAlign w:val="superscript"/>
        </w:rPr>
        <w:t xml:space="preserve"> </w:t>
      </w:r>
      <w:r>
        <w:t>The bankruptcy court may well have decided that such a situation would at best unduly complicate the reorganization proceedings and at worst undermine Borne's attempts to rehabilitate its business and preserve its assets for the benefit of its creditors and employees. By valuing the ultimate merits of the Rolfite stockholders' claims at zero, and temporarily disallowing them until the final resolution of the state action, the bankruptcy court avoided the possibility of a protracted and inequitable reorganization proceeding while ensuring that Borne will be responsible to pay a dividend on the claims in the event that the state court decides in the Rolfite stockholders' favor</w:t>
      </w:r>
      <w:r w:rsidR="00083725">
        <w:t>.</w:t>
      </w:r>
      <w:r w:rsidR="00083725">
        <w:rPr>
          <w:vertAlign w:val="superscript"/>
        </w:rPr>
        <w:t xml:space="preserve"> </w:t>
      </w:r>
      <w:r>
        <w:t>Such a solution is consistent with the Chapter 11 concerns of speed and simplicity but does not deprive the Rolfite stockholders of the right to recover on their contingent claims against Borne.</w:t>
      </w:r>
    </w:p>
    <w:p w14:paraId="65EB2AE3" w14:textId="0A36E4C7" w:rsidR="00B92379" w:rsidRDefault="00207E12" w:rsidP="00207E12">
      <w:pPr>
        <w:pStyle w:val="0-NORMAL"/>
      </w:pPr>
      <w:r>
        <w:t>The court's ultimate finding of fact — that the Rolfite stockholders' claims in the reorganization proceeding were worth zero — must also be upheld since it too is not clearly erroneous. The subsidiary findings of the court plainly indicated that the Rolfite counterclaim in the state action lacked legal merit. Faced with only the remote possibility that the state court would find otherwise, the bankruptcy court correctly valued the claims at zero. On the basis of the court's subsidiary findings, such an estimation was consistent both with the claims' present value and with the court's assessment of the ultimate merits.</w:t>
      </w:r>
    </w:p>
    <w:p w14:paraId="76F36887" w14:textId="77777777" w:rsidR="003351EA" w:rsidRPr="00B92379" w:rsidRDefault="003351EA" w:rsidP="00207E12">
      <w:pPr>
        <w:pStyle w:val="0-NORMAL"/>
      </w:pPr>
    </w:p>
    <w:p w14:paraId="7696CFD8" w14:textId="104DA942" w:rsidR="0048177F" w:rsidRPr="007A5BBC" w:rsidRDefault="0048177F" w:rsidP="003351EA">
      <w:pPr>
        <w:pStyle w:val="Heading2"/>
        <w:spacing w:line="240" w:lineRule="auto"/>
      </w:pPr>
      <w:bookmarkStart w:id="5042" w:name="_Toc417380890"/>
      <w:bookmarkStart w:id="5043" w:name="_Toc79699283"/>
      <w:bookmarkStart w:id="5044" w:name="_Toc79699609"/>
      <w:bookmarkStart w:id="5045" w:name="_Toc79699947"/>
      <w:bookmarkStart w:id="5046" w:name="_Toc79700267"/>
      <w:bookmarkStart w:id="5047" w:name="_Toc79700589"/>
      <w:bookmarkStart w:id="5048" w:name="_Toc87039367"/>
      <w:bookmarkStart w:id="5049" w:name="_Toc90983763"/>
      <w:r w:rsidRPr="007A5BBC">
        <w:t>Distribution</w:t>
      </w:r>
      <w:r w:rsidR="00310847">
        <w:t xml:space="preserve"> to Creditors</w:t>
      </w:r>
      <w:r w:rsidR="00CB723B">
        <w:t xml:space="preserve"> – </w:t>
      </w:r>
      <w:r w:rsidR="00876F88" w:rsidRPr="007A5BBC">
        <w:t xml:space="preserve">11 U.S.C. § </w:t>
      </w:r>
      <w:r w:rsidR="00725755" w:rsidRPr="007A5BBC">
        <w:t>726</w:t>
      </w:r>
      <w:bookmarkStart w:id="5050" w:name="_Toc79693141"/>
      <w:bookmarkStart w:id="5051" w:name="_Toc79693461"/>
      <w:bookmarkStart w:id="5052" w:name="_Toc79693781"/>
      <w:bookmarkStart w:id="5053" w:name="_Toc79694098"/>
      <w:bookmarkStart w:id="5054" w:name="_Toc79694736"/>
      <w:bookmarkStart w:id="5055" w:name="_Toc79695366"/>
      <w:bookmarkStart w:id="5056" w:name="_Toc79697612"/>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r w:rsidR="003351EA">
        <w:br/>
      </w:r>
    </w:p>
    <w:p w14:paraId="1A80C8DB" w14:textId="21CE0472"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First, priority claims are paid in the order specified in Section 507</w:t>
      </w:r>
      <w:r w:rsidR="005F6A8B">
        <w:rPr>
          <w:rFonts w:ascii="Times New Roman" w:hAnsi="Times New Roman"/>
          <w:szCs w:val="24"/>
        </w:rPr>
        <w:t xml:space="preserve">. </w:t>
      </w:r>
      <w:r w:rsidRPr="007A5BBC">
        <w:rPr>
          <w:rFonts w:ascii="Times New Roman" w:hAnsi="Times New Roman"/>
          <w:szCs w:val="24"/>
        </w:rPr>
        <w:t xml:space="preserve">11 U.S.C. § </w:t>
      </w:r>
      <w:r w:rsidR="00CE39C5" w:rsidRPr="007A5BBC">
        <w:rPr>
          <w:rFonts w:ascii="Times New Roman" w:hAnsi="Times New Roman"/>
          <w:szCs w:val="24"/>
        </w:rPr>
        <w:t>726</w:t>
      </w:r>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r w:rsidRPr="007A5BBC">
        <w:rPr>
          <w:rFonts w:ascii="Times New Roman" w:hAnsi="Times New Roman"/>
          <w:szCs w:val="24"/>
        </w:rPr>
        <w:t xml:space="preserve">11 U.S.C. </w:t>
      </w:r>
      <w:r w:rsidR="00EE6B6C" w:rsidRPr="007A5BBC">
        <w:rPr>
          <w:rFonts w:ascii="Times New Roman" w:hAnsi="Times New Roman"/>
          <w:szCs w:val="24"/>
        </w:rPr>
        <w:t>§</w:t>
      </w:r>
      <w:r w:rsidRPr="007A5BBC">
        <w:rPr>
          <w:rFonts w:ascii="Times New Roman" w:hAnsi="Times New Roman"/>
          <w:szCs w:val="24"/>
        </w:rPr>
        <w:t xml:space="preserve">§ </w:t>
      </w:r>
      <w:r w:rsidR="00CE39C5" w:rsidRPr="007A5BBC">
        <w:rPr>
          <w:rFonts w:ascii="Times New Roman" w:hAnsi="Times New Roman"/>
          <w:szCs w:val="24"/>
        </w:rPr>
        <w:t>726</w:t>
      </w:r>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r w:rsidR="00EE6B6C" w:rsidRPr="007A5BBC">
        <w:rPr>
          <w:rFonts w:ascii="Times New Roman" w:hAnsi="Times New Roman"/>
          <w:szCs w:val="24"/>
        </w:rPr>
        <w:t>11 U.S.C. § 726(a)(4)</w:t>
      </w:r>
      <w:r w:rsidR="005F6A8B">
        <w:rPr>
          <w:rFonts w:ascii="Times New Roman" w:hAnsi="Times New Roman"/>
          <w:szCs w:val="24"/>
        </w:rPr>
        <w:t xml:space="preserve">. </w:t>
      </w:r>
    </w:p>
    <w:p w14:paraId="117E8C91" w14:textId="78864D3B"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r w:rsidRPr="007A5BBC">
        <w:rPr>
          <w:rFonts w:ascii="Times New Roman" w:hAnsi="Times New Roman"/>
          <w:szCs w:val="24"/>
        </w:rPr>
        <w:t xml:space="preserve">11 U.S.C. § </w:t>
      </w:r>
      <w:r w:rsidR="00EE6B6C" w:rsidRPr="007A5BBC">
        <w:rPr>
          <w:rFonts w:ascii="Times New Roman" w:hAnsi="Times New Roman"/>
          <w:szCs w:val="24"/>
        </w:rPr>
        <w:t>726</w:t>
      </w:r>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r w:rsidRPr="007A5BBC">
        <w:rPr>
          <w:rFonts w:ascii="Times New Roman" w:hAnsi="Times New Roman"/>
          <w:szCs w:val="24"/>
        </w:rPr>
        <w:t>11 U.S.C. § 507(a)(</w:t>
      </w:r>
      <w:r w:rsidR="00EE6B6C" w:rsidRPr="007A5BBC">
        <w:rPr>
          <w:rFonts w:ascii="Times New Roman" w:hAnsi="Times New Roman"/>
          <w:szCs w:val="24"/>
        </w:rPr>
        <w:t>6</w:t>
      </w:r>
      <w:r w:rsidRPr="007A5BBC">
        <w:rPr>
          <w:rFonts w:ascii="Times New Roman" w:hAnsi="Times New Roman"/>
          <w:szCs w:val="24"/>
        </w:rPr>
        <w:t>).</w:t>
      </w:r>
    </w:p>
    <w:p w14:paraId="62ECE76B" w14:textId="6CAB5F21"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 xml:space="preserve">11 U.S.C. § 726(b). </w:t>
      </w:r>
    </w:p>
    <w:p w14:paraId="496694E1" w14:textId="065877EC" w:rsidR="002A254E" w:rsidRPr="007A5BBC" w:rsidRDefault="002A254E" w:rsidP="001F463A">
      <w:pPr>
        <w:ind w:firstLine="720"/>
        <w:jc w:val="both"/>
        <w:rPr>
          <w:rFonts w:ascii="Times New Roman" w:hAnsi="Times New Roman"/>
          <w:szCs w:val="24"/>
        </w:rPr>
      </w:pPr>
      <w:r>
        <w:rPr>
          <w:rFonts w:ascii="Times New Roman" w:hAnsi="Times New Roman"/>
          <w:szCs w:val="24"/>
        </w:rPr>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r w:rsidRPr="002A254E">
        <w:rPr>
          <w:rFonts w:ascii="Times New Roman" w:hAnsi="Times New Roman"/>
          <w:i/>
          <w:szCs w:val="24"/>
        </w:rPr>
        <w:t>In re Cardelucci</w:t>
      </w:r>
      <w:r w:rsidRPr="002A254E">
        <w:rPr>
          <w:rFonts w:ascii="Times New Roman" w:hAnsi="Times New Roman"/>
          <w:szCs w:val="24"/>
        </w:rPr>
        <w:t>, 285 F.3d 1231, 1234 (9th Cir. 2002)</w:t>
      </w:r>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r w:rsidRPr="002A254E">
        <w:rPr>
          <w:rFonts w:ascii="Times New Roman" w:hAnsi="Times New Roman"/>
          <w:i/>
          <w:szCs w:val="24"/>
        </w:rPr>
        <w:t>In re Dvorkin Holdings, LLC</w:t>
      </w:r>
      <w:r>
        <w:rPr>
          <w:rFonts w:ascii="Times New Roman" w:hAnsi="Times New Roman"/>
          <w:szCs w:val="24"/>
        </w:rPr>
        <w:t xml:space="preserve">, </w:t>
      </w:r>
      <w:r w:rsidRPr="002A254E">
        <w:rPr>
          <w:rFonts w:ascii="Times New Roman" w:hAnsi="Times New Roman"/>
          <w:szCs w:val="24"/>
        </w:rPr>
        <w:t>2016 BL 96242</w:t>
      </w:r>
      <w:r>
        <w:rPr>
          <w:rFonts w:ascii="Times New Roman" w:hAnsi="Times New Roman"/>
          <w:szCs w:val="24"/>
        </w:rPr>
        <w:t xml:space="preserve"> (N.D. Ill. 2016),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6BDEB3CB" w14:textId="790CEFB4" w:rsidR="006734ED" w:rsidRPr="003E2EBD" w:rsidRDefault="00207E12" w:rsidP="003351EA">
      <w:pPr>
        <w:pStyle w:val="Heading1"/>
        <w:spacing w:line="240" w:lineRule="auto"/>
      </w:pPr>
      <w:bookmarkStart w:id="5057" w:name="_Toc417380891"/>
      <w:r>
        <w:t xml:space="preserve"> </w:t>
      </w:r>
      <w:bookmarkStart w:id="5058" w:name="_Toc79699284"/>
      <w:bookmarkStart w:id="5059" w:name="_Toc79699610"/>
      <w:bookmarkStart w:id="5060" w:name="_Toc79699948"/>
      <w:bookmarkStart w:id="5061" w:name="_Toc79700268"/>
      <w:bookmarkStart w:id="5062" w:name="_Toc79700590"/>
      <w:bookmarkStart w:id="5063" w:name="_Toc87039368"/>
      <w:bookmarkStart w:id="5064" w:name="_Toc90983764"/>
      <w:r w:rsidR="00F55BE5" w:rsidRPr="007A5BBC">
        <w:t>The Discharge</w:t>
      </w:r>
      <w:bookmarkStart w:id="5065" w:name="_Toc417379023"/>
      <w:bookmarkStart w:id="5066" w:name="_Toc417380892"/>
      <w:bookmarkStart w:id="5067" w:name="_Toc417379024"/>
      <w:bookmarkStart w:id="5068" w:name="_Toc417380893"/>
      <w:bookmarkStart w:id="5069" w:name="_Toc438473313"/>
      <w:bookmarkStart w:id="5070" w:name="_Toc438473629"/>
      <w:bookmarkStart w:id="5071" w:name="_Toc438473945"/>
      <w:bookmarkStart w:id="5072" w:name="_Toc438474261"/>
      <w:bookmarkStart w:id="5073" w:name="_Toc438476722"/>
      <w:bookmarkStart w:id="5074" w:name="_Toc438661475"/>
      <w:bookmarkStart w:id="5075" w:name="_Toc438661804"/>
      <w:bookmarkStart w:id="5076" w:name="_Toc438662199"/>
      <w:bookmarkStart w:id="5077" w:name="_Toc438662531"/>
      <w:bookmarkStart w:id="5078" w:name="_Toc438662869"/>
      <w:bookmarkStart w:id="5079" w:name="_Toc438663201"/>
      <w:bookmarkStart w:id="5080" w:name="_Toc438663528"/>
      <w:bookmarkStart w:id="5081" w:name="_Toc438663855"/>
      <w:bookmarkStart w:id="5082" w:name="_Toc438664180"/>
      <w:bookmarkStart w:id="5083" w:name="_Toc438664507"/>
      <w:bookmarkStart w:id="5084" w:name="_Toc438665252"/>
      <w:bookmarkStart w:id="5085" w:name="_Toc450735196"/>
      <w:bookmarkStart w:id="5086" w:name="_Toc450735525"/>
      <w:bookmarkStart w:id="5087" w:name="_Toc450739921"/>
      <w:bookmarkStart w:id="5088" w:name="_Toc457995741"/>
      <w:bookmarkStart w:id="5089" w:name="_Toc457997570"/>
      <w:bookmarkStart w:id="5090" w:name="_Toc458006802"/>
      <w:bookmarkStart w:id="5091" w:name="_Toc458075114"/>
      <w:bookmarkStart w:id="5092" w:name="_Toc485065648"/>
      <w:bookmarkStart w:id="5093" w:name="_Toc438473314"/>
      <w:bookmarkStart w:id="5094" w:name="_Toc438473630"/>
      <w:bookmarkStart w:id="5095" w:name="_Toc438473946"/>
      <w:bookmarkStart w:id="5096" w:name="_Toc438474262"/>
      <w:bookmarkStart w:id="5097" w:name="_Toc438476723"/>
      <w:bookmarkStart w:id="5098" w:name="_Toc438661476"/>
      <w:bookmarkStart w:id="5099" w:name="_Toc438661805"/>
      <w:bookmarkStart w:id="5100" w:name="_Toc438662200"/>
      <w:bookmarkStart w:id="5101" w:name="_Toc438662532"/>
      <w:bookmarkStart w:id="5102" w:name="_Toc438662870"/>
      <w:bookmarkStart w:id="5103" w:name="_Toc438663202"/>
      <w:bookmarkStart w:id="5104" w:name="_Toc438663529"/>
      <w:bookmarkStart w:id="5105" w:name="_Toc438663856"/>
      <w:bookmarkStart w:id="5106" w:name="_Toc438664181"/>
      <w:bookmarkStart w:id="5107" w:name="_Toc438664508"/>
      <w:bookmarkStart w:id="5108" w:name="_Toc438665253"/>
      <w:bookmarkStart w:id="5109" w:name="_Toc450735197"/>
      <w:bookmarkStart w:id="5110" w:name="_Toc450735526"/>
      <w:bookmarkStart w:id="5111" w:name="_Toc450739922"/>
      <w:bookmarkStart w:id="5112" w:name="_Toc457995742"/>
      <w:bookmarkStart w:id="5113" w:name="_Toc457997571"/>
      <w:bookmarkStart w:id="5114" w:name="_Toc458006803"/>
      <w:bookmarkStart w:id="5115" w:name="_Toc458075115"/>
      <w:bookmarkStart w:id="5116" w:name="_Toc485065649"/>
      <w:bookmarkStart w:id="5117" w:name="_Toc79687501"/>
      <w:bookmarkStart w:id="5118" w:name="_Toc79687825"/>
      <w:bookmarkStart w:id="5119" w:name="_Toc79688192"/>
      <w:bookmarkStart w:id="5120" w:name="_Toc79688521"/>
      <w:bookmarkStart w:id="5121" w:name="_Toc79689457"/>
      <w:bookmarkStart w:id="5122" w:name="_Toc79693142"/>
      <w:bookmarkStart w:id="5123" w:name="_Toc79693462"/>
      <w:bookmarkStart w:id="5124" w:name="_Toc79693782"/>
      <w:bookmarkStart w:id="5125" w:name="_Toc79694099"/>
      <w:bookmarkStart w:id="5126" w:name="_Toc79694417"/>
      <w:bookmarkStart w:id="5127" w:name="_Toc79694737"/>
      <w:bookmarkStart w:id="5128" w:name="_Toc79695051"/>
      <w:bookmarkStart w:id="5129" w:name="_Toc79695367"/>
      <w:bookmarkStart w:id="5130" w:name="_Toc79695683"/>
      <w:bookmarkStart w:id="5131" w:name="_Toc79695999"/>
      <w:bookmarkStart w:id="5132" w:name="_Toc79696315"/>
      <w:bookmarkStart w:id="5133" w:name="_Toc79696631"/>
      <w:bookmarkStart w:id="5134" w:name="_Toc79696952"/>
      <w:bookmarkStart w:id="5135" w:name="_Toc79697284"/>
      <w:bookmarkStart w:id="5136" w:name="_Toc79697613"/>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r w:rsidR="003351EA">
        <w:br/>
      </w:r>
    </w:p>
    <w:p w14:paraId="3BF1D063" w14:textId="1214255C" w:rsidR="00E67891" w:rsidRPr="007A5BBC" w:rsidRDefault="00E67891" w:rsidP="003351EA">
      <w:pPr>
        <w:pStyle w:val="Heading2"/>
        <w:spacing w:line="240" w:lineRule="auto"/>
      </w:pPr>
      <w:r w:rsidRPr="007A5BBC">
        <w:t xml:space="preserve"> </w:t>
      </w:r>
      <w:bookmarkStart w:id="5137" w:name="_Toc417380894"/>
      <w:bookmarkStart w:id="5138" w:name="_Toc79699285"/>
      <w:bookmarkStart w:id="5139" w:name="_Toc79699611"/>
      <w:bookmarkStart w:id="5140" w:name="_Toc79699949"/>
      <w:bookmarkStart w:id="5141" w:name="_Toc79700269"/>
      <w:bookmarkStart w:id="5142" w:name="_Toc79700591"/>
      <w:bookmarkStart w:id="5143" w:name="_Toc87039369"/>
      <w:bookmarkStart w:id="5144" w:name="_Toc90983765"/>
      <w:r w:rsidRPr="007A5BBC">
        <w:t>The Discharge Order</w:t>
      </w:r>
      <w:bookmarkEnd w:id="5137"/>
      <w:bookmarkEnd w:id="5138"/>
      <w:bookmarkEnd w:id="5139"/>
      <w:bookmarkEnd w:id="5140"/>
      <w:bookmarkEnd w:id="5141"/>
      <w:bookmarkEnd w:id="5142"/>
      <w:bookmarkEnd w:id="5143"/>
      <w:bookmarkEnd w:id="5144"/>
      <w:r w:rsidRPr="007A5BBC">
        <w:t xml:space="preserve"> </w:t>
      </w:r>
      <w:bookmarkStart w:id="5145" w:name="_Toc79693143"/>
      <w:bookmarkStart w:id="5146" w:name="_Toc79693463"/>
      <w:bookmarkStart w:id="5147" w:name="_Toc79693783"/>
      <w:bookmarkStart w:id="5148" w:name="_Toc79694100"/>
      <w:bookmarkStart w:id="5149" w:name="_Toc79694738"/>
      <w:bookmarkStart w:id="5150" w:name="_Toc79695368"/>
      <w:bookmarkStart w:id="5151" w:name="_Toc79697614"/>
      <w:bookmarkEnd w:id="5145"/>
      <w:bookmarkEnd w:id="5146"/>
      <w:bookmarkEnd w:id="5147"/>
      <w:bookmarkEnd w:id="5148"/>
      <w:bookmarkEnd w:id="5149"/>
      <w:bookmarkEnd w:id="5150"/>
      <w:bookmarkEnd w:id="5151"/>
      <w:r w:rsidR="003351EA">
        <w:br/>
      </w:r>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0850731F" w:rsidR="00B5765B" w:rsidRPr="007A5BBC" w:rsidRDefault="006D5004" w:rsidP="00BA4893">
      <w:pPr>
        <w:ind w:firstLine="720"/>
        <w:jc w:val="both"/>
        <w:rPr>
          <w:rFonts w:ascii="Times New Roman" w:hAnsi="Times New Roman"/>
          <w:szCs w:val="24"/>
        </w:rPr>
      </w:pPr>
      <w:r w:rsidRPr="007A5BBC">
        <w:rPr>
          <w:rFonts w:ascii="Times New Roman" w:hAnsi="Times New Roman"/>
          <w:szCs w:val="24"/>
        </w:rPr>
        <w:t>Section 524 of the Bankruptcy Code takes over after discharge where the automatic stay left off during the bankruptcy case</w:t>
      </w:r>
      <w:r w:rsidR="005F6A8B">
        <w:rPr>
          <w:rFonts w:ascii="Times New Roman" w:hAnsi="Times New Roman"/>
          <w:szCs w:val="24"/>
        </w:rPr>
        <w:t xml:space="preserve">. </w:t>
      </w:r>
      <w:r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r w:rsidRPr="007A5BBC">
        <w:rPr>
          <w:rFonts w:ascii="Times New Roman" w:hAnsi="Times New Roman"/>
          <w:szCs w:val="24"/>
        </w:rPr>
        <w:t>11 U.S.C. § 362(c)(2)(C)</w:t>
      </w:r>
      <w:r w:rsidR="005F6A8B">
        <w:rPr>
          <w:rFonts w:ascii="Times New Roman" w:hAnsi="Times New Roman"/>
          <w:szCs w:val="24"/>
        </w:rPr>
        <w:t xml:space="preserve">. </w:t>
      </w:r>
      <w:r w:rsidRPr="007A5BBC">
        <w:rPr>
          <w:rFonts w:ascii="Times New Roman" w:hAnsi="Times New Roman"/>
          <w:szCs w:val="24"/>
        </w:rPr>
        <w:t xml:space="preserve">Section 524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Note that Section 524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0F059A">
        <w:rPr>
          <w:rFonts w:ascii="Times New Roman" w:hAnsi="Times New Roman"/>
          <w:szCs w:val="24"/>
        </w:rPr>
        <w:t>Only the debtor who filed the bankruptcy is discharged</w:t>
      </w:r>
      <w:r w:rsidR="00083725">
        <w:rPr>
          <w:rFonts w:ascii="Times New Roman" w:hAnsi="Times New Roman"/>
          <w:szCs w:val="24"/>
        </w:rPr>
        <w:t xml:space="preserve">. </w:t>
      </w:r>
      <w:r w:rsidR="000F059A">
        <w:rPr>
          <w:rFonts w:ascii="Times New Roman" w:hAnsi="Times New Roman"/>
          <w:szCs w:val="24"/>
        </w:rPr>
        <w:t xml:space="preserve">Third parties </w:t>
      </w:r>
      <w:r w:rsidR="00B32DCA">
        <w:rPr>
          <w:rFonts w:ascii="Times New Roman" w:hAnsi="Times New Roman"/>
          <w:szCs w:val="24"/>
        </w:rPr>
        <w:t xml:space="preserve">(such as co-debtors and guarantors) </w:t>
      </w:r>
      <w:r w:rsidR="000F059A">
        <w:rPr>
          <w:rFonts w:ascii="Times New Roman" w:hAnsi="Times New Roman"/>
          <w:szCs w:val="24"/>
        </w:rPr>
        <w:t>who are</w:t>
      </w:r>
      <w:r w:rsidR="00B32DCA">
        <w:rPr>
          <w:rFonts w:ascii="Times New Roman" w:hAnsi="Times New Roman"/>
          <w:szCs w:val="24"/>
        </w:rPr>
        <w:t xml:space="preserve"> jointly, severally or partially liable for the debt with the debtor remain liable</w:t>
      </w:r>
      <w:r w:rsidR="00083725">
        <w:rPr>
          <w:rFonts w:ascii="Times New Roman" w:hAnsi="Times New Roman"/>
          <w:szCs w:val="24"/>
        </w:rPr>
        <w:t xml:space="preserve">. </w:t>
      </w:r>
      <w:r w:rsidR="00A215F1" w:rsidRPr="007A5BBC">
        <w:rPr>
          <w:rFonts w:ascii="Times New Roman" w:hAnsi="Times New Roman"/>
          <w:szCs w:val="24"/>
        </w:rPr>
        <w:t>11 U.S.C. § 524(e).</w:t>
      </w:r>
    </w:p>
    <w:p w14:paraId="7C7FB53D" w14:textId="24494A8E" w:rsidR="006D5004" w:rsidRDefault="00466636" w:rsidP="00BA4893">
      <w:pPr>
        <w:ind w:firstLine="720"/>
        <w:jc w:val="both"/>
        <w:rPr>
          <w:rFonts w:ascii="Times New Roman" w:hAnsi="Times New Roman"/>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2ABDE89A" w14:textId="77777777" w:rsidR="003351EA" w:rsidRPr="007A5BBC" w:rsidRDefault="003351EA" w:rsidP="00BA4893">
      <w:pPr>
        <w:ind w:firstLine="720"/>
        <w:jc w:val="both"/>
        <w:rPr>
          <w:rFonts w:ascii="Times New Roman" w:hAnsi="Times New Roman"/>
          <w:b/>
          <w:szCs w:val="24"/>
        </w:rPr>
      </w:pPr>
    </w:p>
    <w:p w14:paraId="7F6C8B20" w14:textId="241B2DA5" w:rsidR="00B5765B" w:rsidRPr="007A5BBC" w:rsidRDefault="00646EC9" w:rsidP="003351EA">
      <w:pPr>
        <w:pStyle w:val="Heading2"/>
        <w:spacing w:line="240" w:lineRule="auto"/>
      </w:pPr>
      <w:bookmarkStart w:id="5152" w:name="_Toc417380895"/>
      <w:bookmarkStart w:id="5153" w:name="_Toc79699286"/>
      <w:bookmarkStart w:id="5154" w:name="_Toc79699612"/>
      <w:bookmarkStart w:id="5155" w:name="_Toc79699950"/>
      <w:bookmarkStart w:id="5156" w:name="_Toc79700270"/>
      <w:bookmarkStart w:id="5157" w:name="_Toc79700592"/>
      <w:bookmarkStart w:id="5158" w:name="_Toc87039370"/>
      <w:bookmarkStart w:id="5159" w:name="_Toc90983766"/>
      <w:r>
        <w:t xml:space="preserve">Cases on </w:t>
      </w:r>
      <w:r w:rsidR="00B5765B" w:rsidRPr="007A5BBC">
        <w:t xml:space="preserve">Violation of </w:t>
      </w:r>
      <w:r w:rsidR="0095283F" w:rsidRPr="007A5BBC">
        <w:t>the Discharge Order</w:t>
      </w:r>
      <w:bookmarkStart w:id="5160" w:name="_Toc79693144"/>
      <w:bookmarkStart w:id="5161" w:name="_Toc79693464"/>
      <w:bookmarkStart w:id="5162" w:name="_Toc79693784"/>
      <w:bookmarkStart w:id="5163" w:name="_Toc79694101"/>
      <w:bookmarkStart w:id="5164" w:name="_Toc79694739"/>
      <w:bookmarkStart w:id="5165" w:name="_Toc79695369"/>
      <w:bookmarkStart w:id="5166" w:name="_Toc79697615"/>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r w:rsidR="003351EA">
        <w:br/>
      </w:r>
    </w:p>
    <w:p w14:paraId="21B3FF2B" w14:textId="1008C797" w:rsidR="00975FD7" w:rsidRPr="003351EA" w:rsidRDefault="007C1024" w:rsidP="003351EA">
      <w:pPr>
        <w:pStyle w:val="Heading3"/>
        <w:rPr>
          <w:u w:val="single"/>
        </w:rPr>
      </w:pPr>
      <w:hyperlink r:id="rId259" w:history="1">
        <w:bookmarkStart w:id="5167" w:name="_Toc87039371"/>
        <w:bookmarkStart w:id="5168" w:name="_Toc90983767"/>
        <w:r w:rsidR="00975FD7" w:rsidRPr="003351EA">
          <w:rPr>
            <w:rStyle w:val="Hyperlink"/>
          </w:rPr>
          <w:t>I</w:t>
        </w:r>
        <w:r w:rsidR="006734ED" w:rsidRPr="003351EA">
          <w:rPr>
            <w:rStyle w:val="Hyperlink"/>
          </w:rPr>
          <w:t xml:space="preserve">N RE ANDRUS, </w:t>
        </w:r>
        <w:r w:rsidR="00975FD7" w:rsidRPr="003351EA">
          <w:rPr>
            <w:rStyle w:val="Hyperlink"/>
          </w:rPr>
          <w:t>189 B.R. 413 (N.D. Ill. 1995)</w:t>
        </w:r>
        <w:bookmarkEnd w:id="5167"/>
        <w:bookmarkEnd w:id="5168"/>
      </w:hyperlink>
      <w:bookmarkStart w:id="5169" w:name="_Toc79693145"/>
      <w:bookmarkStart w:id="5170" w:name="_Toc79693465"/>
      <w:bookmarkStart w:id="5171" w:name="_Toc79693785"/>
      <w:bookmarkStart w:id="5172" w:name="_Toc79694102"/>
      <w:bookmarkStart w:id="5173" w:name="_Toc79694420"/>
      <w:bookmarkStart w:id="5174" w:name="_Toc79694740"/>
      <w:bookmarkStart w:id="5175" w:name="_Toc79695054"/>
      <w:bookmarkStart w:id="5176" w:name="_Toc79695370"/>
      <w:bookmarkStart w:id="5177" w:name="_Toc79695686"/>
      <w:bookmarkStart w:id="5178" w:name="_Toc79696002"/>
      <w:bookmarkStart w:id="5179" w:name="_Toc79696318"/>
      <w:bookmarkStart w:id="5180" w:name="_Toc79696634"/>
      <w:bookmarkStart w:id="5181" w:name="_Toc79696955"/>
      <w:bookmarkStart w:id="5182" w:name="_Toc79697287"/>
      <w:bookmarkStart w:id="5183" w:name="_Toc79697616"/>
      <w:bookmarkStart w:id="5184" w:name="_Toc79699287"/>
      <w:bookmarkStart w:id="5185" w:name="_Toc79699613"/>
      <w:bookmarkStart w:id="5186" w:name="_Toc79699951"/>
      <w:bookmarkStart w:id="5187" w:name="_Toc79700271"/>
      <w:bookmarkStart w:id="5188" w:name="_Toc79700593"/>
      <w:bookmarkStart w:id="5189" w:name="_Toc79700915"/>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r w:rsidR="003351EA" w:rsidRPr="003351EA">
        <w:rPr>
          <w:rStyle w:val="Hyperlink"/>
        </w:rPr>
        <w:br/>
      </w:r>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11 U.S.C. § 524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Stann apparently was not deterred by this order or the statutory injunction. Soon after resolving the dispute over the first sign, Stann posted a second sign on his property — which is two doors down from the debtors' house — declaring, "GENE ANDRUS WENT BANKRUPT! HE DIDN'T PAY HIS BILLS. HE IS A DEADBEAT! THIS IS A PUBLIC SERVICE 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Andruses brought a civil contempt action against Stann pursuant to Fed. R.Bankr.P. 9020, alleging that he violated the injunction in the Discharge Order, as well as 11 U.S.C. § 524(a)(2). After an evidentiary hearing, during which Stann corroborated most of the testimony offered by Ms. Andrus, Judge Schmetterer found that Stann had willfully violated the injunction imposed by § 524(a)(2)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directed him to remove the sign posted on his property, although it did not prohibit Stann from engaging in protected speech in the future. </w:t>
      </w:r>
    </w:p>
    <w:p w14:paraId="00746F9A" w14:textId="3B5295F2"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Stann raises a single issue in this appeal: Did the bankruptcy court's interpretation of § 524(a)(2) and its finding of contempt "abridg[e] the freedom of speech" guaranteed by the First Amendment to the United States Constitution</w:t>
      </w:r>
      <w:r w:rsidR="00083725" w:rsidRPr="007A5BBC">
        <w:rPr>
          <w:rFonts w:ascii="Times New Roman" w:hAnsi="Times New Roman"/>
          <w:szCs w:val="24"/>
        </w:rPr>
        <w:t xml:space="preserve">? </w:t>
      </w:r>
      <w:r w:rsidRPr="007A5BBC">
        <w:rPr>
          <w:rFonts w:ascii="Times New Roman" w:hAnsi="Times New Roman"/>
          <w:szCs w:val="24"/>
        </w:rPr>
        <w:t>Although wary of injunctions restricting speech, 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58E619F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However, even assuming arguendo that the injunction and contempt order issued by the bankruptcy court were directed at pure speech, we still do not find them violative of the First Amendment. When evaluating a content-neutral injunction — such as the one embodied in § 524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3BDD9C7C" w:rsidR="00975FD7"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FC91677" w14:textId="77777777" w:rsidR="003351EA" w:rsidRPr="007A5BBC" w:rsidRDefault="003351EA" w:rsidP="00BA4893">
      <w:pPr>
        <w:ind w:firstLine="720"/>
        <w:jc w:val="both"/>
        <w:rPr>
          <w:rFonts w:ascii="Times New Roman" w:hAnsi="Times New Roman"/>
          <w:szCs w:val="24"/>
        </w:rPr>
      </w:pPr>
    </w:p>
    <w:p w14:paraId="30877F00" w14:textId="5FDF0789" w:rsidR="00466636" w:rsidRPr="007A5BBC" w:rsidRDefault="00466636" w:rsidP="003351EA">
      <w:pPr>
        <w:pStyle w:val="Heading2"/>
        <w:spacing w:line="240" w:lineRule="auto"/>
      </w:pPr>
      <w:bookmarkStart w:id="5190" w:name="_Toc417380896"/>
      <w:bookmarkStart w:id="5191" w:name="_Toc79699288"/>
      <w:bookmarkStart w:id="5192" w:name="_Toc79699614"/>
      <w:bookmarkStart w:id="5193" w:name="_Toc79699952"/>
      <w:bookmarkStart w:id="5194" w:name="_Toc79700272"/>
      <w:bookmarkStart w:id="5195" w:name="_Toc79700594"/>
      <w:bookmarkStart w:id="5196" w:name="_Toc87039372"/>
      <w:bookmarkStart w:id="5197" w:name="_Toc90983768"/>
      <w:r w:rsidRPr="007A5BBC">
        <w:t>Denial of Discharge</w:t>
      </w:r>
      <w:bookmarkStart w:id="5198" w:name="_Toc79693146"/>
      <w:bookmarkStart w:id="5199" w:name="_Toc79693466"/>
      <w:bookmarkStart w:id="5200" w:name="_Toc79693786"/>
      <w:bookmarkStart w:id="5201" w:name="_Toc79694103"/>
      <w:bookmarkStart w:id="5202" w:name="_Toc79694741"/>
      <w:bookmarkStart w:id="5203" w:name="_Toc79695371"/>
      <w:bookmarkStart w:id="5204" w:name="_Toc79697617"/>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r w:rsidR="003351EA">
        <w:br/>
      </w:r>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12110332"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r w:rsidR="00466636" w:rsidRPr="007A5BBC">
        <w:rPr>
          <w:rFonts w:ascii="Times New Roman" w:hAnsi="Times New Roman"/>
          <w:szCs w:val="24"/>
        </w:rPr>
        <w:t>11 U.S.C. §§ 727(a)(2)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r w:rsidR="001057B2" w:rsidRPr="007A5BBC">
        <w:rPr>
          <w:rFonts w:ascii="Times New Roman" w:hAnsi="Times New Roman"/>
          <w:szCs w:val="24"/>
        </w:rPr>
        <w:t>Bankruptcy Rule 4004(a).</w:t>
      </w:r>
    </w:p>
    <w:p w14:paraId="46CAED75" w14:textId="31DAD4D8"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r w:rsidR="001057B2" w:rsidRPr="007A5BBC">
        <w:rPr>
          <w:rFonts w:ascii="Times New Roman" w:hAnsi="Times New Roman"/>
          <w:szCs w:val="24"/>
        </w:rPr>
        <w:t>11 U.S.C. § 707(a)(1)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There is no need for a non-functioning shell to receive a discharge because it is, for all intents and 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Entities do receive a discharge of debts under the reorganization provisions of Chapters 9, 11 and 12</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 xml:space="preserve">11 U.S.C. </w:t>
      </w:r>
      <w:r w:rsidR="00B9363A" w:rsidRPr="007A5BBC">
        <w:rPr>
          <w:rFonts w:ascii="Times New Roman" w:hAnsi="Times New Roman"/>
          <w:szCs w:val="24"/>
        </w:rPr>
        <w:t>§</w:t>
      </w:r>
      <w:r w:rsidRPr="007A5BBC">
        <w:rPr>
          <w:rFonts w:ascii="Times New Roman" w:hAnsi="Times New Roman"/>
          <w:szCs w:val="24"/>
        </w:rPr>
        <w:t xml:space="preserve">§ </w:t>
      </w:r>
      <w:r w:rsidR="00B9363A" w:rsidRPr="007A5BBC">
        <w:rPr>
          <w:rFonts w:ascii="Times New Roman" w:hAnsi="Times New Roman"/>
          <w:szCs w:val="24"/>
        </w:rPr>
        <w:t>944(b)</w:t>
      </w:r>
      <w:r w:rsidR="00FB3336" w:rsidRPr="007A5BBC">
        <w:rPr>
          <w:rFonts w:ascii="Times New Roman" w:hAnsi="Times New Roman"/>
          <w:szCs w:val="24"/>
        </w:rPr>
        <w:t>, 1141</w:t>
      </w:r>
      <w:r w:rsidR="00B9363A" w:rsidRPr="007A5BBC">
        <w:rPr>
          <w:rFonts w:ascii="Times New Roman" w:hAnsi="Times New Roman"/>
          <w:szCs w:val="24"/>
        </w:rPr>
        <w:t>(d), 1228(a).</w:t>
      </w:r>
    </w:p>
    <w:p w14:paraId="4789CB2B" w14:textId="2D40B55D"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r w:rsidR="000327F9" w:rsidRPr="007A5BBC">
        <w:rPr>
          <w:rFonts w:ascii="Times New Roman" w:hAnsi="Times New Roman"/>
          <w:szCs w:val="24"/>
        </w:rPr>
        <w:t>11 U.S.C. §§ 727(a)(8),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267282E2" w:rsidR="00734427" w:rsidRPr="007A5BBC" w:rsidRDefault="00734427" w:rsidP="00BA4893">
      <w:pPr>
        <w:jc w:val="both"/>
        <w:rPr>
          <w:rFonts w:ascii="Times New Roman" w:hAnsi="Times New Roman"/>
          <w:szCs w:val="24"/>
        </w:rPr>
      </w:pPr>
      <w:r w:rsidRPr="007A5BBC">
        <w:rPr>
          <w:rFonts w:ascii="Times New Roman" w:hAnsi="Times New Roman"/>
          <w:szCs w:val="24"/>
        </w:rPr>
        <w:t>11 U.S</w:t>
      </w:r>
      <w:r w:rsidR="008A2076">
        <w:rPr>
          <w:rFonts w:ascii="Times New Roman" w:hAnsi="Times New Roman"/>
          <w:szCs w:val="24"/>
        </w:rPr>
        <w:t>.C. § 109(g)</w:t>
      </w:r>
      <w:r w:rsidR="005F6A8B">
        <w:rPr>
          <w:rFonts w:ascii="Times New Roman" w:hAnsi="Times New Roman"/>
          <w:szCs w:val="24"/>
        </w:rPr>
        <w:t xml:space="preserve">. </w:t>
      </w:r>
      <w:r w:rsidR="008A2076">
        <w:rPr>
          <w:rFonts w:ascii="Times New Roman" w:hAnsi="Times New Roman"/>
          <w:szCs w:val="24"/>
        </w:rPr>
        <w:t xml:space="preserve">The third ground in Section 109(g) </w:t>
      </w:r>
      <w:r w:rsidRPr="007A5BBC">
        <w:rPr>
          <w:rFonts w:ascii="Times New Roman" w:hAnsi="Times New Roman"/>
          <w:szCs w:val="24"/>
        </w:rPr>
        <w:t>is troubling, because it is terribly overbroad</w:t>
      </w:r>
      <w:r w:rsidR="005F6A8B">
        <w:rPr>
          <w:rFonts w:ascii="Times New Roman" w:hAnsi="Times New Roman"/>
          <w:szCs w:val="24"/>
        </w:rPr>
        <w:t xml:space="preserve">. </w:t>
      </w:r>
      <w:r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Pr="007A5BBC">
        <w:rPr>
          <w:rFonts w:ascii="Times New Roman" w:hAnsi="Times New Roman"/>
          <w:b/>
          <w:szCs w:val="24"/>
        </w:rPr>
        <w:t>denied</w:t>
      </w:r>
      <w:r w:rsidR="005F6A8B">
        <w:rPr>
          <w:rFonts w:ascii="Times New Roman" w:hAnsi="Times New Roman"/>
          <w:szCs w:val="24"/>
        </w:rPr>
        <w:t xml:space="preserve">. </w:t>
      </w:r>
      <w:r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Pr="007A5BBC">
        <w:rPr>
          <w:rFonts w:ascii="Times New Roman" w:hAnsi="Times New Roman"/>
          <w:i/>
          <w:szCs w:val="24"/>
        </w:rPr>
        <w:t xml:space="preserve">See </w:t>
      </w:r>
      <w:hyperlink r:id="rId260" w:history="1">
        <w:r w:rsidRPr="00B424A2">
          <w:rPr>
            <w:rStyle w:val="Hyperlink"/>
            <w:rFonts w:ascii="Times New Roman" w:hAnsi="Times New Roman"/>
            <w:i/>
            <w:szCs w:val="24"/>
          </w:rPr>
          <w:t>In re Luna</w:t>
        </w:r>
        <w:r w:rsidRPr="00B424A2">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261" w:history="1">
        <w:r w:rsidRPr="00B424A2">
          <w:rPr>
            <w:rStyle w:val="Hyperlink"/>
            <w:rFonts w:ascii="Times New Roman" w:hAnsi="Times New Roman"/>
            <w:i/>
            <w:szCs w:val="24"/>
          </w:rPr>
          <w:t>In re Santana</w:t>
        </w:r>
        <w:r w:rsidRPr="00B424A2">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Pr="007A5BBC">
        <w:rPr>
          <w:rFonts w:ascii="Times New Roman" w:hAnsi="Times New Roman"/>
          <w:szCs w:val="24"/>
        </w:rPr>
        <w:t>o</w:t>
      </w:r>
      <w:r w:rsidR="00E726C1" w:rsidRPr="007A5BBC">
        <w:rPr>
          <w:rFonts w:ascii="Times New Roman" w:hAnsi="Times New Roman"/>
          <w:szCs w:val="24"/>
        </w:rPr>
        <w:t>t</w:t>
      </w:r>
      <w:r w:rsidRPr="007A5BBC">
        <w:rPr>
          <w:rFonts w:ascii="Times New Roman" w:hAnsi="Times New Roman"/>
          <w:szCs w:val="24"/>
        </w:rPr>
        <w:t xml:space="preserve">ion, </w:t>
      </w:r>
      <w:hyperlink r:id="rId262" w:history="1">
        <w:r w:rsidRPr="00B424A2">
          <w:rPr>
            <w:rStyle w:val="Hyperlink"/>
            <w:rFonts w:ascii="Times New Roman" w:hAnsi="Times New Roman"/>
            <w:i/>
            <w:szCs w:val="24"/>
          </w:rPr>
          <w:t>In re Duncan</w:t>
        </w:r>
        <w:r w:rsidRPr="00B424A2">
          <w:rPr>
            <w:rStyle w:val="Hyperlink"/>
            <w:rFonts w:ascii="Times New Roman" w:hAnsi="Times New Roman"/>
            <w:szCs w:val="24"/>
          </w:rPr>
          <w:t>, 182 B.R. 156 (Bankr. W.D. Va. 1995)</w:t>
        </w:r>
      </w:hyperlink>
      <w:r w:rsidRPr="007A5BBC">
        <w:rPr>
          <w:rFonts w:ascii="Times New Roman" w:hAnsi="Times New Roman"/>
          <w:szCs w:val="24"/>
        </w:rPr>
        <w:t xml:space="preserve">, and most courts require that a proper motion for relief from stay be pending at the time the debtor requests and obtains the voluntary dismissal. </w:t>
      </w:r>
      <w:r w:rsidRPr="007A5BBC">
        <w:rPr>
          <w:rFonts w:ascii="Times New Roman" w:hAnsi="Times New Roman"/>
          <w:i/>
          <w:szCs w:val="24"/>
        </w:rPr>
        <w:t>See</w:t>
      </w:r>
      <w:r w:rsidR="00E726C1" w:rsidRPr="007A5BBC">
        <w:rPr>
          <w:rFonts w:ascii="Times New Roman" w:hAnsi="Times New Roman"/>
          <w:i/>
          <w:szCs w:val="24"/>
        </w:rPr>
        <w:t xml:space="preserve"> </w:t>
      </w:r>
      <w:hyperlink r:id="rId263" w:history="1">
        <w:r w:rsidRPr="00B4351D">
          <w:rPr>
            <w:rStyle w:val="Hyperlink"/>
            <w:rFonts w:ascii="Times New Roman" w:hAnsi="Times New Roman"/>
            <w:i/>
            <w:szCs w:val="24"/>
          </w:rPr>
          <w:t>In re Jones</w:t>
        </w:r>
        <w:r w:rsidRPr="00B4351D">
          <w:rPr>
            <w:rStyle w:val="Hyperlink"/>
            <w:rFonts w:ascii="Times New Roman" w:hAnsi="Times New Roman"/>
            <w:szCs w:val="24"/>
          </w:rPr>
          <w:t>, 99 B.R. 412</w:t>
        </w:r>
      </w:hyperlink>
      <w:r w:rsidRPr="007A5BBC">
        <w:rPr>
          <w:rFonts w:ascii="Times New Roman" w:hAnsi="Times New Roman"/>
          <w:szCs w:val="24"/>
        </w:rPr>
        <w:t xml:space="preserve"> (Bankr. E.D. Ark. 1989); </w:t>
      </w:r>
      <w:hyperlink r:id="rId264" w:history="1">
        <w:r w:rsidRPr="00B4351D">
          <w:rPr>
            <w:rStyle w:val="Hyperlink"/>
            <w:rFonts w:ascii="Times New Roman" w:hAnsi="Times New Roman"/>
            <w:i/>
            <w:szCs w:val="24"/>
          </w:rPr>
          <w:t>In re Milton</w:t>
        </w:r>
        <w:r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585CE4D2" w14:textId="65CD1C15" w:rsidR="00D01E28" w:rsidRDefault="00B9363A" w:rsidP="003351EA">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r w:rsidR="000327F9" w:rsidRPr="007A5BBC">
        <w:rPr>
          <w:rFonts w:ascii="Times New Roman" w:hAnsi="Times New Roman"/>
          <w:szCs w:val="24"/>
        </w:rPr>
        <w:t>11 U.S.C. § 727(d) and (e).</w:t>
      </w:r>
    </w:p>
    <w:p w14:paraId="08BB3D88" w14:textId="77777777" w:rsidR="00BC225C" w:rsidRDefault="00BC225C" w:rsidP="003351EA">
      <w:pPr>
        <w:ind w:firstLine="720"/>
        <w:jc w:val="both"/>
        <w:rPr>
          <w:rFonts w:ascii="Times New Roman" w:hAnsi="Times New Roman"/>
          <w:szCs w:val="24"/>
        </w:rPr>
      </w:pPr>
    </w:p>
    <w:p w14:paraId="07D3CE1E" w14:textId="2AB1FF39" w:rsidR="001057B2" w:rsidRPr="007A5BBC" w:rsidRDefault="00646EC9" w:rsidP="003351EA">
      <w:pPr>
        <w:pStyle w:val="Heading2"/>
        <w:spacing w:line="240" w:lineRule="auto"/>
      </w:pPr>
      <w:bookmarkStart w:id="5205" w:name="_Toc417380897"/>
      <w:bookmarkStart w:id="5206" w:name="_Toc79699289"/>
      <w:bookmarkStart w:id="5207" w:name="_Toc79699615"/>
      <w:bookmarkStart w:id="5208" w:name="_Toc79699953"/>
      <w:bookmarkStart w:id="5209" w:name="_Toc79700273"/>
      <w:bookmarkStart w:id="5210" w:name="_Toc79700595"/>
      <w:bookmarkStart w:id="5211" w:name="_Toc87039373"/>
      <w:bookmarkStart w:id="5212" w:name="_Toc90983769"/>
      <w:r>
        <w:t xml:space="preserve">Cases on </w:t>
      </w:r>
      <w:r w:rsidR="00B9363A" w:rsidRPr="007A5BBC">
        <w:t>Denial of Discharge</w:t>
      </w:r>
      <w:bookmarkStart w:id="5213" w:name="_Toc79693147"/>
      <w:bookmarkStart w:id="5214" w:name="_Toc79693467"/>
      <w:bookmarkStart w:id="5215" w:name="_Toc79693787"/>
      <w:bookmarkStart w:id="5216" w:name="_Toc79694104"/>
      <w:bookmarkStart w:id="5217" w:name="_Toc79694742"/>
      <w:bookmarkStart w:id="5218" w:name="_Toc79695372"/>
      <w:bookmarkStart w:id="5219" w:name="_Toc79697618"/>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r w:rsidR="003351EA">
        <w:br/>
      </w:r>
    </w:p>
    <w:p w14:paraId="49550771" w14:textId="1D066060" w:rsidR="00B53E6B" w:rsidRPr="003351EA" w:rsidRDefault="007C1024" w:rsidP="003351EA">
      <w:pPr>
        <w:pStyle w:val="Heading3"/>
        <w:rPr>
          <w:u w:val="single"/>
        </w:rPr>
      </w:pPr>
      <w:hyperlink r:id="rId265" w:history="1">
        <w:bookmarkStart w:id="5220" w:name="_Toc87039374"/>
        <w:bookmarkStart w:id="5221" w:name="_Toc90983770"/>
        <w:r w:rsidR="00B53E6B" w:rsidRPr="003351EA">
          <w:rPr>
            <w:rStyle w:val="Hyperlink"/>
          </w:rPr>
          <w:t>D</w:t>
        </w:r>
        <w:r w:rsidR="006734ED" w:rsidRPr="003351EA">
          <w:rPr>
            <w:rStyle w:val="Hyperlink"/>
          </w:rPr>
          <w:t xml:space="preserve">AVIS v. DAVIS, </w:t>
        </w:r>
        <w:r w:rsidR="00B53E6B" w:rsidRPr="003351EA">
          <w:rPr>
            <w:rStyle w:val="Hyperlink"/>
          </w:rPr>
          <w:t>911 F.2d 560 (11th Cir. 1990)</w:t>
        </w:r>
        <w:bookmarkEnd w:id="5220"/>
        <w:bookmarkEnd w:id="5221"/>
      </w:hyperlink>
      <w:bookmarkStart w:id="5222" w:name="_Toc79693148"/>
      <w:bookmarkStart w:id="5223" w:name="_Toc79693468"/>
      <w:bookmarkStart w:id="5224" w:name="_Toc79693788"/>
      <w:bookmarkStart w:id="5225" w:name="_Toc79694105"/>
      <w:bookmarkStart w:id="5226" w:name="_Toc79694423"/>
      <w:bookmarkStart w:id="5227" w:name="_Toc79694743"/>
      <w:bookmarkStart w:id="5228" w:name="_Toc79695057"/>
      <w:bookmarkStart w:id="5229" w:name="_Toc79695373"/>
      <w:bookmarkStart w:id="5230" w:name="_Toc79695689"/>
      <w:bookmarkStart w:id="5231" w:name="_Toc79696005"/>
      <w:bookmarkStart w:id="5232" w:name="_Toc79696321"/>
      <w:bookmarkStart w:id="5233" w:name="_Toc79696637"/>
      <w:bookmarkStart w:id="5234" w:name="_Toc79696958"/>
      <w:bookmarkStart w:id="5235" w:name="_Toc79697290"/>
      <w:bookmarkStart w:id="5236" w:name="_Toc79697619"/>
      <w:bookmarkStart w:id="5237" w:name="_Toc79699290"/>
      <w:bookmarkStart w:id="5238" w:name="_Toc79699616"/>
      <w:bookmarkStart w:id="5239" w:name="_Toc79699954"/>
      <w:bookmarkStart w:id="5240" w:name="_Toc79700274"/>
      <w:bookmarkStart w:id="5241" w:name="_Toc79700596"/>
      <w:bookmarkStart w:id="5242" w:name="_Toc79700918"/>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r w:rsidR="003351EA" w:rsidRPr="003351EA">
        <w:rPr>
          <w:rStyle w:val="Hyperlink"/>
        </w:rPr>
        <w:br/>
      </w:r>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section 727(a)(2)(A) of the Code. </w:t>
      </w:r>
    </w:p>
    <w:p w14:paraId="753E80BF"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section 727(a)(2)(A), notwithstanding retransfer of the property completed the day before the petition was filed. </w:t>
      </w:r>
    </w:p>
    <w:p w14:paraId="79DE22A8"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section 727(a)(2)(A),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fair market value would be to reward appellant for his wrongdoing, which the court refuses to do.</w:t>
      </w:r>
    </w:p>
    <w:p w14:paraId="64E289BB" w14:textId="1DC04F91"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section 727(a)(2)(A) since the property fraudulently conveyed to his wife was recovered prior to his filing bankruptcy. The Debtor relies principally on </w:t>
      </w:r>
      <w:hyperlink r:id="rId266"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section 727(a)(2)(A),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18AC07BD" w:rsidR="00B9363A"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section 727(a)(2)(A)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We recognize that our holding may work hardship in some cases, perhaps this one, but we are compelled to apply statutory law as enacted by Congress.</w:t>
      </w:r>
    </w:p>
    <w:p w14:paraId="1AB18E5E" w14:textId="77777777" w:rsidR="003351EA" w:rsidRPr="007A5BBC" w:rsidRDefault="003351EA" w:rsidP="00BA4893">
      <w:pPr>
        <w:ind w:firstLine="720"/>
        <w:jc w:val="both"/>
        <w:rPr>
          <w:rFonts w:ascii="Times New Roman" w:hAnsi="Times New Roman"/>
          <w:szCs w:val="24"/>
        </w:rPr>
      </w:pPr>
    </w:p>
    <w:p w14:paraId="283CC595" w14:textId="28AF622C" w:rsidR="00F34B56" w:rsidRPr="003351EA" w:rsidRDefault="007C1024" w:rsidP="00D95675">
      <w:pPr>
        <w:pStyle w:val="Heading3"/>
        <w:rPr>
          <w:u w:val="single"/>
        </w:rPr>
      </w:pPr>
      <w:hyperlink r:id="rId267" w:history="1">
        <w:bookmarkStart w:id="5243" w:name="_Toc87039375"/>
        <w:bookmarkStart w:id="5244" w:name="_Toc90983771"/>
        <w:r w:rsidR="00F34B56" w:rsidRPr="003351EA">
          <w:rPr>
            <w:rStyle w:val="Hyperlink"/>
          </w:rPr>
          <w:t>I</w:t>
        </w:r>
        <w:r w:rsidR="006734ED" w:rsidRPr="003351EA">
          <w:rPr>
            <w:rStyle w:val="Hyperlink"/>
          </w:rPr>
          <w:t xml:space="preserve">N RE BAJGAR, </w:t>
        </w:r>
        <w:r w:rsidR="00F34B56" w:rsidRPr="003351EA">
          <w:rPr>
            <w:rStyle w:val="Hyperlink"/>
          </w:rPr>
          <w:t>104 F.3d 495 (1st Cir. 1997)</w:t>
        </w:r>
        <w:bookmarkEnd w:id="5243"/>
        <w:bookmarkEnd w:id="5244"/>
      </w:hyperlink>
      <w:bookmarkStart w:id="5245" w:name="_Toc79693149"/>
      <w:bookmarkStart w:id="5246" w:name="_Toc79693469"/>
      <w:bookmarkStart w:id="5247" w:name="_Toc79693789"/>
      <w:bookmarkStart w:id="5248" w:name="_Toc79694106"/>
      <w:bookmarkStart w:id="5249" w:name="_Toc79694424"/>
      <w:bookmarkStart w:id="5250" w:name="_Toc79694744"/>
      <w:bookmarkStart w:id="5251" w:name="_Toc79695058"/>
      <w:bookmarkStart w:id="5252" w:name="_Toc79695374"/>
      <w:bookmarkStart w:id="5253" w:name="_Toc79695690"/>
      <w:bookmarkStart w:id="5254" w:name="_Toc79696006"/>
      <w:bookmarkStart w:id="5255" w:name="_Toc79696322"/>
      <w:bookmarkStart w:id="5256" w:name="_Toc79696638"/>
      <w:bookmarkStart w:id="5257" w:name="_Toc79696959"/>
      <w:bookmarkStart w:id="5258" w:name="_Toc79697291"/>
      <w:bookmarkStart w:id="5259" w:name="_Toc79697620"/>
      <w:bookmarkStart w:id="5260" w:name="_Toc79699291"/>
      <w:bookmarkStart w:id="5261" w:name="_Toc79699617"/>
      <w:bookmarkStart w:id="5262" w:name="_Toc79699955"/>
      <w:bookmarkStart w:id="5263" w:name="_Toc79700275"/>
      <w:bookmarkStart w:id="5264" w:name="_Toc79700597"/>
      <w:bookmarkStart w:id="5265" w:name="_Toc79700919"/>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r w:rsidR="003351EA" w:rsidRPr="003351EA">
        <w:rPr>
          <w:rStyle w:val="Hyperlink"/>
        </w:rPr>
        <w:br/>
      </w:r>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5D2EA61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On August 19, 1994, Martin, one of Bajgar's creditors, filed a complaint [alleging] a violation of 11 U.S.C. § 727(a)(2)(A)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7B5E8E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bankruptcy court (Hillman, J.) held that the conveyance of the Florida property did not constitute grounds to deny Bajgar's discharge under Section 727(a)(2)(A)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Section 727(a)(2)(A) by its re-transfer to the debtor after the debtor files his petition. We hold that retransfer subsequent to filing a voluntary bankruptcy petition does not cure the fraudulent transfer, and, thus, does not avail the debtor discharge under Section 727.</w:t>
      </w:r>
    </w:p>
    <w:p w14:paraId="526AD009"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The statutory language of Section 727(a)(2)(A)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11 U.S.C. § 727(a)(2)(A).</w:t>
      </w:r>
    </w:p>
    <w:p w14:paraId="66BBD1CB" w14:textId="5DDFDCCF"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68"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(11th 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While the plain language of Section 727(a)(2)(A) and the applicable legislative history point to the conclusion that, upon proper objection, any debtor who fraudulently transfers property within one year before the filing of a bankruptcy petition is not entitled to receive a discharge pursuant to Section 727,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7026CE08"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69"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(9th 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Section 727(a)(2)(A).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section 727(a)(2)(A)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Section 727(a)(2)(A) that Bajgar actually reconveyed the property.</w:t>
      </w:r>
    </w:p>
    <w:p w14:paraId="3B21C687" w14:textId="2061B016" w:rsidR="00F34B56"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5EACEE1E" w14:textId="77777777" w:rsidR="008B2CD2" w:rsidRPr="007A5BBC" w:rsidRDefault="008B2CD2" w:rsidP="00BA4893">
      <w:pPr>
        <w:ind w:firstLine="720"/>
        <w:jc w:val="both"/>
        <w:rPr>
          <w:rFonts w:ascii="Times New Roman" w:hAnsi="Times New Roman"/>
          <w:szCs w:val="24"/>
        </w:rPr>
      </w:pPr>
    </w:p>
    <w:p w14:paraId="19CA0A87" w14:textId="08BE2AEC" w:rsidR="00F34B56" w:rsidRPr="007A5BBC" w:rsidRDefault="00F34B56" w:rsidP="008B2CD2">
      <w:pPr>
        <w:pStyle w:val="Heading2"/>
        <w:spacing w:line="240" w:lineRule="auto"/>
      </w:pPr>
      <w:bookmarkStart w:id="5266" w:name="_Toc417380898"/>
      <w:bookmarkStart w:id="5267" w:name="_Toc79699292"/>
      <w:bookmarkStart w:id="5268" w:name="_Toc79699618"/>
      <w:bookmarkStart w:id="5269" w:name="_Toc79699956"/>
      <w:bookmarkStart w:id="5270" w:name="_Toc79700276"/>
      <w:bookmarkStart w:id="5271" w:name="_Toc79700598"/>
      <w:bookmarkStart w:id="5272" w:name="_Toc87039376"/>
      <w:bookmarkStart w:id="5273" w:name="_Toc90983772"/>
      <w:r w:rsidRPr="007A5BBC">
        <w:t>Exceptions to Discharge</w:t>
      </w:r>
      <w:r w:rsidR="00CB723B">
        <w:t xml:space="preserve"> – </w:t>
      </w:r>
      <w:r w:rsidRPr="007A5BBC">
        <w:t>11 U.S.C. § 523</w:t>
      </w:r>
      <w:bookmarkStart w:id="5274" w:name="_Toc79693150"/>
      <w:bookmarkStart w:id="5275" w:name="_Toc79693470"/>
      <w:bookmarkStart w:id="5276" w:name="_Toc79693790"/>
      <w:bookmarkStart w:id="5277" w:name="_Toc79694107"/>
      <w:bookmarkStart w:id="5278" w:name="_Toc79694745"/>
      <w:bookmarkStart w:id="5279" w:name="_Toc79695375"/>
      <w:bookmarkStart w:id="5280" w:name="_Toc79697621"/>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r w:rsidR="008B2CD2">
        <w:br/>
      </w:r>
    </w:p>
    <w:p w14:paraId="76CE36B9" w14:textId="738DF306" w:rsidR="00BA609F"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For those debts that are dischargeable unless the creditor obtains a non-dischargeability determination, the 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DA5356">
        <w:rPr>
          <w:rFonts w:ascii="Times New Roman" w:hAnsi="Times New Roman"/>
          <w:i/>
          <w:iCs/>
          <w:szCs w:val="24"/>
        </w:rPr>
        <w:t xml:space="preserve">See </w:t>
      </w:r>
      <w:r w:rsidR="00BA609F" w:rsidRPr="007A5BBC">
        <w:rPr>
          <w:rFonts w:ascii="Times New Roman" w:hAnsi="Times New Roman"/>
          <w:szCs w:val="24"/>
        </w:rPr>
        <w:t>11 U.S.C. § 523(c); Bankruptcy Rule 4007(c).</w:t>
      </w:r>
    </w:p>
    <w:p w14:paraId="27B112C9" w14:textId="77777777" w:rsidR="008B2CD2" w:rsidRPr="007A5BBC" w:rsidRDefault="008B2CD2" w:rsidP="00BA4893">
      <w:pPr>
        <w:ind w:firstLine="720"/>
        <w:jc w:val="both"/>
        <w:rPr>
          <w:rFonts w:ascii="Times New Roman" w:hAnsi="Times New Roman"/>
          <w:szCs w:val="24"/>
        </w:rPr>
      </w:pPr>
    </w:p>
    <w:p w14:paraId="50C8AF7C" w14:textId="7010F3E1" w:rsidR="00BA609F" w:rsidRPr="00D01E28" w:rsidRDefault="00BA609F" w:rsidP="008B2CD2">
      <w:pPr>
        <w:pStyle w:val="Heading2"/>
        <w:spacing w:line="240" w:lineRule="auto"/>
      </w:pPr>
      <w:r w:rsidRPr="00D01E28">
        <w:t xml:space="preserve"> </w:t>
      </w:r>
      <w:bookmarkStart w:id="5281" w:name="_Toc79699293"/>
      <w:bookmarkStart w:id="5282" w:name="_Toc79699619"/>
      <w:bookmarkStart w:id="5283" w:name="_Toc79699957"/>
      <w:bookmarkStart w:id="5284" w:name="_Toc79700277"/>
      <w:bookmarkStart w:id="5285" w:name="_Toc79700599"/>
      <w:bookmarkStart w:id="5286" w:name="_Toc87039377"/>
      <w:bookmarkStart w:id="5287" w:name="_Toc90983773"/>
      <w:r w:rsidRPr="00D01E28">
        <w:t>Automatically Non-Dischargeable Debts</w:t>
      </w:r>
      <w:bookmarkStart w:id="5288" w:name="_Toc79693151"/>
      <w:bookmarkStart w:id="5289" w:name="_Toc79693471"/>
      <w:bookmarkStart w:id="5290" w:name="_Toc79693791"/>
      <w:bookmarkStart w:id="5291" w:name="_Toc79694108"/>
      <w:bookmarkStart w:id="5292" w:name="_Toc79694746"/>
      <w:bookmarkStart w:id="5293" w:name="_Toc79695376"/>
      <w:bookmarkStart w:id="5294" w:name="_Toc79697622"/>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r w:rsidR="008B2CD2">
        <w:br/>
      </w:r>
    </w:p>
    <w:p w14:paraId="01061EF5" w14:textId="4072DCC5" w:rsidR="006734ED" w:rsidRDefault="00BA609F" w:rsidP="00A473C5">
      <w:pPr>
        <w:keepNext/>
        <w:ind w:left="1440"/>
        <w:jc w:val="both"/>
        <w:rPr>
          <w:rFonts w:ascii="Times New Roman" w:hAnsi="Times New Roman"/>
          <w:b/>
          <w:szCs w:val="24"/>
        </w:rPr>
      </w:pPr>
      <w:r w:rsidRPr="007A5BBC">
        <w:rPr>
          <w:rFonts w:ascii="Times New Roman" w:hAnsi="Times New Roman"/>
          <w:b/>
          <w:szCs w:val="24"/>
        </w:rPr>
        <w:t>Taxes – 11 U.S.C. § 523(a)(1)</w:t>
      </w:r>
      <w:r w:rsidR="005F6A8B">
        <w:rPr>
          <w:rFonts w:ascii="Times New Roman" w:hAnsi="Times New Roman"/>
          <w:b/>
          <w:szCs w:val="24"/>
        </w:rPr>
        <w:t xml:space="preserve">. </w:t>
      </w:r>
    </w:p>
    <w:p w14:paraId="23978471" w14:textId="423BCC15"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The exception starts with those taxes that are entitled to priority under Section 507(a)(8) of the Bankruptcy Code</w:t>
      </w:r>
      <w:r w:rsidR="005F6A8B">
        <w:rPr>
          <w:rFonts w:ascii="Times New Roman" w:hAnsi="Times New Roman"/>
          <w:szCs w:val="24"/>
        </w:rPr>
        <w:t xml:space="preserve">. </w:t>
      </w:r>
      <w:r w:rsidR="00B44AD8" w:rsidRPr="007A5BBC">
        <w:rPr>
          <w:rFonts w:ascii="Times New Roman" w:hAnsi="Times New Roman"/>
          <w:szCs w:val="24"/>
        </w:rPr>
        <w:t>11 U.S.C. § 523(a)(1)(A)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back Rule), or were assessed within 240 day</w:t>
      </w:r>
      <w:r w:rsidR="00E2635A">
        <w:rPr>
          <w:rFonts w:ascii="Times New Roman" w:hAnsi="Times New Roman"/>
          <w:szCs w:val="24"/>
        </w:rPr>
        <w:t>s</w:t>
      </w:r>
      <w:r w:rsidR="00B44AD8" w:rsidRPr="007A5BBC">
        <w:rPr>
          <w:rFonts w:ascii="Times New Roman" w:hAnsi="Times New Roman"/>
          <w:szCs w:val="24"/>
        </w:rPr>
        <w:t xml:space="preserve">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r w:rsidR="00B44AD8" w:rsidRPr="007A5BBC">
        <w:rPr>
          <w:rFonts w:ascii="Times New Roman" w:hAnsi="Times New Roman"/>
          <w:szCs w:val="24"/>
        </w:rPr>
        <w:t>11 U.S.C. Section 507(a)(8)(A)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 507(a)(8)(C)), the one year rule for property taxes (§ 507(a)(8)(B),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 507(a)(8)(D) and (E).</w:t>
      </w:r>
    </w:p>
    <w:p w14:paraId="2FE79661" w14:textId="1FFA1AE2"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r w:rsidRPr="007A5BBC">
        <w:rPr>
          <w:rFonts w:ascii="Times New Roman" w:hAnsi="Times New Roman"/>
          <w:szCs w:val="24"/>
        </w:rPr>
        <w:t xml:space="preserve">11 U.S.C. § </w:t>
      </w:r>
      <w:r w:rsidR="00743902" w:rsidRPr="007A5BBC">
        <w:rPr>
          <w:rFonts w:ascii="Times New Roman" w:hAnsi="Times New Roman"/>
          <w:szCs w:val="24"/>
        </w:rPr>
        <w:t>523(a)(1)(B)(i), (a)(1)(C).</w:t>
      </w:r>
    </w:p>
    <w:p w14:paraId="48504C06" w14:textId="1BBB0B22"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r w:rsidRPr="007A5BBC">
        <w:rPr>
          <w:rFonts w:ascii="Times New Roman" w:hAnsi="Times New Roman"/>
          <w:szCs w:val="24"/>
        </w:rPr>
        <w:t>11 U.S.C. § 523(a)(1)(B)(ii)</w:t>
      </w:r>
      <w:r w:rsidR="005F6A8B">
        <w:rPr>
          <w:rFonts w:ascii="Times New Roman" w:hAnsi="Times New Roman"/>
          <w:szCs w:val="24"/>
        </w:rPr>
        <w:t xml:space="preserve">. </w:t>
      </w:r>
      <w:r w:rsidRPr="007A5BBC">
        <w:rPr>
          <w:rFonts w:ascii="Times New Roman" w:hAnsi="Times New Roman"/>
          <w:szCs w:val="24"/>
        </w:rPr>
        <w:t>Nevertheless, courts have generally denied discharge for late returns if the 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70"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E594BFA"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More recently, several courts have read flush language added in 2005 after Section 523(a)(19)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4680BDD4" w:rsidR="006734ED" w:rsidRDefault="00F802E4" w:rsidP="00BA4893">
      <w:pPr>
        <w:ind w:firstLine="1440"/>
        <w:jc w:val="both"/>
        <w:rPr>
          <w:rFonts w:ascii="Times New Roman" w:hAnsi="Times New Roman"/>
          <w:szCs w:val="24"/>
        </w:rPr>
      </w:pPr>
      <w:r w:rsidRPr="007A5BBC">
        <w:rPr>
          <w:rFonts w:ascii="Times New Roman" w:hAnsi="Times New Roman"/>
          <w:b/>
          <w:szCs w:val="24"/>
        </w:rPr>
        <w:t>Unscheduled Debts – 11 U.S.C. § 523(a)(3)</w:t>
      </w:r>
      <w:r w:rsidR="005F6A8B">
        <w:rPr>
          <w:rFonts w:ascii="Times New Roman" w:hAnsi="Times New Roman"/>
          <w:szCs w:val="24"/>
        </w:rPr>
        <w:t xml:space="preserve">. </w:t>
      </w:r>
    </w:p>
    <w:p w14:paraId="0A1F6DC9" w14:textId="6641324D"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083725" w:rsidRPr="007A5BBC">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71"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w:t>
      </w:r>
      <w:r w:rsidR="00B32DCA">
        <w:rPr>
          <w:rFonts w:ascii="Times New Roman" w:hAnsi="Times New Roman"/>
          <w:szCs w:val="24"/>
        </w:rPr>
        <w:t>”</w:t>
      </w:r>
      <w:r w:rsidR="00227A9D" w:rsidRPr="007A5BBC">
        <w:rPr>
          <w:rFonts w:ascii="Times New Roman" w:hAnsi="Times New Roman"/>
          <w:szCs w:val="24"/>
        </w:rPr>
        <w:t xml:space="preserve"> approach); </w:t>
      </w:r>
      <w:hyperlink r:id="rId272"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(9th Cir. 1993)</w:t>
        </w:r>
      </w:hyperlink>
      <w:r w:rsidR="00227A9D" w:rsidRPr="007A5BBC">
        <w:rPr>
          <w:rFonts w:ascii="Times New Roman" w:hAnsi="Times New Roman"/>
          <w:szCs w:val="24"/>
        </w:rPr>
        <w:t xml:space="preserve">; </w:t>
      </w:r>
      <w:hyperlink r:id="rId273"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(5th Cir. 1994)</w:t>
        </w:r>
      </w:hyperlink>
      <w:r w:rsidR="00227A9D" w:rsidRPr="007A5BBC">
        <w:rPr>
          <w:rFonts w:ascii="Times New Roman" w:hAnsi="Times New Roman"/>
          <w:szCs w:val="24"/>
        </w:rPr>
        <w:t xml:space="preserve">; </w:t>
      </w:r>
      <w:hyperlink r:id="rId274" w:history="1">
        <w:r w:rsidR="00227A9D" w:rsidRPr="00B4351D">
          <w:rPr>
            <w:rStyle w:val="Hyperlink"/>
            <w:rFonts w:ascii="Times New Roman" w:hAnsi="Times New Roman"/>
            <w:i/>
            <w:szCs w:val="24"/>
          </w:rPr>
          <w:t>Judd v. 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75"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(6th Cir. 1998)</w:t>
        </w:r>
      </w:hyperlink>
      <w:r w:rsidR="00227A9D" w:rsidRPr="007A5BBC">
        <w:rPr>
          <w:rFonts w:ascii="Times New Roman" w:hAnsi="Times New Roman"/>
          <w:szCs w:val="24"/>
        </w:rPr>
        <w:t xml:space="preserve">; </w:t>
      </w:r>
      <w:hyperlink r:id="rId276"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75CF3B4E"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77"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creditor based on equitable considerations); </w:t>
      </w:r>
      <w:hyperlink r:id="rId278"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145218CC"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 11 U.S.C. </w:t>
      </w:r>
      <w:r w:rsidR="0095275C" w:rsidRPr="007A5BBC">
        <w:rPr>
          <w:rFonts w:ascii="Times New Roman" w:hAnsi="Times New Roman"/>
          <w:b/>
          <w:szCs w:val="24"/>
        </w:rPr>
        <w:t>§</w:t>
      </w:r>
      <w:r w:rsidRPr="007A5BBC">
        <w:rPr>
          <w:rFonts w:ascii="Times New Roman" w:hAnsi="Times New Roman"/>
          <w:b/>
          <w:szCs w:val="24"/>
        </w:rPr>
        <w:t>§ 523(a)(5), (a)(15)</w:t>
      </w:r>
      <w:r w:rsidR="005F6A8B">
        <w:rPr>
          <w:rFonts w:ascii="Times New Roman" w:hAnsi="Times New Roman"/>
          <w:b/>
          <w:szCs w:val="24"/>
        </w:rPr>
        <w:t xml:space="preserve">. </w:t>
      </w:r>
    </w:p>
    <w:p w14:paraId="7A7CF2D7" w14:textId="20704381"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1ECF9246"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With the addition of Section 523(a)(15)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DA5356">
        <w:rPr>
          <w:rFonts w:ascii="Times New Roman" w:hAnsi="Times New Roman"/>
          <w:i/>
          <w:iCs/>
          <w:szCs w:val="24"/>
        </w:rPr>
        <w:t xml:space="preserve">See </w:t>
      </w:r>
      <w:r w:rsidRPr="007A5BBC">
        <w:rPr>
          <w:rFonts w:ascii="Times New Roman" w:hAnsi="Times New Roman"/>
          <w:szCs w:val="24"/>
        </w:rPr>
        <w:t xml:space="preserve">11 U.S.C. </w:t>
      </w:r>
      <w:r w:rsidR="008F3718" w:rsidRPr="007A5BBC">
        <w:rPr>
          <w:rFonts w:ascii="Times New Roman" w:hAnsi="Times New Roman"/>
          <w:szCs w:val="24"/>
        </w:rPr>
        <w:t>§</w:t>
      </w:r>
      <w:r w:rsidRPr="007A5BBC">
        <w:rPr>
          <w:rFonts w:ascii="Times New Roman" w:hAnsi="Times New Roman"/>
          <w:szCs w:val="24"/>
        </w:rPr>
        <w:t>§ 1328(a)(2)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44B8A2D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Penalties – 11 U.S.C. </w:t>
      </w:r>
      <w:r w:rsidRPr="007A5BBC">
        <w:rPr>
          <w:rFonts w:ascii="Times New Roman" w:hAnsi="Times New Roman"/>
          <w:b/>
          <w:szCs w:val="24"/>
        </w:rPr>
        <w:t>§</w:t>
      </w:r>
      <w:r w:rsidR="008F3718" w:rsidRPr="007A5BBC">
        <w:rPr>
          <w:rFonts w:ascii="Times New Roman" w:hAnsi="Times New Roman"/>
          <w:b/>
          <w:szCs w:val="24"/>
        </w:rPr>
        <w:t>§</w:t>
      </w:r>
      <w:r w:rsidRPr="007A5BBC">
        <w:rPr>
          <w:rFonts w:ascii="Times New Roman" w:hAnsi="Times New Roman"/>
          <w:b/>
          <w:szCs w:val="24"/>
        </w:rPr>
        <w:t xml:space="preserve"> </w:t>
      </w:r>
      <w:r w:rsidR="008F3718" w:rsidRPr="007A5BBC">
        <w:rPr>
          <w:rFonts w:ascii="Times New Roman" w:hAnsi="Times New Roman"/>
          <w:b/>
          <w:szCs w:val="24"/>
        </w:rPr>
        <w:t>523(a)(7)</w:t>
      </w:r>
      <w:r w:rsidR="005F6A8B">
        <w:rPr>
          <w:rFonts w:ascii="Times New Roman" w:hAnsi="Times New Roman"/>
          <w:szCs w:val="24"/>
        </w:rPr>
        <w:t xml:space="preserve">. </w:t>
      </w:r>
    </w:p>
    <w:p w14:paraId="7B5F57C5" w14:textId="4CFBBFCE" w:rsidR="008F3718" w:rsidRPr="007A5BBC" w:rsidRDefault="008651A8" w:rsidP="006734ED">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08E27129" w14:textId="4688C792"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 11 U.S.C. §§ 523(a)(8)</w:t>
      </w:r>
      <w:r w:rsidR="005F6A8B">
        <w:rPr>
          <w:rFonts w:ascii="Times New Roman" w:hAnsi="Times New Roman"/>
          <w:szCs w:val="24"/>
        </w:rPr>
        <w:t xml:space="preserve">. </w:t>
      </w:r>
    </w:p>
    <w:p w14:paraId="079B052A" w14:textId="2A2323F6"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79"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4C69E191"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 xml:space="preserve">The definition of a </w:t>
      </w:r>
      <w:r w:rsidR="00B32DCA">
        <w:rPr>
          <w:rFonts w:ascii="Times New Roman" w:hAnsi="Times New Roman"/>
          <w:szCs w:val="24"/>
        </w:rPr>
        <w:t>“S</w:t>
      </w:r>
      <w:r w:rsidRPr="007A5BBC">
        <w:rPr>
          <w:rFonts w:ascii="Times New Roman" w:hAnsi="Times New Roman"/>
          <w:szCs w:val="24"/>
        </w:rPr>
        <w:t>tudent Loan</w:t>
      </w:r>
      <w:r w:rsidR="00B32DCA">
        <w:rPr>
          <w:rFonts w:ascii="Times New Roman" w:hAnsi="Times New Roman"/>
          <w:szCs w:val="24"/>
        </w:rPr>
        <w:t>”</w:t>
      </w:r>
      <w:r w:rsidRPr="007A5BBC">
        <w:rPr>
          <w:rFonts w:ascii="Times New Roman" w:hAnsi="Times New Roman"/>
          <w:szCs w:val="24"/>
        </w:rPr>
        <w:t xml:space="preserve">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32AD36DF" w:rsidR="006734ED" w:rsidRDefault="00185AC9" w:rsidP="00BA4893">
      <w:pPr>
        <w:ind w:firstLine="1440"/>
        <w:jc w:val="both"/>
        <w:rPr>
          <w:rFonts w:ascii="Times New Roman" w:hAnsi="Times New Roman"/>
          <w:szCs w:val="24"/>
        </w:rPr>
      </w:pPr>
      <w:r w:rsidRPr="007A5BBC">
        <w:rPr>
          <w:rFonts w:ascii="Times New Roman" w:hAnsi="Times New Roman"/>
          <w:b/>
          <w:szCs w:val="24"/>
        </w:rPr>
        <w:t>Drunk Driving</w:t>
      </w:r>
      <w:r w:rsidR="00E2635A">
        <w:rPr>
          <w:rFonts w:ascii="Times New Roman" w:hAnsi="Times New Roman"/>
          <w:b/>
          <w:szCs w:val="24"/>
        </w:rPr>
        <w:t xml:space="preserve"> </w:t>
      </w:r>
      <w:r w:rsidR="00E2635A" w:rsidRPr="007A5BBC">
        <w:rPr>
          <w:rFonts w:ascii="Times New Roman" w:hAnsi="Times New Roman"/>
          <w:b/>
          <w:szCs w:val="24"/>
        </w:rPr>
        <w:t>–</w:t>
      </w:r>
      <w:r w:rsidR="00E2635A">
        <w:rPr>
          <w:rFonts w:ascii="Times New Roman" w:hAnsi="Times New Roman"/>
          <w:b/>
          <w:szCs w:val="24"/>
        </w:rPr>
        <w:t xml:space="preserve"> </w:t>
      </w:r>
      <w:r w:rsidRPr="007A5BBC">
        <w:rPr>
          <w:rFonts w:ascii="Times New Roman" w:hAnsi="Times New Roman"/>
          <w:b/>
          <w:szCs w:val="24"/>
        </w:rPr>
        <w:t>11 U.S.C. § 523(a)(9)</w:t>
      </w:r>
      <w:r w:rsidR="005F6A8B">
        <w:rPr>
          <w:rFonts w:ascii="Times New Roman" w:hAnsi="Times New Roman"/>
          <w:szCs w:val="24"/>
        </w:rPr>
        <w:t xml:space="preserve">. </w:t>
      </w:r>
    </w:p>
    <w:p w14:paraId="3D29D830" w14:textId="383B169B" w:rsidR="00BA609F" w:rsidRDefault="00B32DCA" w:rsidP="006734ED">
      <w:pPr>
        <w:ind w:firstLine="720"/>
        <w:jc w:val="both"/>
        <w:rPr>
          <w:rFonts w:ascii="Times New Roman" w:hAnsi="Times New Roman"/>
          <w:szCs w:val="24"/>
        </w:rPr>
      </w:pPr>
      <w:r>
        <w:rPr>
          <w:rFonts w:ascii="Times New Roman" w:hAnsi="Times New Roman"/>
          <w:szCs w:val="24"/>
        </w:rPr>
        <w:t>A debtor who causes d</w:t>
      </w:r>
      <w:r w:rsidR="00185AC9" w:rsidRPr="007A5BBC">
        <w:rPr>
          <w:rFonts w:ascii="Times New Roman" w:hAnsi="Times New Roman"/>
          <w:szCs w:val="24"/>
        </w:rPr>
        <w:t xml:space="preserve">eath or personal injury by driving a vehicle while intoxicated (alcohol or drugs beyond the legal limit) </w:t>
      </w:r>
      <w:r>
        <w:rPr>
          <w:rFonts w:ascii="Times New Roman" w:hAnsi="Times New Roman"/>
          <w:szCs w:val="24"/>
        </w:rPr>
        <w:t>cannot discharge the debt</w:t>
      </w:r>
      <w:r w:rsidR="00083725">
        <w:rPr>
          <w:rFonts w:ascii="Times New Roman" w:hAnsi="Times New Roman"/>
          <w:szCs w:val="24"/>
        </w:rPr>
        <w:t xml:space="preserve">. </w:t>
      </w:r>
      <w:r w:rsidR="00185AC9"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4DDF0DCD" w14:textId="77777777" w:rsidR="00280D22" w:rsidRPr="007A5BBC" w:rsidRDefault="00280D22" w:rsidP="006734ED">
      <w:pPr>
        <w:ind w:firstLine="720"/>
        <w:jc w:val="both"/>
        <w:rPr>
          <w:rFonts w:ascii="Times New Roman" w:hAnsi="Times New Roman"/>
          <w:szCs w:val="24"/>
        </w:rPr>
      </w:pPr>
    </w:p>
    <w:p w14:paraId="6DE98D1C" w14:textId="508BDAEF" w:rsidR="006734ED" w:rsidRDefault="00185AC9" w:rsidP="00BA4893">
      <w:pPr>
        <w:ind w:firstLine="1440"/>
        <w:jc w:val="both"/>
        <w:rPr>
          <w:rFonts w:ascii="Times New Roman" w:hAnsi="Times New Roman"/>
          <w:szCs w:val="24"/>
        </w:rPr>
      </w:pPr>
      <w:r w:rsidRPr="007A5BBC">
        <w:rPr>
          <w:rFonts w:ascii="Times New Roman" w:hAnsi="Times New Roman"/>
          <w:b/>
          <w:szCs w:val="24"/>
        </w:rPr>
        <w:t>Federal Criminal Restitution</w:t>
      </w:r>
      <w:r w:rsidR="00E2635A">
        <w:rPr>
          <w:rFonts w:ascii="Times New Roman" w:hAnsi="Times New Roman"/>
          <w:b/>
          <w:szCs w:val="24"/>
        </w:rPr>
        <w:t xml:space="preserve"> </w:t>
      </w:r>
      <w:r w:rsidR="00E2635A" w:rsidRPr="007A5BBC">
        <w:rPr>
          <w:rFonts w:ascii="Times New Roman" w:hAnsi="Times New Roman"/>
          <w:b/>
          <w:szCs w:val="24"/>
        </w:rPr>
        <w:t>–</w:t>
      </w:r>
      <w:r w:rsidR="005F6A8B">
        <w:rPr>
          <w:rFonts w:ascii="Times New Roman" w:hAnsi="Times New Roman"/>
          <w:b/>
          <w:szCs w:val="24"/>
        </w:rPr>
        <w:t xml:space="preserve"> </w:t>
      </w:r>
      <w:r w:rsidRPr="007A5BBC">
        <w:rPr>
          <w:rFonts w:ascii="Times New Roman" w:hAnsi="Times New Roman"/>
          <w:b/>
          <w:szCs w:val="24"/>
        </w:rPr>
        <w:t>11 U.S.C. § 523(a)(13)</w:t>
      </w:r>
      <w:r w:rsidR="005F6A8B">
        <w:rPr>
          <w:rFonts w:ascii="Times New Roman" w:hAnsi="Times New Roman"/>
          <w:szCs w:val="24"/>
        </w:rPr>
        <w:t xml:space="preserve">. </w:t>
      </w:r>
    </w:p>
    <w:p w14:paraId="0E8428F3" w14:textId="4A8A55CF" w:rsidR="008B2CD2" w:rsidRPr="00BC225C" w:rsidRDefault="00E03AD6" w:rsidP="00BC225C">
      <w:pPr>
        <w:ind w:firstLine="720"/>
        <w:jc w:val="both"/>
        <w:rPr>
          <w:rFonts w:ascii="Times New Roman" w:hAnsi="Times New Roman"/>
          <w:i/>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80"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13A6A9D3" w:rsidR="00185AC9" w:rsidRPr="00D01E28" w:rsidRDefault="00E03AD6" w:rsidP="008B2CD2">
      <w:pPr>
        <w:pStyle w:val="Heading2"/>
        <w:spacing w:line="240" w:lineRule="auto"/>
      </w:pPr>
      <w:bookmarkStart w:id="5295" w:name="_Toc79699294"/>
      <w:bookmarkStart w:id="5296" w:name="_Toc79699620"/>
      <w:bookmarkStart w:id="5297" w:name="_Toc79699958"/>
      <w:bookmarkStart w:id="5298" w:name="_Toc79700278"/>
      <w:bookmarkStart w:id="5299" w:name="_Toc79700600"/>
      <w:bookmarkStart w:id="5300" w:name="_Toc87039378"/>
      <w:bookmarkStart w:id="5301" w:name="_Toc90983774"/>
      <w:r w:rsidRPr="00D01E28">
        <w:t xml:space="preserve">Debts </w:t>
      </w:r>
      <w:r w:rsidR="00185AC9" w:rsidRPr="00D01E28">
        <w:t xml:space="preserve">Non-Dischargeable </w:t>
      </w:r>
      <w:r w:rsidRPr="00D01E28">
        <w:t xml:space="preserve">Only </w:t>
      </w:r>
      <w:r w:rsidR="00185AC9" w:rsidRPr="00D01E28">
        <w:t>On Timely Request of</w:t>
      </w:r>
      <w:r w:rsidRPr="00D01E28">
        <w:t xml:space="preserve"> the</w:t>
      </w:r>
      <w:r w:rsidR="00185AC9" w:rsidRPr="00D01E28">
        <w:t xml:space="preserve"> Creditor</w:t>
      </w:r>
      <w:bookmarkStart w:id="5302" w:name="_Toc79693152"/>
      <w:bookmarkStart w:id="5303" w:name="_Toc79693472"/>
      <w:bookmarkStart w:id="5304" w:name="_Toc79693792"/>
      <w:bookmarkStart w:id="5305" w:name="_Toc79694109"/>
      <w:bookmarkStart w:id="5306" w:name="_Toc79694747"/>
      <w:bookmarkStart w:id="5307" w:name="_Toc79695377"/>
      <w:bookmarkStart w:id="5308" w:name="_Toc79697623"/>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r w:rsidR="008B2CD2">
        <w:br/>
      </w:r>
    </w:p>
    <w:p w14:paraId="26C22FE8" w14:textId="6B13DE40" w:rsidR="008D3ABF" w:rsidRPr="007A5BBC" w:rsidRDefault="008D3ABF" w:rsidP="00BA4893">
      <w:pPr>
        <w:ind w:firstLine="720"/>
        <w:jc w:val="both"/>
        <w:rPr>
          <w:rFonts w:ascii="Times New Roman" w:hAnsi="Times New Roman"/>
          <w:szCs w:val="24"/>
        </w:rPr>
      </w:pPr>
      <w:r w:rsidRPr="007A5BBC">
        <w:rPr>
          <w:rFonts w:ascii="Times New Roman" w:hAnsi="Times New Roman"/>
          <w:szCs w:val="24"/>
        </w:rPr>
        <w:t>Section 523(c) provides that the exceptions to discharge in Section 523(a)(2), (4) and (6) only apply if the creditors timely requests a non-dischargeability determination – otherwise the debts will be discharged</w:t>
      </w:r>
      <w:r w:rsidR="005F6A8B">
        <w:rPr>
          <w:rFonts w:ascii="Times New Roman" w:hAnsi="Times New Roman"/>
          <w:szCs w:val="24"/>
        </w:rPr>
        <w:t xml:space="preserve">. </w:t>
      </w:r>
      <w:r w:rsidRPr="007A5BBC">
        <w:rPr>
          <w:rFonts w:ascii="Times New Roman" w:hAnsi="Times New Roman"/>
          <w:szCs w:val="24"/>
        </w:rPr>
        <w:t>Bankruptcy Rule 4007(c) requires the creditor to file a complaint objecting to the dischargeability of a debt within 60 days after the first date set for the meeting of creditors under Section 341</w:t>
      </w:r>
      <w:r w:rsidR="005F6A8B">
        <w:rPr>
          <w:rFonts w:ascii="Times New Roman" w:hAnsi="Times New Roman"/>
          <w:szCs w:val="24"/>
        </w:rPr>
        <w:t xml:space="preserve">. </w:t>
      </w:r>
      <w:r w:rsidRPr="007A5BBC">
        <w:rPr>
          <w:rFonts w:ascii="Times New Roman" w:hAnsi="Times New Roman"/>
          <w:szCs w:val="24"/>
        </w:rPr>
        <w:t>These rules apply to the following grounds for non-dischargeability:</w:t>
      </w:r>
    </w:p>
    <w:p w14:paraId="2A37B4B7" w14:textId="5C69E434" w:rsidR="006734ED" w:rsidRDefault="00FD44B2" w:rsidP="00BA4893">
      <w:pPr>
        <w:ind w:firstLine="1440"/>
        <w:jc w:val="both"/>
        <w:rPr>
          <w:rFonts w:ascii="Times New Roman" w:hAnsi="Times New Roman"/>
          <w:szCs w:val="24"/>
        </w:rPr>
      </w:pPr>
      <w:r w:rsidRPr="007A5BBC">
        <w:rPr>
          <w:rFonts w:ascii="Times New Roman" w:hAnsi="Times New Roman"/>
          <w:b/>
          <w:szCs w:val="24"/>
        </w:rPr>
        <w:t>Fraud</w:t>
      </w:r>
      <w:r w:rsidR="00E2635A">
        <w:rPr>
          <w:rFonts w:ascii="Times New Roman" w:hAnsi="Times New Roman"/>
          <w:b/>
          <w:szCs w:val="24"/>
        </w:rPr>
        <w:t xml:space="preserve"> </w:t>
      </w:r>
      <w:r w:rsidR="00E2635A" w:rsidRPr="007A5BBC">
        <w:rPr>
          <w:rFonts w:ascii="Times New Roman" w:hAnsi="Times New Roman"/>
          <w:b/>
          <w:szCs w:val="24"/>
        </w:rPr>
        <w:t>–</w:t>
      </w:r>
      <w:r w:rsidR="00E2635A">
        <w:rPr>
          <w:rFonts w:ascii="Times New Roman" w:hAnsi="Times New Roman"/>
          <w:b/>
          <w:szCs w:val="24"/>
        </w:rPr>
        <w:t xml:space="preserve"> </w:t>
      </w:r>
      <w:r w:rsidRPr="007A5BBC">
        <w:rPr>
          <w:rFonts w:ascii="Times New Roman" w:hAnsi="Times New Roman"/>
          <w:b/>
          <w:szCs w:val="24"/>
        </w:rPr>
        <w:t>11 U.S.C. § 523(a)(2)</w:t>
      </w:r>
      <w:r w:rsidR="005F6A8B">
        <w:rPr>
          <w:rFonts w:ascii="Times New Roman" w:hAnsi="Times New Roman"/>
          <w:szCs w:val="24"/>
        </w:rPr>
        <w:t xml:space="preserve">. </w:t>
      </w:r>
    </w:p>
    <w:p w14:paraId="09577352" w14:textId="0DDA60B1"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Section 523(a)(2)(C)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7DF5262B" w14:textId="7472C51C" w:rsidR="006734ED" w:rsidRPr="00284C19" w:rsidRDefault="007121DF" w:rsidP="00934062">
      <w:pPr>
        <w:pStyle w:val="ListParagraph"/>
        <w:numPr>
          <w:ilvl w:val="0"/>
          <w:numId w:val="5"/>
        </w:numPr>
      </w:pPr>
      <w:r w:rsidRPr="00284C19">
        <w:t xml:space="preserve">Debts for luxury goods (not reasonably necessary for support) exceeding $600 to a single creditor within 90 days of bankruptcy; </w:t>
      </w:r>
    </w:p>
    <w:p w14:paraId="1F6D6152" w14:textId="29341078" w:rsidR="007121DF" w:rsidRPr="00284C19" w:rsidRDefault="007121DF" w:rsidP="007F3399">
      <w:pPr>
        <w:pStyle w:val="ListParagraph"/>
        <w:numPr>
          <w:ilvl w:val="0"/>
          <w:numId w:val="5"/>
        </w:numPr>
      </w:pPr>
      <w:r w:rsidRPr="00284C19">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4268AA9C" w:rsidR="006734ED" w:rsidRDefault="00323880" w:rsidP="00BA4893">
      <w:pPr>
        <w:ind w:firstLine="1440"/>
        <w:jc w:val="both"/>
        <w:rPr>
          <w:rFonts w:ascii="Times New Roman" w:hAnsi="Times New Roman"/>
          <w:szCs w:val="24"/>
        </w:rPr>
      </w:pPr>
      <w:r w:rsidRPr="007A5BBC">
        <w:rPr>
          <w:rFonts w:ascii="Times New Roman" w:hAnsi="Times New Roman"/>
          <w:b/>
          <w:szCs w:val="24"/>
        </w:rPr>
        <w:t>Fiduciary Fraud – 11 U.S.C. § 523(a)(4)</w:t>
      </w:r>
      <w:r w:rsidR="005F6A8B">
        <w:rPr>
          <w:rFonts w:ascii="Times New Roman" w:hAnsi="Times New Roman"/>
          <w:szCs w:val="24"/>
        </w:rPr>
        <w:t xml:space="preserve">. </w:t>
      </w:r>
    </w:p>
    <w:p w14:paraId="789DF449" w14:textId="60BBBCBD"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 xml:space="preserve">The Supreme Court’s recent opinion on the requirements for fiduciary fraud </w:t>
      </w:r>
      <w:r w:rsidR="00E2635A">
        <w:rPr>
          <w:rFonts w:ascii="Times New Roman" w:hAnsi="Times New Roman"/>
          <w:szCs w:val="24"/>
        </w:rPr>
        <w:t>is</w:t>
      </w:r>
      <w:r w:rsidRPr="007A5BBC">
        <w:rPr>
          <w:rFonts w:ascii="Times New Roman" w:hAnsi="Times New Roman"/>
          <w:szCs w:val="24"/>
        </w:rPr>
        <w:t xml:space="preserve"> reprinted below.</w:t>
      </w:r>
    </w:p>
    <w:p w14:paraId="3872BF8D" w14:textId="52BB7953" w:rsidR="006734ED"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 – 11 U.S.C. § 523(a)(6)</w:t>
      </w:r>
      <w:r w:rsidR="005F6A8B">
        <w:rPr>
          <w:rFonts w:ascii="Times New Roman" w:hAnsi="Times New Roman"/>
          <w:szCs w:val="24"/>
        </w:rPr>
        <w:t xml:space="preserve">. </w:t>
      </w:r>
    </w:p>
    <w:p w14:paraId="7F90BCDF" w14:textId="380AD3AC" w:rsidR="00280D22" w:rsidRDefault="00384A1B" w:rsidP="00BC225C">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24C53C01" w14:textId="77777777" w:rsidR="00280D22" w:rsidRPr="007A5BBC" w:rsidRDefault="00280D22" w:rsidP="006734ED">
      <w:pPr>
        <w:ind w:firstLine="720"/>
        <w:jc w:val="both"/>
        <w:rPr>
          <w:rFonts w:ascii="Times New Roman" w:hAnsi="Times New Roman"/>
          <w:szCs w:val="24"/>
        </w:rPr>
      </w:pPr>
    </w:p>
    <w:p w14:paraId="5A113814" w14:textId="486A68C2" w:rsidR="00FD44B2" w:rsidRPr="006734ED" w:rsidRDefault="008D3ABF" w:rsidP="008B2CD2">
      <w:pPr>
        <w:pStyle w:val="Heading2"/>
        <w:spacing w:line="240" w:lineRule="auto"/>
      </w:pPr>
      <w:r w:rsidRPr="006734ED">
        <w:t xml:space="preserve"> </w:t>
      </w:r>
      <w:bookmarkStart w:id="5309" w:name="_Toc417380899"/>
      <w:bookmarkStart w:id="5310" w:name="_Toc79699295"/>
      <w:bookmarkStart w:id="5311" w:name="_Toc79699621"/>
      <w:bookmarkStart w:id="5312" w:name="_Toc79699959"/>
      <w:bookmarkStart w:id="5313" w:name="_Toc79700279"/>
      <w:bookmarkStart w:id="5314" w:name="_Toc79700601"/>
      <w:bookmarkStart w:id="5315" w:name="_Toc87039379"/>
      <w:bookmarkStart w:id="5316" w:name="_Toc90983775"/>
      <w:r w:rsidR="00646EC9">
        <w:t xml:space="preserve">Cases on </w:t>
      </w:r>
      <w:r w:rsidR="00723439" w:rsidRPr="006734ED">
        <w:t>Exceptions to Discharge</w:t>
      </w:r>
      <w:bookmarkStart w:id="5317" w:name="_Toc79693153"/>
      <w:bookmarkStart w:id="5318" w:name="_Toc79693473"/>
      <w:bookmarkStart w:id="5319" w:name="_Toc79693793"/>
      <w:bookmarkStart w:id="5320" w:name="_Toc79694110"/>
      <w:bookmarkStart w:id="5321" w:name="_Toc79694748"/>
      <w:bookmarkStart w:id="5322" w:name="_Toc79695378"/>
      <w:bookmarkStart w:id="5323" w:name="_Toc79697624"/>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r w:rsidR="008B2CD2">
        <w:br/>
      </w:r>
    </w:p>
    <w:p w14:paraId="40B7208E" w14:textId="1D8D7C87" w:rsidR="00807980" w:rsidRPr="008B2CD2" w:rsidRDefault="007C1024" w:rsidP="008B2CD2">
      <w:pPr>
        <w:pStyle w:val="Heading3"/>
        <w:rPr>
          <w:color w:val="0000FF"/>
          <w:u w:val="single"/>
        </w:rPr>
      </w:pPr>
      <w:hyperlink r:id="rId281" w:history="1">
        <w:bookmarkStart w:id="5324" w:name="_Toc87039380"/>
        <w:bookmarkStart w:id="5325" w:name="_Toc90983776"/>
        <w:r w:rsidR="00807980" w:rsidRPr="008B2CD2">
          <w:rPr>
            <w:rStyle w:val="Hyperlink"/>
          </w:rPr>
          <w:t>F</w:t>
        </w:r>
        <w:r w:rsidR="006734ED" w:rsidRPr="008B2CD2">
          <w:rPr>
            <w:rStyle w:val="Hyperlink"/>
          </w:rPr>
          <w:t xml:space="preserve">AHEY v. MASS. DEP’T OF REVENUE, </w:t>
        </w:r>
        <w:r w:rsidR="00807980" w:rsidRPr="008B2CD2">
          <w:rPr>
            <w:rStyle w:val="Hyperlink"/>
          </w:rPr>
          <w:t>2015 BL 41157 (1st Cir. 2015)</w:t>
        </w:r>
        <w:bookmarkEnd w:id="5324"/>
        <w:bookmarkEnd w:id="5325"/>
      </w:hyperlink>
      <w:bookmarkStart w:id="5326" w:name="_Toc79693154"/>
      <w:bookmarkStart w:id="5327" w:name="_Toc79693474"/>
      <w:bookmarkStart w:id="5328" w:name="_Toc79693794"/>
      <w:bookmarkStart w:id="5329" w:name="_Toc79694111"/>
      <w:bookmarkStart w:id="5330" w:name="_Toc79694429"/>
      <w:bookmarkStart w:id="5331" w:name="_Toc79694749"/>
      <w:bookmarkStart w:id="5332" w:name="_Toc79695063"/>
      <w:bookmarkStart w:id="5333" w:name="_Toc79695379"/>
      <w:bookmarkStart w:id="5334" w:name="_Toc79695695"/>
      <w:bookmarkStart w:id="5335" w:name="_Toc79696011"/>
      <w:bookmarkStart w:id="5336" w:name="_Toc79696327"/>
      <w:bookmarkStart w:id="5337" w:name="_Toc79696643"/>
      <w:bookmarkStart w:id="5338" w:name="_Toc79696964"/>
      <w:bookmarkStart w:id="5339" w:name="_Toc79697296"/>
      <w:bookmarkStart w:id="5340" w:name="_Toc79697625"/>
      <w:bookmarkStart w:id="5341" w:name="_Toc79699296"/>
      <w:bookmarkStart w:id="5342" w:name="_Toc79699622"/>
      <w:bookmarkStart w:id="5343" w:name="_Toc79699960"/>
      <w:bookmarkStart w:id="5344" w:name="_Toc79700280"/>
      <w:bookmarkStart w:id="5345" w:name="_Toc79700602"/>
      <w:bookmarkStart w:id="5346" w:name="_Toc79700924"/>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r w:rsidR="008B2CD2" w:rsidRPr="008B2CD2">
        <w:rPr>
          <w:rStyle w:val="Hyperlink"/>
        </w:rPr>
        <w:br/>
      </w:r>
    </w:p>
    <w:p w14:paraId="4C68C6D2" w14:textId="2F61F90B" w:rsidR="00807980" w:rsidRPr="007A5BBC" w:rsidRDefault="00807980" w:rsidP="00BA4893">
      <w:pPr>
        <w:ind w:firstLine="720"/>
        <w:jc w:val="both"/>
        <w:rPr>
          <w:rFonts w:ascii="Times New Roman" w:hAnsi="Times New Roman"/>
          <w:szCs w:val="24"/>
        </w:rPr>
      </w:pPr>
      <w:bookmarkStart w:id="5347" w:name="a0g2r3g4z1"/>
      <w:bookmarkEnd w:id="5347"/>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282" w:tgtFrame="_parent" w:history="1">
        <w:r w:rsidRPr="007A5BBC">
          <w:rPr>
            <w:rFonts w:ascii="Times New Roman" w:hAnsi="Times New Roman"/>
            <w:szCs w:val="24"/>
          </w:rPr>
          <w:t>11 U.S.C. § 523(a)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5C9BD79D" w:rsidR="00807980" w:rsidRPr="007A5BBC" w:rsidRDefault="00807980" w:rsidP="00BA4893">
      <w:pPr>
        <w:ind w:firstLine="720"/>
        <w:jc w:val="both"/>
        <w:rPr>
          <w:rFonts w:ascii="Times New Roman" w:hAnsi="Times New Roman"/>
          <w:szCs w:val="24"/>
        </w:rPr>
      </w:pPr>
      <w:bookmarkStart w:id="5348" w:name="a0g2r3g4z2"/>
      <w:bookmarkStart w:id="5349" w:name="a0g2r3g4z3"/>
      <w:bookmarkEnd w:id="5348"/>
      <w:bookmarkEnd w:id="5349"/>
      <w:r w:rsidRPr="007A5BBC">
        <w:rPr>
          <w:rFonts w:ascii="Times New Roman" w:hAnsi="Times New Roman"/>
          <w:szCs w:val="24"/>
        </w:rPr>
        <w:t>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5350" w:name="a0g2r3g4z4_ref"/>
      <w:bookmarkEnd w:id="5350"/>
      <w:r w:rsidRPr="007A5BBC">
        <w:rPr>
          <w:rFonts w:ascii="Times New Roman" w:hAnsi="Times New Roman"/>
          <w:szCs w:val="24"/>
        </w:rPr>
        <w:t xml:space="preserve"> </w:t>
      </w:r>
      <w:bookmarkStart w:id="5351" w:name="a0g2r3g4z4_reffirst_footref"/>
      <w:bookmarkEnd w:id="5351"/>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283" w:tgtFrame="_parent" w:history="1">
        <w:r w:rsidRPr="007A5BBC">
          <w:rPr>
            <w:rFonts w:ascii="Times New Roman" w:hAnsi="Times New Roman"/>
            <w:szCs w:val="24"/>
          </w:rPr>
          <w:t>11 U.S.C. § 523(a)(1)(B)(i)</w:t>
        </w:r>
      </w:hyperlink>
      <w:r w:rsidRPr="007A5BBC">
        <w:rPr>
          <w:rFonts w:ascii="Times New Roman" w:hAnsi="Times New Roman"/>
          <w:szCs w:val="24"/>
        </w:rPr>
        <w:t>.</w:t>
      </w:r>
    </w:p>
    <w:p w14:paraId="2002AC96" w14:textId="61AB79D9" w:rsidR="00807980" w:rsidRPr="007A5BBC" w:rsidRDefault="00807980" w:rsidP="00BA4893">
      <w:pPr>
        <w:ind w:firstLine="720"/>
        <w:jc w:val="both"/>
        <w:rPr>
          <w:rFonts w:ascii="Times New Roman" w:hAnsi="Times New Roman"/>
          <w:szCs w:val="24"/>
        </w:rPr>
      </w:pPr>
      <w:bookmarkStart w:id="5352" w:name="a0g2r3g4z4"/>
      <w:bookmarkStart w:id="5353" w:name="a0g2r3g5a1"/>
      <w:bookmarkEnd w:id="5352"/>
      <w:bookmarkEnd w:id="5353"/>
      <w:r w:rsidRPr="007A5BBC">
        <w:rPr>
          <w:rFonts w:ascii="Times New Roman" w:hAnsi="Times New Roman"/>
          <w:szCs w:val="24"/>
        </w:rPr>
        <w:t>[Under 11 U.S.C. § 523(a)(1)]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5354" w:name="a0g2r3g5a9"/>
      <w:bookmarkEnd w:id="5354"/>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section 523(a)(1) exception, and thus within the broad category of dischargeable debts. Prior to 2005, courts nevertheless attempted to fashion a definition of “return” that prevented debtors from relying on “bad faith” returns, or returns filed only after the taxing authority actually issued an assessment for taxes due in the absence of a tax return. See generally </w:t>
      </w:r>
      <w:r w:rsidRPr="00C24B79">
        <w:rPr>
          <w:rFonts w:ascii="Times New Roman" w:hAnsi="Times New Roman"/>
          <w:i/>
          <w:szCs w:val="24"/>
        </w:rPr>
        <w:t>Moroney v. United States</w:t>
      </w:r>
      <w:r w:rsidRPr="007A5BBC">
        <w:rPr>
          <w:rFonts w:ascii="Times New Roman" w:hAnsi="Times New Roman"/>
          <w:szCs w:val="24"/>
        </w:rPr>
        <w:t xml:space="preserve"> (</w:t>
      </w:r>
      <w:r w:rsidRPr="00C24B79">
        <w:rPr>
          <w:rFonts w:ascii="Times New Roman" w:hAnsi="Times New Roman"/>
          <w:i/>
          <w:szCs w:val="24"/>
        </w:rPr>
        <w:t>In re Moroney</w:t>
      </w:r>
      <w:r w:rsidRPr="007A5BBC">
        <w:rPr>
          <w:rFonts w:ascii="Times New Roman" w:hAnsi="Times New Roman"/>
          <w:szCs w:val="24"/>
        </w:rPr>
        <w:t xml:space="preserve">), </w:t>
      </w:r>
      <w:hyperlink r:id="rId284" w:tgtFrame="_parent" w:history="1">
        <w:r w:rsidRPr="007A5BBC">
          <w:rPr>
            <w:rFonts w:ascii="Times New Roman" w:hAnsi="Times New Roman"/>
            <w:szCs w:val="24"/>
          </w:rPr>
          <w:t>352 F.3d 902</w:t>
        </w:r>
      </w:hyperlink>
      <w:r w:rsidRPr="007A5BBC">
        <w:rPr>
          <w:rFonts w:ascii="Times New Roman" w:hAnsi="Times New Roman"/>
          <w:szCs w:val="24"/>
        </w:rPr>
        <w:t>, 905-06 (4th Cir. 2003) (providing examples of courts that determined late tax returns “filed after an involuntary assessment do not serve the purposes of the tax system, and thus rarely, if ever, qualify as honest and reasonable attempts to comply with the tax laws”).</w:t>
      </w:r>
    </w:p>
    <w:p w14:paraId="21A3B955" w14:textId="67D53063" w:rsidR="00807980" w:rsidRPr="007A5BBC" w:rsidRDefault="00807980" w:rsidP="00BA4893">
      <w:pPr>
        <w:ind w:firstLine="720"/>
        <w:jc w:val="both"/>
        <w:rPr>
          <w:rFonts w:ascii="Times New Roman" w:hAnsi="Times New Roman"/>
          <w:szCs w:val="24"/>
        </w:rPr>
      </w:pPr>
      <w:bookmarkStart w:id="5355" w:name="a0g2r3g5b0"/>
      <w:bookmarkEnd w:id="5355"/>
      <w:r w:rsidRPr="007A5BBC">
        <w:rPr>
          <w:rFonts w:ascii="Times New Roman" w:hAnsi="Times New Roman"/>
          <w:szCs w:val="24"/>
        </w:rPr>
        <w:t>In 2005, Congress decided to define “return” on its own when it passed the Bankruptcy Abuse Prevention and Consumer Protection Act (“BAPCPA”), making numerous revisions to section 523</w:t>
      </w:r>
      <w:r w:rsidR="005F6A8B">
        <w:rPr>
          <w:rFonts w:ascii="Times New Roman" w:hAnsi="Times New Roman"/>
          <w:szCs w:val="24"/>
        </w:rPr>
        <w:t xml:space="preserve">. </w:t>
      </w:r>
      <w:r w:rsidRPr="007A5BBC">
        <w:rPr>
          <w:rFonts w:ascii="Times New Roman" w:hAnsi="Times New Roman"/>
          <w:szCs w:val="24"/>
        </w:rPr>
        <w:t>Among the BAPCPA's changes was the insertion of a “hanging paragraph,” denoted as section 523(a)(*), at the end of section 523(a). It provides:</w:t>
      </w:r>
    </w:p>
    <w:p w14:paraId="2109A642" w14:textId="77777777" w:rsidR="00807980" w:rsidRPr="007A5BBC" w:rsidRDefault="00807980" w:rsidP="00BA4893">
      <w:pPr>
        <w:ind w:left="1440" w:right="1440"/>
        <w:jc w:val="both"/>
        <w:rPr>
          <w:rFonts w:ascii="Times New Roman" w:hAnsi="Times New Roman"/>
          <w:szCs w:val="24"/>
        </w:rPr>
      </w:pPr>
      <w:bookmarkStart w:id="5356" w:name="a0g2r3g5b1"/>
      <w:bookmarkEnd w:id="5356"/>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5357" w:name="a0g2r3g5b2"/>
      <w:bookmarkEnd w:id="5357"/>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5358" w:name="a0g2r3g5b5"/>
      <w:bookmarkEnd w:id="5358"/>
    </w:p>
    <w:p w14:paraId="36AD8703" w14:textId="77777777"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So the question now presented is a question of statutory interpretation: Is a Massachusetts tax return filed after the due date for such returns a “return” as defined in section 523(a)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5359" w:name="a0g2r3g5b9"/>
      <w:bookmarkEnd w:id="5359"/>
      <w:r w:rsidRPr="007A5BBC">
        <w:rPr>
          <w:rFonts w:ascii="Times New Roman" w:hAnsi="Times New Roman"/>
          <w:szCs w:val="24"/>
        </w:rPr>
        <w:t>Read together, the hanging paragraph's definitional language and the “applicable” Massachusetts law control our decision. Under the hanging paragraph, for a document, whatever 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77E1317F" w:rsidR="00807980" w:rsidRPr="007A5BBC" w:rsidRDefault="00807980" w:rsidP="00BA4893">
      <w:pPr>
        <w:ind w:firstLine="720"/>
        <w:jc w:val="both"/>
        <w:rPr>
          <w:rFonts w:ascii="Times New Roman" w:hAnsi="Times New Roman"/>
          <w:szCs w:val="24"/>
        </w:rPr>
      </w:pPr>
      <w:bookmarkStart w:id="5360" w:name="a0g2r3g5c0"/>
      <w:bookmarkStart w:id="5361" w:name="a0g2r3g5c3"/>
      <w:bookmarkEnd w:id="5360"/>
      <w:bookmarkEnd w:id="5361"/>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returns filed late under the Internal Revenue Code not to be returns within the meaning of the hanging paragraph. </w:t>
      </w:r>
      <w:hyperlink r:id="rId285" w:history="1">
        <w:r w:rsidRPr="00BD076E">
          <w:rPr>
            <w:rStyle w:val="Hyperlink"/>
            <w:rFonts w:ascii="Times New Roman" w:hAnsi="Times New Roman"/>
            <w:i/>
            <w:szCs w:val="24"/>
          </w:rPr>
          <w:t>Mallo v. Internal Revenue Service</w:t>
        </w:r>
        <w:r w:rsidRPr="00BD076E">
          <w:rPr>
            <w:rStyle w:val="Hyperlink"/>
            <w:rFonts w:ascii="Times New Roman" w:hAnsi="Times New Roman"/>
            <w:szCs w:val="24"/>
          </w:rPr>
          <w:t>, 2014 WL 7360130, at *6</w:t>
        </w:r>
        <w:r w:rsidR="00BD076E">
          <w:rPr>
            <w:rStyle w:val="Hyperlink"/>
            <w:rFonts w:ascii="Times New Roman" w:hAnsi="Times New Roman"/>
            <w:szCs w:val="24"/>
          </w:rPr>
          <w:t xml:space="preserve"> [</w:t>
        </w:r>
        <w:r w:rsidR="00BD076E" w:rsidRPr="00BD076E">
          <w:rPr>
            <w:rStyle w:val="Hyperlink"/>
            <w:rFonts w:ascii="Times New Roman" w:hAnsi="Times New Roman"/>
            <w:szCs w:val="24"/>
          </w:rPr>
          <w:t xml:space="preserve">774 </w:t>
        </w:r>
        <w:r w:rsidR="008B5ADA">
          <w:rPr>
            <w:rStyle w:val="Hyperlink"/>
            <w:rFonts w:ascii="Times New Roman" w:hAnsi="Times New Roman"/>
            <w:szCs w:val="24"/>
          </w:rPr>
          <w:t>F.3d</w:t>
        </w:r>
        <w:r w:rsidR="00BD076E" w:rsidRPr="00BD076E">
          <w:rPr>
            <w:rStyle w:val="Hyperlink"/>
            <w:rFonts w:ascii="Times New Roman" w:hAnsi="Times New Roman"/>
            <w:szCs w:val="24"/>
          </w:rPr>
          <w:t xml:space="preserve"> 1313</w:t>
        </w:r>
        <w:r w:rsidR="00BD076E">
          <w:rPr>
            <w:rStyle w:val="Hyperlink"/>
            <w:rFonts w:ascii="Times New Roman" w:hAnsi="Times New Roman"/>
            <w:szCs w:val="24"/>
          </w:rPr>
          <w:t>]</w:t>
        </w:r>
        <w:r w:rsidRPr="00BD076E">
          <w:rPr>
            <w:rStyle w:val="Hyperlink"/>
            <w:rFonts w:ascii="Times New Roman" w:hAnsi="Times New Roman"/>
            <w:szCs w:val="24"/>
          </w:rPr>
          <w:t xml:space="preserve"> (10th 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286"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(5th Cir. 2012)</w:t>
        </w:r>
      </w:hyperlink>
      <w:r w:rsidRPr="007A5BBC">
        <w:rPr>
          <w:rFonts w:ascii="Times New Roman" w:hAnsi="Times New Roman"/>
          <w:szCs w:val="24"/>
        </w:rPr>
        <w:t xml:space="preserve">. And at least one other circuit court judge, in dictum, predicted such a result. </w:t>
      </w:r>
      <w:hyperlink r:id="rId287"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(7th 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5362" w:name="a0g2r3g5c4"/>
      <w:bookmarkEnd w:id="5362"/>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77777777" w:rsidR="00807980" w:rsidRPr="007A5BBC" w:rsidRDefault="00807980" w:rsidP="00BA4893">
      <w:pPr>
        <w:ind w:firstLine="720"/>
        <w:jc w:val="both"/>
        <w:rPr>
          <w:rFonts w:ascii="Times New Roman" w:hAnsi="Times New Roman"/>
          <w:szCs w:val="24"/>
        </w:rPr>
      </w:pPr>
      <w:bookmarkStart w:id="5363" w:name="a0g2r3g5c5"/>
      <w:bookmarkStart w:id="5364" w:name="a0g2r3g5c7"/>
      <w:bookmarkEnd w:id="5363"/>
      <w:bookmarkEnd w:id="5364"/>
      <w:r w:rsidRPr="007A5BBC">
        <w:rPr>
          <w:rFonts w:ascii="Times New Roman" w:hAnsi="Times New Roman"/>
          <w:szCs w:val="24"/>
        </w:rPr>
        <w:t>Widening the scope slightly, debtors point to the language of section 523(a)(1)(B)(ii) (“the two-year provision”), which clearly implies that there can be a “return” that is filed within two years “after the date on which such return… was last due.”</w:t>
      </w:r>
      <w:bookmarkStart w:id="5365" w:name="a0g2r3g5c8_ref"/>
      <w:bookmarkEnd w:id="5365"/>
      <w:r w:rsidRPr="007A5BBC">
        <w:rPr>
          <w:rFonts w:ascii="Times New Roman" w:hAnsi="Times New Roman"/>
          <w:szCs w:val="24"/>
        </w:rPr>
        <w:t xml:space="preserve"> </w:t>
      </w:r>
      <w:bookmarkStart w:id="5366" w:name="a0g2r3g5c8_reffirst_footref"/>
      <w:bookmarkEnd w:id="5366"/>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5367" w:name="a0g2r3g5d0"/>
      <w:bookmarkEnd w:id="5367"/>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1534D99D" w:rsidR="00807980" w:rsidRPr="007A5BBC" w:rsidRDefault="00807980" w:rsidP="00BA4893">
      <w:pPr>
        <w:ind w:firstLine="720"/>
        <w:jc w:val="both"/>
        <w:rPr>
          <w:rFonts w:ascii="Times New Roman" w:hAnsi="Times New Roman"/>
          <w:szCs w:val="24"/>
        </w:rPr>
      </w:pPr>
      <w:bookmarkStart w:id="5368" w:name="a0g2r3g5d1"/>
      <w:bookmarkEnd w:id="5368"/>
      <w:r w:rsidRPr="007A5BBC">
        <w:rPr>
          <w:rFonts w:ascii="Times New Roman" w:hAnsi="Times New Roman"/>
          <w:szCs w:val="24"/>
        </w:rPr>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case where the bankruptcy court was bound by the reading of section 523(a)(*) that the Department urges here. See </w:t>
      </w:r>
      <w:hyperlink r:id="rId288" w:history="1">
        <w:r w:rsidRPr="00BD076E">
          <w:rPr>
            <w:rStyle w:val="Hyperlink"/>
            <w:rFonts w:ascii="Times New Roman" w:hAnsi="Times New Roman"/>
            <w:szCs w:val="24"/>
          </w:rPr>
          <w:t>In re Kemendo,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5369" w:name="a0g2r3g5d2"/>
      <w:bookmarkStart w:id="5370" w:name="a0g2r3g5d3"/>
      <w:bookmarkEnd w:id="5369"/>
      <w:bookmarkEnd w:id="5370"/>
      <w:r w:rsidRPr="007A5BBC">
        <w:rPr>
          <w:rFonts w:ascii="Times New Roman" w:hAnsi="Times New Roman"/>
          <w:szCs w:val="24"/>
        </w:rPr>
        <w:t>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5371" w:name="a0g2r3g5d4_ref"/>
      <w:bookmarkEnd w:id="5371"/>
      <w:r w:rsidRPr="007A5BBC">
        <w:rPr>
          <w:rFonts w:ascii="Times New Roman" w:hAnsi="Times New Roman"/>
          <w:szCs w:val="24"/>
        </w:rPr>
        <w:t xml:space="preserve"> </w:t>
      </w:r>
      <w:bookmarkStart w:id="5372" w:name="a0g2r3g5d4_reffirst_footref"/>
      <w:bookmarkEnd w:id="5372"/>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5373" w:name="a0g2r3g5d4"/>
      <w:bookmarkStart w:id="5374" w:name="a0g2r3g5d6"/>
      <w:bookmarkEnd w:id="5373"/>
      <w:bookmarkEnd w:id="5374"/>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5375" w:name="a0g2r3g5d7"/>
      <w:bookmarkStart w:id="5376" w:name="a0g2r3g5e2"/>
      <w:bookmarkStart w:id="5377" w:name="a0g2r3g5e5"/>
      <w:bookmarkEnd w:id="5375"/>
      <w:bookmarkEnd w:id="5376"/>
      <w:bookmarkEnd w:id="5377"/>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5378" w:name="a0g2r3g5e6"/>
      <w:bookmarkEnd w:id="5378"/>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5379" w:name="a0g2r3g5e7"/>
      <w:bookmarkEnd w:id="5379"/>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5380" w:name="a0g2r3g5e9"/>
      <w:bookmarkEnd w:id="5380"/>
      <w:r w:rsidRPr="007A5BBC">
        <w:rPr>
          <w:rFonts w:ascii="Times New Roman" w:hAnsi="Times New Roman"/>
          <w:szCs w:val="24"/>
        </w:rPr>
        <w:t>Our response to the debtors’ reliance on these rules of statutory construction is fourfold.</w:t>
      </w:r>
    </w:p>
    <w:p w14:paraId="642D3BFD" w14:textId="77777777" w:rsidR="00807980" w:rsidRPr="007A5BBC" w:rsidRDefault="00807980" w:rsidP="00BA4893">
      <w:pPr>
        <w:ind w:firstLine="720"/>
        <w:jc w:val="both"/>
        <w:rPr>
          <w:rFonts w:ascii="Times New Roman" w:hAnsi="Times New Roman"/>
          <w:szCs w:val="24"/>
        </w:rPr>
      </w:pPr>
      <w:bookmarkStart w:id="5381" w:name="a0g2r3g5f0"/>
      <w:bookmarkEnd w:id="5381"/>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5382" w:name="a0g2r3g5f1"/>
      <w:bookmarkEnd w:id="5382"/>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5383" w:name="a0g2r3g5f2"/>
      <w:bookmarkStart w:id="5384" w:name="a0g2r3g5f7"/>
      <w:bookmarkEnd w:id="5383"/>
      <w:bookmarkEnd w:id="5384"/>
      <w:r w:rsidRPr="007A5BBC">
        <w:rPr>
          <w:rFonts w:ascii="Times New Roman" w:hAnsi="Times New Roman"/>
          <w:szCs w:val="24"/>
        </w:rPr>
        <w:t xml:space="preserve">Finally, we acknowledge that straightforward application of Congress's language changes presumed practice in some bankruptcy courts (including those that ruled for three of the debtors below). That being said, the judge-made law surrounding the meaning of a “return” in section 523(a) was far from settled. </w:t>
      </w:r>
      <w:bookmarkStart w:id="5385" w:name="a0g2r3g5g2"/>
      <w:bookmarkEnd w:id="5385"/>
    </w:p>
    <w:p w14:paraId="236D518F" w14:textId="1D20EA97" w:rsidR="00DB0805"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p w14:paraId="12D45882" w14:textId="77777777" w:rsidR="008B2CD2" w:rsidRPr="007A5BBC" w:rsidRDefault="008B2CD2" w:rsidP="00BA4893">
      <w:pPr>
        <w:ind w:firstLine="720"/>
        <w:jc w:val="both"/>
        <w:rPr>
          <w:rFonts w:ascii="Times New Roman" w:hAnsi="Times New Roman"/>
          <w:szCs w:val="24"/>
        </w:rPr>
      </w:pPr>
    </w:p>
    <w:bookmarkStart w:id="5386" w:name="a0g2r3g5g3"/>
    <w:bookmarkEnd w:id="5386"/>
    <w:p w14:paraId="7DCB2917" w14:textId="775428CC" w:rsidR="00DB0805" w:rsidRPr="008B2CD2" w:rsidRDefault="00BD076E" w:rsidP="00D95675">
      <w:pPr>
        <w:pStyle w:val="Heading3"/>
        <w:rPr>
          <w:u w:val="single"/>
        </w:rPr>
      </w:pPr>
      <w:r w:rsidRPr="008B2CD2">
        <w:rPr>
          <w:u w:val="single"/>
        </w:rPr>
        <w:fldChar w:fldCharType="begin"/>
      </w:r>
      <w:r w:rsidRPr="008B2CD2">
        <w:rPr>
          <w:u w:val="single"/>
        </w:rPr>
        <w:instrText xml:space="preserve"> HYPERLINK "https://scholar.google.com/scholar_case?case=5270362258430051298&amp;q=831+F.2d+395+&amp;hl=en&amp;as_sdt=6,33" </w:instrText>
      </w:r>
      <w:r w:rsidRPr="008B2CD2">
        <w:rPr>
          <w:u w:val="single"/>
        </w:rPr>
        <w:fldChar w:fldCharType="separate"/>
      </w:r>
      <w:bookmarkStart w:id="5387" w:name="_Toc87039381"/>
      <w:bookmarkStart w:id="5388" w:name="_Toc90983777"/>
      <w:r w:rsidR="00DB0805" w:rsidRPr="008B2CD2">
        <w:rPr>
          <w:rStyle w:val="Hyperlink"/>
        </w:rPr>
        <w:t>B</w:t>
      </w:r>
      <w:r w:rsidR="006734ED" w:rsidRPr="008B2CD2">
        <w:rPr>
          <w:rStyle w:val="Hyperlink"/>
        </w:rPr>
        <w:t>RUNNER v. NEW YORK STATE HIGHER EDUC</w:t>
      </w:r>
      <w:r w:rsidR="00850A70" w:rsidRPr="008B2CD2">
        <w:rPr>
          <w:rStyle w:val="Hyperlink"/>
        </w:rPr>
        <w:t>.</w:t>
      </w:r>
      <w:r w:rsidR="006734ED" w:rsidRPr="008B2CD2">
        <w:rPr>
          <w:rStyle w:val="Hyperlink"/>
        </w:rPr>
        <w:t xml:space="preserve"> SERV</w:t>
      </w:r>
      <w:r w:rsidR="00850A70" w:rsidRPr="008B2CD2">
        <w:rPr>
          <w:rStyle w:val="Hyperlink"/>
        </w:rPr>
        <w:t>.</w:t>
      </w:r>
      <w:r w:rsidR="006734ED" w:rsidRPr="008B2CD2">
        <w:rPr>
          <w:rStyle w:val="Hyperlink"/>
        </w:rPr>
        <w:t xml:space="preserve"> CORP., </w:t>
      </w:r>
      <w:r w:rsidR="00DB0805" w:rsidRPr="008B2CD2">
        <w:rPr>
          <w:rStyle w:val="Hyperlink"/>
        </w:rPr>
        <w:t>831 F.2d 395 (</w:t>
      </w:r>
      <w:r w:rsidR="00B17D36" w:rsidRPr="008B2CD2">
        <w:rPr>
          <w:rStyle w:val="Hyperlink"/>
        </w:rPr>
        <w:t>2d</w:t>
      </w:r>
      <w:r w:rsidR="00DB0805" w:rsidRPr="008B2CD2">
        <w:rPr>
          <w:rStyle w:val="Hyperlink"/>
        </w:rPr>
        <w:t xml:space="preserve"> Cir. 1987)</w:t>
      </w:r>
      <w:bookmarkEnd w:id="5387"/>
      <w:bookmarkEnd w:id="5388"/>
      <w:r w:rsidRPr="008B2CD2">
        <w:rPr>
          <w:u w:val="single"/>
        </w:rPr>
        <w:fldChar w:fldCharType="end"/>
      </w:r>
      <w:bookmarkStart w:id="5389" w:name="_Toc79693155"/>
      <w:bookmarkStart w:id="5390" w:name="_Toc79693475"/>
      <w:bookmarkStart w:id="5391" w:name="_Toc79693795"/>
      <w:bookmarkStart w:id="5392" w:name="_Toc79694112"/>
      <w:bookmarkStart w:id="5393" w:name="_Toc79694430"/>
      <w:bookmarkStart w:id="5394" w:name="_Toc79694750"/>
      <w:bookmarkStart w:id="5395" w:name="_Toc79695064"/>
      <w:bookmarkStart w:id="5396" w:name="_Toc79695380"/>
      <w:bookmarkStart w:id="5397" w:name="_Toc79695696"/>
      <w:bookmarkStart w:id="5398" w:name="_Toc79696012"/>
      <w:bookmarkStart w:id="5399" w:name="_Toc79696328"/>
      <w:bookmarkStart w:id="5400" w:name="_Toc79696644"/>
      <w:bookmarkStart w:id="5401" w:name="_Toc79696965"/>
      <w:bookmarkStart w:id="5402" w:name="_Toc79697297"/>
      <w:bookmarkStart w:id="5403" w:name="_Toc79697626"/>
      <w:bookmarkStart w:id="5404" w:name="_Toc79699297"/>
      <w:bookmarkStart w:id="5405" w:name="_Toc79699623"/>
      <w:bookmarkStart w:id="5406" w:name="_Toc79699961"/>
      <w:bookmarkStart w:id="5407" w:name="_Toc79700281"/>
      <w:bookmarkStart w:id="5408" w:name="_Toc79700603"/>
      <w:bookmarkStart w:id="5409" w:name="_Toc79700925"/>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r w:rsidR="008B2CD2" w:rsidRPr="008B2CD2">
        <w:rPr>
          <w:u w:val="single"/>
        </w:rPr>
        <w:br/>
      </w:r>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11 U.S.C. § 523(a)(8)(B) requires a conclusion regarding the legal effect of the bankruptcy court's findings as to her circumstances. </w:t>
      </w:r>
    </w:p>
    <w:p w14:paraId="5AADEB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11 U.S.C. § 523(a)(8)(B). Based on legislative history and the decisions of other district and bankruptcy courts, the district court adopted a standard for "undue hardship" requiring a </w:t>
      </w:r>
      <w:bookmarkStart w:id="5410" w:name="OLE_LINK188"/>
      <w:bookmarkStart w:id="5411"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5410"/>
      <w:bookmarkEnd w:id="5411"/>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further showing required by part two of the test is also reasonable in light of the clear congressional intent exhibited in section 523(a)(8)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684D238E" w14:textId="50273219" w:rsidR="00A80463" w:rsidRDefault="00DB0805" w:rsidP="00BA4893">
      <w:pPr>
        <w:ind w:firstLine="720"/>
        <w:jc w:val="both"/>
        <w:rPr>
          <w:rFonts w:ascii="Times New Roman" w:hAnsi="Times New Roman"/>
          <w:szCs w:val="24"/>
        </w:rPr>
      </w:pPr>
      <w:r w:rsidRPr="007A5BBC">
        <w:rPr>
          <w:rFonts w:ascii="Times New Roman" w:hAnsi="Times New Roman"/>
          <w:szCs w:val="24"/>
        </w:rPr>
        <w:t>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less drastic remedy available to those unable to pay because of prolonged unemployment. Such conduct does not evidence a good faith attempt to repay her student loans</w:t>
      </w:r>
      <w:r w:rsidR="00083725" w:rsidRPr="007A5BBC">
        <w:rPr>
          <w:rFonts w:ascii="Times New Roman" w:hAnsi="Times New Roman"/>
          <w:szCs w:val="24"/>
        </w:rPr>
        <w:t>.</w:t>
      </w:r>
      <w:r w:rsidR="00083725">
        <w:rPr>
          <w:rFonts w:ascii="Times New Roman" w:hAnsi="Times New Roman"/>
          <w:szCs w:val="24"/>
        </w:rPr>
        <w:t xml:space="preserve"> </w:t>
      </w:r>
      <w:r w:rsidRPr="007A5BBC">
        <w:rPr>
          <w:rFonts w:ascii="Times New Roman" w:hAnsi="Times New Roman"/>
          <w:szCs w:val="24"/>
        </w:rPr>
        <w:t>Judgment affirmed.</w:t>
      </w:r>
    </w:p>
    <w:p w14:paraId="0AB9CDDD" w14:textId="77777777" w:rsidR="008B2CD2" w:rsidRPr="007A5BBC" w:rsidRDefault="008B2CD2" w:rsidP="00BA4893">
      <w:pPr>
        <w:ind w:firstLine="720"/>
        <w:jc w:val="both"/>
        <w:rPr>
          <w:rFonts w:ascii="Times New Roman" w:hAnsi="Times New Roman"/>
          <w:szCs w:val="24"/>
        </w:rPr>
      </w:pPr>
    </w:p>
    <w:p w14:paraId="7191B3AE" w14:textId="151B5687" w:rsidR="00A175EF" w:rsidRPr="008B2CD2" w:rsidRDefault="007C1024" w:rsidP="00D95675">
      <w:pPr>
        <w:pStyle w:val="Heading3"/>
        <w:rPr>
          <w:b w:val="0"/>
          <w:bCs w:val="0"/>
          <w:color w:val="0000FF"/>
          <w:u w:val="single"/>
        </w:rPr>
      </w:pPr>
      <w:hyperlink r:id="rId289" w:history="1">
        <w:bookmarkStart w:id="5412" w:name="_Toc79693476"/>
        <w:bookmarkStart w:id="5413" w:name="_Toc79693796"/>
        <w:bookmarkStart w:id="5414" w:name="_Toc79694751"/>
        <w:bookmarkStart w:id="5415" w:name="_Toc79695381"/>
        <w:bookmarkStart w:id="5416" w:name="_Toc79697627"/>
        <w:bookmarkStart w:id="5417" w:name="_Toc87039382"/>
        <w:bookmarkStart w:id="5418" w:name="_Toc90983778"/>
        <w:r w:rsidR="00A175EF" w:rsidRPr="008B2CD2">
          <w:rPr>
            <w:rStyle w:val="Heading3Char"/>
            <w:b/>
            <w:bCs/>
            <w:color w:val="0000FF"/>
            <w:u w:val="single"/>
          </w:rPr>
          <w:t>E</w:t>
        </w:r>
        <w:r w:rsidR="006734ED" w:rsidRPr="008B2CD2">
          <w:rPr>
            <w:rStyle w:val="Heading3Char"/>
            <w:b/>
            <w:bCs/>
            <w:color w:val="0000FF"/>
            <w:u w:val="single"/>
          </w:rPr>
          <w:t>LLINGSWORTH v. AT&amp;T UNIVERSAL CARD SERV</w:t>
        </w:r>
        <w:r w:rsidR="00850A70" w:rsidRPr="008B2CD2">
          <w:rPr>
            <w:rStyle w:val="Heading3Char"/>
            <w:b/>
            <w:bCs/>
            <w:color w:val="0000FF"/>
            <w:u w:val="single"/>
          </w:rPr>
          <w:t>.</w:t>
        </w:r>
        <w:r w:rsidR="006734ED" w:rsidRPr="008B2CD2">
          <w:rPr>
            <w:rStyle w:val="Heading3Char"/>
            <w:b/>
            <w:bCs/>
            <w:color w:val="0000FF"/>
            <w:u w:val="single"/>
          </w:rPr>
          <w:t xml:space="preserve">, </w:t>
        </w:r>
        <w:r w:rsidR="00A175EF" w:rsidRPr="008B2CD2">
          <w:rPr>
            <w:rStyle w:val="Heading3Char"/>
            <w:b/>
            <w:bCs/>
            <w:color w:val="0000FF"/>
            <w:u w:val="single"/>
          </w:rPr>
          <w:t>212 B.R. 326 (Bankr. W.D.</w:t>
        </w:r>
        <w:bookmarkEnd w:id="5412"/>
        <w:bookmarkEnd w:id="5413"/>
        <w:bookmarkEnd w:id="5414"/>
        <w:bookmarkEnd w:id="5415"/>
        <w:bookmarkEnd w:id="5416"/>
        <w:r w:rsidR="00A175EF" w:rsidRPr="008B2CD2">
          <w:rPr>
            <w:rStyle w:val="Heading3Char"/>
            <w:b/>
            <w:bCs/>
            <w:color w:val="0000FF"/>
            <w:u w:val="single"/>
          </w:rPr>
          <w:t xml:space="preserve"> </w:t>
        </w:r>
        <w:r w:rsidR="00A175EF" w:rsidRPr="008B2CD2">
          <w:rPr>
            <w:rStyle w:val="Hyperlink"/>
          </w:rPr>
          <w:t>Mo. 1997)</w:t>
        </w:r>
        <w:bookmarkEnd w:id="5417"/>
        <w:bookmarkEnd w:id="5418"/>
      </w:hyperlink>
      <w:bookmarkStart w:id="5419" w:name="_Toc79699298"/>
      <w:bookmarkStart w:id="5420" w:name="_Toc79699624"/>
      <w:bookmarkStart w:id="5421" w:name="_Toc79699962"/>
      <w:bookmarkStart w:id="5422" w:name="_Toc79700282"/>
      <w:bookmarkStart w:id="5423" w:name="_Toc79700604"/>
      <w:bookmarkStart w:id="5424" w:name="_Toc79700926"/>
      <w:bookmarkEnd w:id="5419"/>
      <w:bookmarkEnd w:id="5420"/>
      <w:bookmarkEnd w:id="5421"/>
      <w:bookmarkEnd w:id="5422"/>
      <w:bookmarkEnd w:id="5423"/>
      <w:bookmarkEnd w:id="5424"/>
      <w:r w:rsidR="008B2CD2" w:rsidRPr="008B2CD2">
        <w:rPr>
          <w:rStyle w:val="Hyperlink"/>
        </w:rPr>
        <w:br/>
      </w:r>
    </w:p>
    <w:p w14:paraId="7DA6FC1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and her husband filed their joint bankruptcy petition on November 25, 1996. According to their bankruptcy schedules Ms. Ellingsworth was indebted to AT&amp;T Universal Card Services (UCS) for the sum of $4,038.11 at the time of filing. UCS issued a pre-approved credit card to Ms. Ellingsworth on October 19, 1995, with a credit limit of $4,000. Ms. Ellingsworth did not use the card from the time it was issued until September 11, 1996. Between September 11, 1996, and October 15, 1996, she took 16 cash advances totaling $3,411, and she made 8 purchases totaling $500.91. She made no payments to UCS before she and her husband filed their bankruptcy petition. Ten cash advances, totaling $2,058, excluding finance charges, were taken within 60 days of the bankruptcy filing. According to Mr. and Mrs. Ellingsworth's bankruptcy schedules, they had a total of $</w:t>
      </w:r>
      <w:bookmarkStart w:id="5425" w:name="OLE_LINK190"/>
      <w:bookmarkStart w:id="5426" w:name="OLE_LINK191"/>
      <w:r w:rsidRPr="007A5BBC">
        <w:rPr>
          <w:rFonts w:ascii="Times New Roman" w:hAnsi="Times New Roman"/>
          <w:szCs w:val="24"/>
        </w:rPr>
        <w:t>70,445 in unsecured debt at the time of filing. The vast majority of that debt is from 18 different credit cards</w:t>
      </w:r>
      <w:bookmarkEnd w:id="5425"/>
      <w:bookmarkEnd w:id="5426"/>
      <w:r w:rsidRPr="007A5BBC">
        <w:rPr>
          <w:rFonts w:ascii="Times New Roman" w:hAnsi="Times New Roman"/>
          <w:szCs w:val="24"/>
        </w:rPr>
        <w:t>.</w:t>
      </w:r>
    </w:p>
    <w:p w14:paraId="0A20FAB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filed a complaint claiming that the debt was non-dischargeable for fraud under Section 523(a)(2) of the Bankruptcy Code]. A trial was held on July 28, 1997. At the trial Ms. Ellingsworth testified that she is employed as a special education teacher, and has been so employed for 18 years. Her net monthly income is $2,111.48. She stated that she and Mr. Ellingsworth began to depend on their credit cards to make ends meet six years ago, prior to the birth of their third child. They had always been able to make the minimum payments on the credit card accounts, but eventually they began to max-out one card and shift to another. She claims they always believed they would be able to get out of debt, and they had never contemplated bankruptcy. They believed Mr. Ellingsworth was being groomed for a job promotion, but in August of 1996 he was demoted from a buyer to an assistant manager. While his salary declined by approximately $200 a month, the real decrease was in benefits. The company had supplied him with a car, insurance, and a gas allowance when he was a buyer. There was also the potential for a bonus each year as a buyer. As an assistant manager, Mr. Ellingsworth had to provide his own transportation necessitating the purchase of an automobile. His net monthly income is $1,186.69.</w:t>
      </w:r>
    </w:p>
    <w:p w14:paraId="2E3EC63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Ellingsworths apparently began to use the UCS credit card when they encountered these additional expenses. Ms. Ellingsworth also testified that the cash advances she made with the credit card were to pay for food, medicines, and clothing. She referred to medical expenses for three children, but she admitted she had health insurance, and offered no documentation for money she claimed was paid for doctor's visits and medications. She said that at the time she began using the UCS card all of her other credit cards were at their limit. She also said that on October 15, 1996, after the last cash advance, she stopped using the card and made an appointment with Credit Counseling Services in order to develop a plan to get out of debt. I note that she was over her credit limit on the UCS card at the time she claims she voluntarily stopped using it. She stated that until she and Mr. Ellingsworth met with a counselor at Credit Counseling Services she had never contemplated filing for bankruptcy. They only filed their petition when they were told that they were in too much debt to benefit from counseling.</w:t>
      </w:r>
    </w:p>
    <w:p w14:paraId="3946613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Don Carter, an employee, testified on behalf of UCS. He admitted that UCS contacted Ms. Ellingsworth in 1995 and informed her that she had been pre-approved for a card. She responded by telephone and was sent a credit card and a Universal Bank Credit Agreement (the Agreement). She never filled out an application for the card. Apparently she only verified by phone her income and employment. She was not asked about other liabilities. According to her bankruptcy schedules and the credit bureau report admitted at the trial,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He stated that UCS has developed some internal indicators that it uses in addition to the FICO score, but he was not certain of how the internal analysis is performed. And, other than the FICO score and the information provided by the customer as to her income and employment, it appears UCS had no other information available to it prior to issuing the card. According to Mr. Carter, once a card is issued to a customer, it is UCS policy to obtain a FICO score not less than every quarter, and to consider raising or lowering the credit limit or revoking the card, based on any changes. He said full credit bureau reports are not obtained prior to issuing cards because analyzing the credit bureau report itself would be too time consuming.</w:t>
      </w:r>
    </w:p>
    <w:p w14:paraId="5C0BD71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UCS did not present any evidence that a quarterly credit score had been obtained on Ms. Ellingsworth between October of 1995, when she received the card, and July 2, 1997, when the credit bureau report was obtained.</w:t>
      </w:r>
    </w:p>
    <w:p w14:paraId="4D4766F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claims that Ms. Ellingsworth represented with each purchase and cash advance that she had the ability and the intent to repay her obligation to UCS. It also claims that any cash advances she took within 60 days of the bankruptcy filing aggregating more than $1,000 are presumed nondischargeable.</w:t>
      </w:r>
    </w:p>
    <w:p w14:paraId="47461B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dischargeability of credit card debt is but one small piece in the puzzle that represents unsecured lending today because the use of credit cards is, in fact, a form of unsecured lending. The following scenario illustrates this point. Assume you are a loan officer for a large metropolitan bank. A woman walks in one day and says she wants to borrow $60,000 on her signature. She willingly fills out a financial statement which shows that she already has $300,000 in unsecured debt, but she needs these additional funds for a business trip. She also shows one asset, a heavily encumbered apartment building that is being foreclosed. Of course, she promises to repay the loan if one is made to her. Would a bank that makes such a loan be found to have justifiably relied on her promise? Of course not. </w:t>
      </w:r>
    </w:p>
    <w:p w14:paraId="678F3F75" w14:textId="2D9439DC"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But, what if, instead, the 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 In </w:t>
      </w:r>
      <w:hyperlink r:id="rId290" w:history="1">
        <w:r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(9th Cir. 1996)</w:t>
        </w:r>
      </w:hyperlink>
      <w:r w:rsidR="005B2C0E">
        <w:rPr>
          <w:rFonts w:ascii="Times New Roman" w:hAnsi="Times New Roman"/>
          <w:szCs w:val="24"/>
        </w:rPr>
        <w:t xml:space="preserve">,] </w:t>
      </w:r>
      <w:r w:rsidRPr="007A5BBC">
        <w:rPr>
          <w:rFonts w:ascii="Times New Roman" w:hAnsi="Times New Roman"/>
          <w:szCs w:val="24"/>
        </w:rPr>
        <w:t>the debtor used his American Express Card to run up over $60,000 in debt while vacationing in France with his family. Dr. Hashemi then came home and filed for bankruptcy protection. The Ninth Circuit held that the debt was nondischargeable. The opinion pays scant attention to whether American Express acted justifiably in relying on debtor's promise to pay, whether express or implied. The Court found only that when Dr. Hashemi began his spending spree his account balance was $227.00, and that he had often repaid balances in excess of $60,000 in the past</w:t>
      </w:r>
      <w:r w:rsidR="005F6A8B">
        <w:rPr>
          <w:rFonts w:ascii="Times New Roman" w:hAnsi="Times New Roman"/>
          <w:szCs w:val="24"/>
        </w:rPr>
        <w:t xml:space="preserve">. </w:t>
      </w:r>
      <w:r w:rsidRPr="007A5BBC">
        <w:rPr>
          <w:rFonts w:ascii="Times New Roman" w:hAnsi="Times New Roman"/>
          <w:szCs w:val="24"/>
        </w:rPr>
        <w:t xml:space="preserve">Nonetheless, surely if American Express had been aware of Dr. Hashemi's current situation, it would not have extended the credit. And, if it was not aware that Dr. Hashemi was insolvent, then it should have taken some steps to find out before extending such a large amount of credit. If no lender would have made that loan in a face to face transaction, why are American Express' unreasonable lending practices afforded special protection under the Bankruptcy Code? Is there something in the Bankruptcy Code that treats credit card loans differently from face to face loans? </w:t>
      </w:r>
    </w:p>
    <w:p w14:paraId="7D825EF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Congress has created certain presumptions of nondischargeability as to credit card debt. To the extent those presumptions are applicable, a portion of Ms. Ellingsworth's debt is nondischargeable. However, to the extent there is not a presumption of nondischargeability, the conduct of UCS in making credit available to her is a significant factor, which renders that portion of her debt dischargeable. </w:t>
      </w:r>
    </w:p>
    <w:p w14:paraId="0D82266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begin with some background regarding the explosive growth of pre-approved credit cards. I then find that UCS cannot justifiably rely on any representation made by Ms. Ellingsworth when UCS issued a pre-approved card to her unless UCS first obtained information as to her assets, liabilities, income, and expenses, and periodically updated that information. However, I also find that Ms. Ellingsworth did not intend to repay her obligation to UCS at the time she made the charges and took cash advances on the card. Finally, I find that Congress did intend to treat credit card cash advances differently from other credit card transactions if taken within the presumption period of 60 days prior to the bankruptcy filing. Therefore, to the extent any cash advances fall within the presumption period, I find that these debts are nondischargeable even though UCS did not prove justifiable reliance. To the extent the charges and cash advances were taken outside the presumption period, the lack of justifiable reliance requires a finding of dischargeability.</w:t>
      </w:r>
    </w:p>
    <w:p w14:paraId="55086D9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 The Growth of Credit Card Use</w:t>
      </w:r>
    </w:p>
    <w:p w14:paraId="3F607B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1995 2.7 billion unrequested solicitations for credit cards were mailed to American consumers. That amounts to about 17 offers per </w:t>
      </w:r>
      <w:bookmarkStart w:id="5427" w:name="r[5]"/>
      <w:r w:rsidRPr="007A5BBC">
        <w:rPr>
          <w:rFonts w:ascii="Times New Roman" w:hAnsi="Times New Roman"/>
          <w:szCs w:val="24"/>
        </w:rPr>
        <w:t>adult</w:t>
      </w:r>
      <w:bookmarkEnd w:id="5427"/>
      <w:r w:rsidRPr="007A5BBC">
        <w:rPr>
          <w:rFonts w:ascii="Times New Roman" w:hAnsi="Times New Roman"/>
          <w:szCs w:val="24"/>
        </w:rPr>
        <w:t xml:space="preserve">. The average card has a spending limit of $6,007, therefore, if a consumer accepted every offer, she would end up with a potential credit line of $102,119. And, while the industry average for charging off credit card debt is 6 percent, bank profits have hit the highest levels in more than half a century, thanks primarily to the profits from credit cards. The average household carries about $4,000 a month in card debt, a total of $367 billion, and banks earned approximately $35 billion in interest on this total in 1995. </w:t>
      </w:r>
    </w:p>
    <w:p w14:paraId="73750BBC" w14:textId="405DB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Prior to a mass mailing, creditors such as UCS obtain lists from credit bureaus with the names of candidates and a "credit score" for each person on the list. These scores relate generally to past card use, whether the candidate pays the minimum monthly balance on current cards, and whether there are any delinquencies or bankruptcies on record. Car loans, medical bills, and mortgages are not included in the credit score, nor are income, job history, marital status, and assets. </w:t>
      </w:r>
    </w:p>
    <w:p w14:paraId="6C50297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credit score, which can range from 450 to 850, is a supposedly scientific way of assessing the likelihood that a debtor will repay a loan. The computer credit model upon which most lenders rely today was developed by Fair, Issacs, and Company in California. The score is based on all credit-related data in a credit bureau report, but it is not a measure of a borrower's income, assets, or bank accounts. Fair Issacs, which is the service that UCS uses, identifies credit patterns, each of which corresponds to the probability that a lender [ed-borrower?] will make payments. The items are updated monthly, so the scores will change with new information. </w:t>
      </w:r>
    </w:p>
    <w:p w14:paraId="5A5402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63F7096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Banks use other techniques as well to encourage consumers to keep large balances on their credit cards. For example, VISA and MASTERCARD issuer Citibank offer credit cards that give a 2 percent interest rate break to customers who keep a balance of more than $2,500. UCS, the plaintiff here, rewards customers with bonus points if they carry a large balance. More disturbing, credit card companies flood college campuses with sign-up tables to hook customers early in adulthood. It is not unusual for college students with no income at all to accumulate 10 to 15 cards while in college. Why do the credit card companies solicit college students who have no regular job, little income, and no credit history? Because market research indicates that consumers are likely to hang onto the first credit card they obtain and use it long after graduation. Moreover, they will make 77 percent of their monthly purchases with that card. </w:t>
      </w:r>
    </w:p>
    <w:p w14:paraId="17307F8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this background, I turn now to how vast numbers of consumers are coping with such easy access to credit cards. Between April 1, 1996, and March 31, 1997, 830,921 consumers filed Chapter 7 bankruptcy petitions asking for the discharge of a total of $30 billion dollars in debt. Of that $30 billion dollars, $6 billion represented credit card debt. </w:t>
      </w:r>
    </w:p>
    <w:p w14:paraId="3A98052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credit card issuers are lobbying Congress to tighten bankruptcy laws to deal with the massive amount of debt that is discharged each year. This approach, however, will not address the underlying problem. Credit card debt represents on average about 15 percent of a debtor's debt at the time of the bankruptcy filing. But this is rarely recently-acquired debt in anticipation of the filing. At least 25 percent of discharged debt is from consumers whose accounts had been current just prior to the filing.</w:t>
      </w:r>
    </w:p>
    <w:p w14:paraId="75097C3B" w14:textId="567AEFF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One scholar has demonstrated that credit card operations are so much more profitable than other banking areas that lenders can relax their usual lending requirements, suffer a higher default rate, and still be money ahead</w:t>
      </w:r>
      <w:r w:rsidR="005F6A8B">
        <w:rPr>
          <w:rFonts w:ascii="Times New Roman" w:hAnsi="Times New Roman"/>
          <w:szCs w:val="24"/>
        </w:rPr>
        <w:t xml:space="preserve">. </w:t>
      </w:r>
      <w:r w:rsidRPr="007A5BBC">
        <w:rPr>
          <w:rFonts w:ascii="Times New Roman" w:hAnsi="Times New Roman"/>
          <w:szCs w:val="24"/>
        </w:rPr>
        <w:t xml:space="preserve">Which leads to the question in this case. </w:t>
      </w:r>
      <w:r w:rsidRPr="007A5BBC">
        <w:rPr>
          <w:rFonts w:ascii="Times New Roman" w:hAnsi="Times New Roman"/>
          <w:b/>
          <w:szCs w:val="24"/>
        </w:rPr>
        <w:t>Can UCS sustain its burden to prove that Ms. Ellingsworth misrepresented her intent to repay its debt, and that it justifiably relied on that representation?</w:t>
      </w:r>
    </w:p>
    <w:p w14:paraId="07EFDAF3"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C. Section 523(a)(2)(A)</w:t>
      </w:r>
    </w:p>
    <w:p w14:paraId="17AF44F7" w14:textId="77777777"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t xml:space="preserve">Section 523(a)(2)(A) of the Bankruptcy Code (the Code) excepts from discharge a debt for "false pretenses, a false representation, or actual fraud, other than a statement respecting the debtor's or an insider's financial condition."  </w:t>
      </w:r>
    </w:p>
    <w:p w14:paraId="39F5836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United States Supreme Court recently held that section 523(a)(2)(A) encompasses common law misrepresentation or actual fraud. To prove actual or common law fraud, a creditor must prove the following:</w:t>
      </w:r>
      <w:bookmarkStart w:id="5428" w:name="OLE_LINK192"/>
      <w:bookmarkStart w:id="5429" w:name="OLE_LINK193"/>
    </w:p>
    <w:p w14:paraId="1ABF18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(1) the debtor made a false representation;</w:t>
      </w:r>
    </w:p>
    <w:p w14:paraId="300E752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(2) at the time the representation was made the debtor knew it was false;</w:t>
      </w:r>
    </w:p>
    <w:p w14:paraId="35B1ED21" w14:textId="021FFDF4" w:rsidR="00A175EF" w:rsidRPr="007A5BBC" w:rsidRDefault="00C24B79" w:rsidP="00BA4893">
      <w:pPr>
        <w:ind w:firstLine="720"/>
        <w:jc w:val="both"/>
        <w:rPr>
          <w:rFonts w:ascii="Times New Roman" w:hAnsi="Times New Roman"/>
          <w:szCs w:val="24"/>
        </w:rPr>
      </w:pPr>
      <w:r>
        <w:rPr>
          <w:rFonts w:ascii="Times New Roman" w:hAnsi="Times New Roman"/>
          <w:szCs w:val="24"/>
        </w:rPr>
        <w:t xml:space="preserve">(3) </w:t>
      </w:r>
      <w:r w:rsidR="00A175EF" w:rsidRPr="007A5BBC">
        <w:rPr>
          <w:rFonts w:ascii="Times New Roman" w:hAnsi="Times New Roman"/>
          <w:szCs w:val="24"/>
        </w:rPr>
        <w:t>debtor subjectively intended to deceive the creditor at the time he made the representation;</w:t>
      </w:r>
    </w:p>
    <w:p w14:paraId="05E2E4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(4) the creditor justifiably relied upon the representation; and</w:t>
      </w:r>
    </w:p>
    <w:p w14:paraId="6C578BD9" w14:textId="2A7C6FC2"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(5) creditor was damaged.</w:t>
      </w:r>
      <w:bookmarkStart w:id="5430" w:name="r[39]"/>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"[39]" </w:instrText>
      </w:r>
      <w:r w:rsidRPr="007A5BBC">
        <w:rPr>
          <w:rFonts w:ascii="Times New Roman" w:hAnsi="Times New Roman"/>
          <w:szCs w:val="24"/>
        </w:rPr>
        <w:fldChar w:fldCharType="separate"/>
      </w:r>
      <w:r w:rsidRPr="007A5BBC">
        <w:rPr>
          <w:rFonts w:ascii="Times New Roman" w:hAnsi="Times New Roman"/>
          <w:szCs w:val="24"/>
        </w:rPr>
        <w:t>[39]</w:t>
      </w:r>
      <w:r w:rsidRPr="007A5BBC">
        <w:rPr>
          <w:rFonts w:ascii="Times New Roman" w:hAnsi="Times New Roman"/>
          <w:szCs w:val="24"/>
        </w:rPr>
        <w:fldChar w:fldCharType="end"/>
      </w:r>
      <w:bookmarkEnd w:id="5430"/>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5428"/>
      <w:bookmarkEnd w:id="5429"/>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236E81E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making its determination, the Court must, therefore, make a factual analysis of both the debtor and the creditor's conduct. In this case I will first look to Ms. Ellingsworth's conduct to discern her intent. </w:t>
      </w:r>
    </w:p>
    <w:p w14:paraId="617AD987" w14:textId="728F131E"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the past, courts have held that a </w:t>
      </w:r>
      <w:r w:rsidRPr="007A5BBC">
        <w:rPr>
          <w:rFonts w:ascii="Times New Roman" w:hAnsi="Times New Roman"/>
          <w:b/>
          <w:szCs w:val="24"/>
        </w:rPr>
        <w:t>debtor makes an implied representation with each use of a credit card that she has both the ability and intent to repay</w:t>
      </w:r>
      <w:r w:rsidRPr="007A5BBC">
        <w:rPr>
          <w:rFonts w:ascii="Times New Roman" w:hAnsi="Times New Roman"/>
          <w:szCs w:val="24"/>
        </w:rPr>
        <w:t xml:space="preserve"> the debt</w:t>
      </w:r>
      <w:r w:rsidR="005F6A8B">
        <w:rPr>
          <w:rFonts w:ascii="Times New Roman" w:hAnsi="Times New Roman"/>
          <w:szCs w:val="24"/>
        </w:rPr>
        <w:t xml:space="preserve">. </w:t>
      </w:r>
      <w:r w:rsidRPr="007A5BBC">
        <w:rPr>
          <w:rFonts w:ascii="Times New Roman" w:hAnsi="Times New Roman"/>
          <w:szCs w:val="24"/>
        </w:rPr>
        <w:t xml:space="preserve">The implied representation theory developed due to the unique nature of credit card transactions. Since a debtor presents a credit card to a third party merchant when making a purchase, not the issuer, Courts held that there could be no direct representation or contemporaneous reliance with each use of the card. Courts, therefore, held that with each use of the card, a debtor made an implied representation that she had the ability and intent to repay the debt. </w:t>
      </w:r>
    </w:p>
    <w:p w14:paraId="40F802F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the advent of electronic transmission of credit card transactions, creditors are now instantly aware when a debtor uses its card. Therefore, debtors make an express representation to the issuer each time they use the card that they intend to repay the debt. </w:t>
      </w:r>
    </w:p>
    <w:p w14:paraId="0597497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It is not clear if debtors ever made a representation of an ability to repay. However, as was recently pointed out by the Honorable Leif M. Clark, in the real world very few people who use credit cards represent a present ability to pay. They are using a credit card instead of cash precisely because they do not have the present ability to pay. It is this condition that allows card issuers to charge the interest and finance charges that make the credit card business so profitable. Judge Clark noted, ironically, that "an ability to repay is inferred to protect an industry that purposefully solicits customers who generally lack such ability.” </w:t>
      </w:r>
    </w:p>
    <w:p w14:paraId="17E99AB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minority of Courts hold that the credit card company assumes the risk of nonpayment with the use of the card, unless the issuer told the debtor to stop using its card. Both the assumption of the risk theory and the implied representation theory were developed at a time when there was a significant lag between the time the card was used and the transaction was actually recorded with the issuer. Neither theory is as relevant today when most credit transactions are automatically recorded electronically at the instant the card is used. The issuer has the technology to refuse to accept the transaction before the merchant completes the sale. In fact, most merchants today will not complete the sale until they receive a code accepting the card. Likewise, if an issuer wishes to terminate the use of a card it can do so automatically. It does not have to inform the debtor to stop using the card, and then wait for it to be mailed back. </w:t>
      </w:r>
      <w:r w:rsidRPr="007A5BBC">
        <w:rPr>
          <w:rFonts w:ascii="Times New Roman" w:hAnsi="Times New Roman"/>
          <w:b/>
          <w:szCs w:val="24"/>
        </w:rPr>
        <w:t>I, therefore, find that debtors make express representation that they intend to repay the obligation each time they use a credit card.</w:t>
      </w:r>
    </w:p>
    <w:p w14:paraId="77E050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With these fictional theories removed from the analysis, I must decide two things. Did Ms. Ellingsworth falsely represent to UCS that she intended to repay her obligation to UCS at the time she used the credit card, and did UCS justifiably rely on that representation.</w:t>
      </w:r>
    </w:p>
    <w:p w14:paraId="738E02D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Here, the Ellingsworths filed their Chapter 7 petition within 75 days of using the credit card for the first time. The majority of the cash advances were taken within 60 days of the filing. Between September 11, 1996, and October 15, 1996, Ms. Ellingsworth made 16 cash advances and 8 purchases totaling approximately $4,000. According to the bankruptcy schedules, the debtors had over $70,000 in unsecured debt at the time of filing. Ms. Ellingsworth testified that all of the other credit cards were "maxed out" when she began to use the UCS card, therefore, she and her husband had at least $65,000 in debt when the charges were made. Ms. Ellingsworth testified that she did not contact an attorney until she stopped using the UCS card. She did, however, state that she realized on October 15, 1996, that they could not go on using credit cards to meet their expenses, and that they needed credit counseling. She stated she and Mr. Ellingsworth made an appointment with Consumer Credit Counseling on October 18, 1996. The counselor at Consumer Credit Counseling told the debtors that they could not cut their expenses enough to service their debt, and that they should consider filing bankruptcy. According to the worksheet prepared by debtors and the counselor, debtors had net income of $4,180 and minimum living expenses of $3,383 leaving disposable income of $797. They needed $1465 a month to pay the minimum on their credit cards. </w:t>
      </w:r>
    </w:p>
    <w:p w14:paraId="2A0F010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testified that she voluntarily ceased using the UCS card before she went to credit counseling. I note, however, that she stopped using the card when she reached the credit limit. I also note that Mr. Ellingsworth testified that he contacted Consumer Credit Counseling long enough before their appointment to allow debtors to fill out all the financial information and return it to the counselor five days before their appointment. It appears, therefore, that debtors had determined they at least needed professional advice before they ceased using the UCS card.</w:t>
      </w:r>
    </w:p>
    <w:p w14:paraId="1CA7B2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They both insisted at trial that all of the charges were made for necessities. But, Ms. Ellingsworth could not explain a charge in the amount of $63.46 at Dave's Guns in Pataskala, Ohio, nor could she explain a charge in the amount of $217.23 at Golf Discount Campbell in Springfield, Missouri. Ms. Ellingsworth attempted to explain the medical expenses she encounters with three children, but she again failed to document these expenses. She admitted that they have health insurance that pays 80 percent of their health costs, and she did not refer to any specific illness that accounted for some of the funds she obtained with the UCS card.</w:t>
      </w:r>
    </w:p>
    <w:p w14:paraId="688617D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Finally, I note that the debtors are intelligent and articulate people. They were not convincing when they said that, even though they had over $70,000 in unsecured debt, a second mortgage on their home, and had been using credit cards for six years to make ends meet, they didn't realize the extent of their financial difficulty until they went to client counseling. I especially note that the charges on the UCS card were made over a very short period of time and debtors stopped using the card as soon as the limit was reached. I, therefore, find that when Ms. Ellingsworth used the UCS card she knew that she would be unable to ever repay the debt, and she, therefore, did not intend to repay the debt.</w:t>
      </w:r>
    </w:p>
    <w:p w14:paraId="7B4D4C1F" w14:textId="0DBC1BF4"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The Supreme Court attempted to distinguish reasonable and justifiable reliance: Reliance may be justifiable even if it does not conform to the standard of a reasonable man. For example, a creditor may justifiably rely on a debtor's statement that his house is free and clear of liens, without going to the recorder of deeds office to check for itself. On the other hand, a creditor is "required to use his senses, and cannot recover if he blindly relies upon a misrepresentation the falsity of which would be patent to him if he had utilized his opportunity to make a cursory examination or investigation." For example, the Supreme Court stated, if a seller represents that a horse is sound when it is apparent that it has one eye, the buyer cannot be said to have justifiably relied upon the representation. This clarification is not always apparent in the credit card context. The Restatement (Second) of Torts does instruct, however, that "justification is a matter of the qualities and characteristics of a particular plaintiff, and the circumstances of a particular case, rather than of the application of a community standard of conduct in all cases." </w:t>
      </w:r>
    </w:p>
    <w:p w14:paraId="5F6E4A3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becomes clear that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UCS, therefore, did not attend the section 341 meeting and it did not conduct a 2004 examination prior to filing the adversary proceeding.</w:t>
      </w:r>
    </w:p>
    <w:p w14:paraId="252294C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very sophisticated creditors. They have instant electronic access each time a credit card is used now. They know the number of charges made in a given day, they know the amount of those charges, and they know when a customer exceeds his credit limit. While they do not know with each use whether a debtor is employed, the issuers could, and often choose not to, obtain updated information about debtor's employment status. Moreover, the issuers elect not to obtain any other financial information, including assets and liabilities, about potential customers at the time a pre-approved card is issued. Often the reaction of a creditor at the time a user exceeds the credit limit on his account is to increase the limit. Mr. Carter testified that on many accounts, UCS grants a gap over the limit, ostensibly to prevent embarrassing a customer by refusing to accept a charge if the limit has been exceeded. In </w:t>
      </w:r>
      <w:r w:rsidRPr="007A5BBC">
        <w:rPr>
          <w:rFonts w:ascii="Times New Roman" w:hAnsi="Times New Roman"/>
          <w:i/>
          <w:szCs w:val="24"/>
        </w:rPr>
        <w:t>First USA Bank v. Hunter</w:t>
      </w:r>
      <w:r w:rsidRPr="007A5BBC">
        <w:rPr>
          <w:rFonts w:ascii="Times New Roman" w:hAnsi="Times New Roman"/>
          <w:szCs w:val="24"/>
        </w:rPr>
        <w:t xml:space="preserve">, the Court noted that First USA extended an invitation to Mr. Hunter to accept its Platinum Card one week before the trial was to begin on its Complaint objecting to the discharge of its debt in Mr. Hunter's bankruptcy case. I also note that, while UCS has not offered Ms. Ellingsworth another pre-approved card, according to the Credit Bureau Report, </w:t>
      </w:r>
      <w:r w:rsidRPr="007A5BBC">
        <w:rPr>
          <w:rFonts w:ascii="Times New Roman" w:hAnsi="Times New Roman"/>
          <w:b/>
          <w:szCs w:val="24"/>
        </w:rPr>
        <w:t>she has obtained four new credit cards since the bankruptcy filing</w:t>
      </w:r>
      <w:r w:rsidRPr="007A5BBC">
        <w:rPr>
          <w:rFonts w:ascii="Times New Roman" w:hAnsi="Times New Roman"/>
          <w:szCs w:val="24"/>
        </w:rPr>
        <w:t xml:space="preserve">. </w:t>
      </w:r>
    </w:p>
    <w:p w14:paraId="3AB2338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Thus, in order to determine if UCS justifiably relied on any representation of intent to repay Ms. Ellingsworth made before UCS extended her credit, I must first focus on the common sense actions of UCS while considering the qualities and characteristics of this creditor.</w:t>
      </w:r>
    </w:p>
    <w:p w14:paraId="616F22A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Ms. Ellingsworth did not request UCS's credit card. UCS, with all of the sophisticated tools of the credit scoring industry at its disposal, made a calculated decision to offer Ms. Ellingsworth its credit card with a $4,000 limit.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F91100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sophisticated lenders. They make their decisions to offer customers credit cards not out of some altruistic notion of helping society, but because credit cards are very profitable. They carefully solicit customers who are most likely to use their services in a manner that increases those profits. They don't seek out or want customers who demonstrate an ability to pay by paying their other accounts in full each month. Judge Clark noted in </w:t>
      </w:r>
      <w:r w:rsidRPr="007A5BBC">
        <w:rPr>
          <w:rFonts w:ascii="Times New Roman" w:hAnsi="Times New Roman"/>
          <w:i/>
          <w:szCs w:val="24"/>
        </w:rPr>
        <w:t>In re Hernandez</w:t>
      </w:r>
      <w:r w:rsidRPr="007A5BBC">
        <w:rPr>
          <w:rFonts w:ascii="Times New Roman" w:hAnsi="Times New Roman"/>
          <w:szCs w:val="24"/>
        </w:rPr>
        <w:t xml:space="preserve"> that one large credit card company makes $318 a year on the typical customer who carries a balance, while it loses $30 a year on customers who pay their monthly balance each month. A credit score demonstrates a likelihood a debtor will not default. It is not based upon an analysis of one's assets, secured liabilities, and living expenses. Mr. Carter admitted that credit scoring will not eliminate potential customers who are insolvent. In fact, Ms. Ellingsworth received a credit score, which was acceptable to UCS, at a time when, according to her bankruptcy schedules, the credit bureau report, and the information sheet from Consumer Client Counseling, her expenses exceeded her income by at least $500.00 a month. </w:t>
      </w:r>
    </w:p>
    <w:p w14:paraId="7B2088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scoring reflects the practice of targeting individuals who use many credit cards and pay the minimum amount each month, rather than paying off their balance. 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2A16EF0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Moreover, if UCS did not justifiably rely upon Ms. Ellingsworth's representations at the time the card was issued, reliance cannot then attach when the card is used. I find, therefore, that the credit in this case was extended to Ms. Ellingsworth without justifiable consideration of her ability to repay. If UCS did not consider her ability to repay, it certainly cannot now claim that it relied on her intent. Indeed, to hold otherwise only encourages creditors to continue to act irresponsibly. At the time debtor used the card, the only information UCS had obtained was debtor's credit score as of a year before, her income, and her employment. Thus, UCS made the loan to debtor without consideration of her assets, her secured debt, or her other living expenses. Surely a bank that made an unsecured loan to a customer without obtaining such basic information could not be said to have justifiably relied on the debtor's representation that she intended to repay the debt. The issue, then, is whether a credit card company is entitled to more favorable treatment than a lender in a face to face transaction with a debtor. Which brings me to the presumption of nondischargeability in section 523(a)(2)(C).</w:t>
      </w:r>
    </w:p>
    <w:p w14:paraId="4CDC2D1E"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D. Section 523(a)(2)(C)</w:t>
      </w:r>
    </w:p>
    <w:p w14:paraId="35BBA85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Section 523(a)(2)(C) presumes the nondischargeability of cash advances exceeding a total of $1,000 taken within 60 days of filing:</w:t>
      </w:r>
    </w:p>
    <w:p w14:paraId="7B37217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Before discussing the issue of whether Ms. Ellingsworth and her husband successfully rebutted the presumption, I will discuss the effect of the presumption. 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section 523(a)(2)(A) is not relevant in the context of subsection 523(a)(2)(C)."Thus, if the debt is subject to the presumption, Congress has determined that it is the debtor's intent alone, and not the creditor's conduct, which determines dischargeability.</w:t>
      </w:r>
    </w:p>
    <w:p w14:paraId="443732F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section 523(a)(2)(C). </w:t>
      </w:r>
    </w:p>
    <w:p w14:paraId="14AA4BE1" w14:textId="02D84038"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5431"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5431"/>
      <w:r w:rsidRPr="007A5BBC">
        <w:rPr>
          <w:rFonts w:ascii="Times New Roman" w:hAnsi="Times New Roman"/>
          <w:szCs w:val="24"/>
        </w:rPr>
        <w:t xml:space="preserve"> and they, therefore, do represent debt that is presumed nondischargeable.</w:t>
      </w:r>
    </w:p>
    <w:p w14:paraId="642DA1A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attempting to rebut this presumption, Mr. and Mrs. Ellingsworth both testified that the cash advances were taken to pay reasonably necessary living and medical expenses for themselves and their three children. As discussed above, I have already found that Ms. Ellingsworth used her UCS card at a time when she could not have intended to repay the obligation. </w:t>
      </w:r>
    </w:p>
    <w:p w14:paraId="45A0206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fact that the debt in this case resulted from cash advances also increases the sufficiency of the evidence necessary to rebut the presumption. [G]iven Congress' obvious abhorrence of "loading up," and the difficulty of proving what cash was used for, Congress may have intended cash advances to be nondischargeable if taken within the presumption period, regardless of how the money was used. I need not decide here whether the cash advance presumption can ever be 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2B07A58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E. Attorney's Fees</w:t>
      </w:r>
    </w:p>
    <w:p w14:paraId="5F65CF8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the cost to UCS of collecting this debt to date is $1,937.50. </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6A99A557" w:rsidR="00A175EF" w:rsidRDefault="00A175EF" w:rsidP="00BA4893">
      <w:pPr>
        <w:ind w:firstLine="720"/>
        <w:jc w:val="both"/>
        <w:rPr>
          <w:rFonts w:ascii="Times New Roman" w:hAnsi="Times New Roman"/>
          <w:szCs w:val="24"/>
        </w:rPr>
      </w:pPr>
      <w:r w:rsidRPr="007A5BBC">
        <w:rPr>
          <w:rFonts w:ascii="Times New Roman" w:hAnsi="Times New Roman"/>
          <w:szCs w:val="24"/>
        </w:rPr>
        <w:t>In sum, I find that the debt incurred for cash advances during the presumption period, in the amount of $2,058 is nondischargeable. The remainder is dischargeable. I further find that UCS is entitled to its attorney's fees and costs of collection in the amount of $1,937.50.</w:t>
      </w:r>
    </w:p>
    <w:p w14:paraId="2368D798" w14:textId="77777777" w:rsidR="00217C43" w:rsidRPr="007A5BBC" w:rsidRDefault="00217C43" w:rsidP="00BA4893">
      <w:pPr>
        <w:ind w:firstLine="720"/>
        <w:jc w:val="both"/>
        <w:rPr>
          <w:rFonts w:ascii="Times New Roman" w:hAnsi="Times New Roman"/>
          <w:szCs w:val="24"/>
        </w:rPr>
      </w:pPr>
    </w:p>
    <w:p w14:paraId="5A7DB4BA" w14:textId="0823A5A8" w:rsidR="00DE5A1C" w:rsidRPr="00217C43" w:rsidRDefault="007C1024" w:rsidP="00D95675">
      <w:pPr>
        <w:pStyle w:val="Heading3"/>
        <w:rPr>
          <w:u w:val="single"/>
        </w:rPr>
      </w:pPr>
      <w:hyperlink r:id="rId291" w:history="1">
        <w:bookmarkStart w:id="5432" w:name="_Toc87039383"/>
        <w:bookmarkStart w:id="5433" w:name="_Toc90983779"/>
        <w:r w:rsidR="00DE5A1C" w:rsidRPr="00217C43">
          <w:rPr>
            <w:rStyle w:val="Hyperlink"/>
          </w:rPr>
          <w:t>I</w:t>
        </w:r>
        <w:r w:rsidR="006734ED" w:rsidRPr="00217C43">
          <w:rPr>
            <w:rStyle w:val="Hyperlink"/>
          </w:rPr>
          <w:t xml:space="preserve">N RE SHARPE, </w:t>
        </w:r>
        <w:r w:rsidR="00DE5A1C" w:rsidRPr="00217C43">
          <w:rPr>
            <w:rStyle w:val="Hyperlink"/>
          </w:rPr>
          <w:t>351 B.R. 409 (Bankr. N.D. Tex. 2006)</w:t>
        </w:r>
        <w:bookmarkEnd w:id="5432"/>
        <w:bookmarkEnd w:id="5433"/>
      </w:hyperlink>
      <w:bookmarkStart w:id="5434" w:name="_Toc79693157"/>
      <w:bookmarkStart w:id="5435" w:name="_Toc79693477"/>
      <w:bookmarkStart w:id="5436" w:name="_Toc79693797"/>
      <w:bookmarkStart w:id="5437" w:name="_Toc79694114"/>
      <w:bookmarkStart w:id="5438" w:name="_Toc79694432"/>
      <w:bookmarkStart w:id="5439" w:name="_Toc79694752"/>
      <w:bookmarkStart w:id="5440" w:name="_Toc79695066"/>
      <w:bookmarkStart w:id="5441" w:name="_Toc79695382"/>
      <w:bookmarkStart w:id="5442" w:name="_Toc79695698"/>
      <w:bookmarkStart w:id="5443" w:name="_Toc79696014"/>
      <w:bookmarkStart w:id="5444" w:name="_Toc79696330"/>
      <w:bookmarkStart w:id="5445" w:name="_Toc79696646"/>
      <w:bookmarkStart w:id="5446" w:name="_Toc79696967"/>
      <w:bookmarkStart w:id="5447" w:name="_Toc79697299"/>
      <w:bookmarkStart w:id="5448" w:name="_Toc79697628"/>
      <w:bookmarkStart w:id="5449" w:name="_Toc79699299"/>
      <w:bookmarkStart w:id="5450" w:name="_Toc79699625"/>
      <w:bookmarkStart w:id="5451" w:name="_Toc79699963"/>
      <w:bookmarkStart w:id="5452" w:name="_Toc79700283"/>
      <w:bookmarkStart w:id="5453" w:name="_Toc79700605"/>
      <w:bookmarkStart w:id="5454" w:name="_Toc79700927"/>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r w:rsidR="00217C43" w:rsidRPr="00217C43">
        <w:rPr>
          <w:rStyle w:val="Hyperlink"/>
        </w:rPr>
        <w:br/>
      </w:r>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2CC5C1DE"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is, generally, a sophisticated woman. She testified that she has a high school degree, an undergraduate degree and a Master's degree. Ms. Baker had been married for 25 years upon her divorce and is the mother of three adult children. Her divorce from her one-and-only husband left her in a comfortable financial position, although she testified that she never informed Mr. Sharpe that she was well-off.</w:t>
      </w:r>
    </w:p>
    <w:p w14:paraId="39AB2B9A"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The loans were made starting late 2004 through August or September of 2005. Mr. Sharpe does not dispute that he took such loans and, in fact, scheduled Ms. Baker as an unsecured creditor in the amount of $175,000 describing the nature of her debt as a "personal loan." Ms. Baker is also listed on Mr. Sharpe's Schedule D as the holder of a purchase money security interest in the amount of $13,500 in a 2.87 carat diamond ring.</w:t>
      </w:r>
    </w:p>
    <w:p w14:paraId="0924DA3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 Ms. Wolkowitz testified that she and Mr. Sharpe did discuss the possibility that he might file for bankruptcy protection and further testified that the bankruptcy filing seemed like an inevitability to her. But she also testified that Mr. Sharpe never said that he was definitely going to file bankruptcy. An e-mail from Steve Smith to Mr. Sharpe, Plaintiffs Exhibit 8, reflects that at least as of September 6, 2005, Mr. Sharpe had been planning to file bankruptcy.</w:t>
      </w:r>
    </w:p>
    <w:p w14:paraId="65D3A221" w14:textId="4F6B25F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Finally, there was also undisputed testimony that Mr. Sharpe described himself on MySpace.com, at some point during 2006, as "</w:t>
      </w:r>
      <w:bookmarkStart w:id="5455" w:name="OLE_LINK194"/>
      <w:bookmarkStart w:id="5456"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5455"/>
    <w:bookmarkEnd w:id="5456"/>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039C7DF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repay the loans at the time the loans were made and that he would repay Ms. Baker from such funds as soon as the divorce from Jennifer Sharpe was final. </w:t>
      </w:r>
    </w:p>
    <w:p w14:paraId="2599B83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presented the court with no writing from Mr. Sharpe regarding this arrangement or these representations concerning his financial wherewithal to repay the loans. In connection with these allegations, the Plaintiff also elicited testimony from Ms. Wolkowitz that Mr. Sharpe put a business in Ms. Wolkowitz's name and generally wanted to avoid having things like credit cards in his name in connection with his pending divorce from Jennifer Sharpe. 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153DBC87"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has a very different story. While Ms. Baker asserts that Mr. Sharpe's dress, lifestyle, and demeanor were part of a scheme to defraud her (and, presumably, others), Mr. Sharpe asserts that the dress and the lifestyle were just how he lived his life and not part of some elaborate scheme. Mr. Sharpe absolutely disputes Ms. Baker's assertion that he represented to her that he was hiding funds in order to keep them out of his divorce settlement with Jennifer Sharpe. He denies ever making such a representation.</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court must determine whether, based upon the foregoing facts, the $150,000 debt owed by Mr. Sharpe to Ms. Baker is nondischargeable pursuant to section 523(a)(2)(A)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11 U.S.C. § 523(a)(2)(A)?</w:t>
      </w:r>
    </w:p>
    <w:p w14:paraId="1037E4B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section 523(a)(2)(B)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in order to result in nondischargeability. Ms. Baker, by her own admission, relied upon Mr. Sharpe's oral representations that he had hidden away funds which were sufficient to repay Ms. Baker upon his divorce from Jennifer Sharpe. Ms. Baker, therefore, could not move under section 523(a)(2)(B) to seek nondischargeability of her debt — it requires a writing — and must move under section 523(a)(2)(A) and attempt to show this court that Mr. Sharpe's oral representations, together with his demeanor, lifestyle and the trappings of wealth, rise to the level of false pretenses, false representation, or actual fraud under section 523(a)(2)(A) in order that this court may find her debt nondischargeable.</w:t>
      </w:r>
    </w:p>
    <w:p w14:paraId="4B4EDB1C"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In order to show a debt is nondischargeable under section 523(a)(2)(A), the creditor must show (1) that the debtor made representations </w:t>
      </w:r>
      <w:r w:rsidRPr="007A5BBC">
        <w:rPr>
          <w:rFonts w:ascii="Times New Roman" w:hAnsi="Times New Roman"/>
          <w:b/>
          <w:szCs w:val="24"/>
        </w:rPr>
        <w:t>other than a statement concerning his financial condition</w:t>
      </w:r>
      <w:r w:rsidRPr="007A5BBC">
        <w:rPr>
          <w:rFonts w:ascii="Times New Roman" w:hAnsi="Times New Roman"/>
          <w:szCs w:val="24"/>
        </w:rPr>
        <w:t xml:space="preserve">, (2) that at the time the debtor made the representations he or she knew they were false, (3) that the debtor made the representations with the intention and purpose to deceive the creditor, (4) that the creditor justifiably relied on such representations, and (5) that the creditor sustained losses as a proximate result of the false representations. [T]he court must determine that the plaintiff — in this case, Ms. Baker — justifiably relied upon the representations made to her by the defendant (Mr. Sharpe, herein). A plaintiff may not blindly rely upon a misrepresentation, the falsity of which would be obvious to the plaintiff had he or she used her senses to make a cursory examination or investigation. </w:t>
      </w:r>
    </w:p>
    <w:p w14:paraId="2B38A0B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finds that, during 2005, Mr. Sharpe lived a lifestyle and put forth a demeanor that suggested wealth. The expensive clothes, the expensive dinners, the extravagant spending, and all the rest were calculated by Mr. Sharpe to portray himself as a successful man of means. Mr. Sharpe characterizes this as "dressing for success" — and the court, having spent many years in private legal practice, certainly understands this maxim well. Ms. Baker sees a more sinister motive, one designed to dupe her (and, one presumes, others like her) into giving him large sums of money. The court also finds that Mr. Sharpe's concealment of his dire financial condition during 2005, and his, at least, vague intention to file bankruptcy — as reflected by the so-called "bankruptcy file" — are also misrepresentations of his financial wherewithal to repay the loans to Ms. Baker. </w:t>
      </w:r>
    </w:p>
    <w:p w14:paraId="367A09E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section 523(a)(2)(A),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section 523(a)(2)(A). </w:t>
      </w:r>
    </w:p>
    <w:p w14:paraId="51890131" w14:textId="3D9BBE6A" w:rsidR="00DE5A1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section 523(a)(2)(A). Mr. Sharpe's representations, though false, all concerned his financial condition, which fall under section 523(a)(2)(B), and which requires a writing to accord relief. For the foregoing reasons, Plaintiffs $150,000 debt is found to be dischargeable pursuant to section 523(a)(2)(A) and 523(a)(6) of the Bankruptcy Code. </w:t>
      </w:r>
    </w:p>
    <w:p w14:paraId="1AE4D05C" w14:textId="77777777" w:rsidR="00280D22" w:rsidRPr="007A5BBC" w:rsidRDefault="00280D22" w:rsidP="00BA4893">
      <w:pPr>
        <w:ind w:firstLine="720"/>
        <w:jc w:val="both"/>
        <w:rPr>
          <w:rFonts w:ascii="Times New Roman" w:hAnsi="Times New Roman"/>
          <w:szCs w:val="24"/>
        </w:rPr>
      </w:pPr>
    </w:p>
    <w:p w14:paraId="2FB403EC" w14:textId="26252B9C" w:rsidR="00C83C5B" w:rsidRPr="00943492" w:rsidRDefault="007C1024" w:rsidP="00D95675">
      <w:pPr>
        <w:pStyle w:val="Heading3"/>
        <w:rPr>
          <w:u w:val="single"/>
        </w:rPr>
      </w:pPr>
      <w:hyperlink r:id="rId292" w:history="1">
        <w:bookmarkStart w:id="5457" w:name="_Toc87039384"/>
        <w:bookmarkStart w:id="5458" w:name="_Toc90983780"/>
        <w:r w:rsidR="00C83C5B" w:rsidRPr="00943492">
          <w:rPr>
            <w:rStyle w:val="Hyperlink"/>
          </w:rPr>
          <w:t>A</w:t>
        </w:r>
        <w:r w:rsidR="006734ED" w:rsidRPr="00943492">
          <w:rPr>
            <w:rStyle w:val="Hyperlink"/>
          </w:rPr>
          <w:t xml:space="preserve">RCHER v. WARNER, </w:t>
        </w:r>
        <w:r w:rsidR="00C83C5B" w:rsidRPr="00943492">
          <w:rPr>
            <w:rStyle w:val="Hyperlink"/>
          </w:rPr>
          <w:t>538 U.S. 314 (2003)</w:t>
        </w:r>
        <w:bookmarkEnd w:id="5457"/>
        <w:bookmarkEnd w:id="5458"/>
      </w:hyperlink>
      <w:bookmarkStart w:id="5459" w:name="_Toc79693158"/>
      <w:bookmarkStart w:id="5460" w:name="_Toc79693478"/>
      <w:bookmarkStart w:id="5461" w:name="_Toc79693798"/>
      <w:bookmarkStart w:id="5462" w:name="_Toc79694115"/>
      <w:bookmarkStart w:id="5463" w:name="_Toc79694433"/>
      <w:bookmarkStart w:id="5464" w:name="_Toc79694753"/>
      <w:bookmarkStart w:id="5465" w:name="_Toc79695067"/>
      <w:bookmarkStart w:id="5466" w:name="_Toc79695383"/>
      <w:bookmarkStart w:id="5467" w:name="_Toc79695699"/>
      <w:bookmarkStart w:id="5468" w:name="_Toc79696015"/>
      <w:bookmarkStart w:id="5469" w:name="_Toc79696331"/>
      <w:bookmarkStart w:id="5470" w:name="_Toc79696647"/>
      <w:bookmarkStart w:id="5471" w:name="_Toc79696968"/>
      <w:bookmarkStart w:id="5472" w:name="_Toc79697300"/>
      <w:bookmarkStart w:id="5473" w:name="_Toc79697629"/>
      <w:bookmarkStart w:id="5474" w:name="_Toc79699300"/>
      <w:bookmarkStart w:id="5475" w:name="_Toc79699626"/>
      <w:bookmarkStart w:id="5476" w:name="_Toc79699964"/>
      <w:bookmarkStart w:id="5477" w:name="_Toc79700284"/>
      <w:bookmarkStart w:id="5478" w:name="_Toc79700606"/>
      <w:bookmarkStart w:id="5479" w:name="_Toc7970092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r w:rsidR="00943492" w:rsidRPr="00943492">
        <w:rPr>
          <w:rStyle w:val="Hyperlink"/>
        </w:rPr>
        <w:br/>
      </w:r>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7934999D" w:rsidR="00C83C5B" w:rsidRPr="007A5BBC" w:rsidRDefault="007C1024" w:rsidP="00BA4893">
      <w:pPr>
        <w:ind w:firstLine="720"/>
        <w:jc w:val="both"/>
        <w:rPr>
          <w:rFonts w:ascii="Times New Roman" w:hAnsi="Times New Roman"/>
          <w:szCs w:val="24"/>
        </w:rPr>
      </w:pPr>
      <w:hyperlink r:id="rId293"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Finally, the Court's basic reasoning in Brown applies here. The Court pointed out that the Bankruptcy Code's nondischargeability provision had originally covered "only `judgments' 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1CCF6008"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JUSTICE THOMAS, with whom JUSTICE STEVENS joins, dissenting.</w:t>
      </w:r>
    </w:p>
    <w:p w14:paraId="5AA3DD15" w14:textId="71F6278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Remarkably the Court fails to address the critical difference between this case and Brown: The parties here executed a blanket release, rather than entered into a consent judgment. And, in my view, "if it is shown that [a] note was given and received as payment or waiver of the original debt and the parties agreed that the note was to substitute a new obligation for the old, the note fully discharges the original debt, and the nondischargeability of the original debt does not affect the dischargeability of the obligation under the note." </w:t>
      </w:r>
      <w:hyperlink r:id="rId294" w:history="1">
        <w:r w:rsidRPr="005B2C0E">
          <w:rPr>
            <w:rStyle w:val="Hyperlink"/>
            <w:rFonts w:ascii="Times New Roman" w:hAnsi="Times New Roman"/>
            <w:i/>
            <w:szCs w:val="24"/>
          </w:rPr>
          <w:t>In re West</w:t>
        </w:r>
        <w:r w:rsidRPr="005B2C0E">
          <w:rPr>
            <w:rStyle w:val="Hyperlink"/>
            <w:rFonts w:ascii="Times New Roman" w:hAnsi="Times New Roman"/>
            <w:szCs w:val="24"/>
          </w:rPr>
          <w:t xml:space="preserve">, 22 </w:t>
        </w:r>
        <w:r w:rsidR="008B5ADA">
          <w:rPr>
            <w:rStyle w:val="Hyperlink"/>
            <w:rFonts w:ascii="Times New Roman" w:hAnsi="Times New Roman"/>
            <w:szCs w:val="24"/>
          </w:rPr>
          <w:t>F.3d</w:t>
        </w:r>
        <w:r w:rsidRPr="005B2C0E">
          <w:rPr>
            <w:rStyle w:val="Hyperlink"/>
            <w:rFonts w:ascii="Times New Roman" w:hAnsi="Times New Roman"/>
            <w:szCs w:val="24"/>
          </w:rPr>
          <w:t xml:space="preserve"> 775, 778 (7</w:t>
        </w:r>
        <w:r w:rsidRPr="005B2C0E">
          <w:rPr>
            <w:rStyle w:val="Hyperlink"/>
            <w:rFonts w:ascii="Times New Roman" w:hAnsi="Times New Roman"/>
            <w:szCs w:val="24"/>
            <w:vertAlign w:val="superscript"/>
          </w:rPr>
          <w:t>th</w:t>
        </w:r>
        <w:r w:rsidRPr="005B2C0E">
          <w:rPr>
            <w:rStyle w:val="Hyperlink"/>
            <w:rFonts w:ascii="Times New Roman" w:hAnsi="Times New Roman"/>
            <w:szCs w:val="24"/>
          </w:rPr>
          <w:t xml:space="preserve"> Cir. 1994)</w:t>
        </w:r>
      </w:hyperlink>
      <w:r w:rsidRPr="007A5BBC">
        <w:rPr>
          <w:rFonts w:ascii="Times New Roman" w:hAnsi="Times New Roman"/>
          <w:szCs w:val="24"/>
        </w:rPr>
        <w:t>. That is the case before us, and, accordingly, Brown does not control our disposition of this matter.</w:t>
      </w:r>
    </w:p>
    <w:p w14:paraId="5B656816"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Based on the sweeping language of the general release, it is inaccurate for the Court to say that the parties did not "resolve the issue of fraud." To be sure, as in Brown, there is no legally controlling document stating that respondent did (or did not) commit fraud. But, unlike in Brown, where it was not clear which claims were being resolved by the consent judgment, the release in this case clearly demonstrates that the parties intended to resolve conclusively not only the issue of fraud, but also any other "right[s], claim[s], or demand[s]" related to the state-court litigation, "excepting only obligations under [the] Note and deeds of trust."  The fact that the parties intended, by the language of the general release, to replace an "old" fraud debt with a "new" contract debt is an important distinction from </w:t>
      </w:r>
      <w:r w:rsidRPr="007A5BBC">
        <w:rPr>
          <w:rFonts w:ascii="Times New Roman" w:hAnsi="Times New Roman"/>
          <w:i/>
          <w:szCs w:val="24"/>
        </w:rPr>
        <w:t>Brown</w:t>
      </w:r>
      <w:r w:rsidRPr="007A5BBC">
        <w:rPr>
          <w:rFonts w:ascii="Times New Roman" w:hAnsi="Times New Roman"/>
          <w:szCs w:val="24"/>
        </w:rPr>
        <w:t xml:space="preserve">, for the text of the Bankruptcy Code prohibits discharge of any debt "to the extent obtained by" fraud. </w:t>
      </w:r>
    </w:p>
    <w:p w14:paraId="05C798A7" w14:textId="7B06B757" w:rsidR="00BA4893" w:rsidRDefault="00C83C5B" w:rsidP="0095283F">
      <w:pPr>
        <w:ind w:firstLine="720"/>
        <w:jc w:val="both"/>
        <w:rPr>
          <w:rFonts w:ascii="Times New Roman" w:hAnsi="Times New Roman"/>
          <w:szCs w:val="24"/>
        </w:rPr>
      </w:pPr>
      <w:r w:rsidRPr="007A5BBC">
        <w:rPr>
          <w:rFonts w:ascii="Times New Roman" w:hAnsi="Times New Roman"/>
          <w:szCs w:val="24"/>
        </w:rPr>
        <w:t>The Court today ignores the plain intent of the parties, as evidenced by a properly executed settlement agreement and general release, holding that a debt owed by respondent under a contract was "obtained by" fraud. Because I find no support for the Court's conclusion in the text of the Bankruptcy Code, or in the agreements of the parties, I respectfully dissent.</w:t>
      </w:r>
    </w:p>
    <w:p w14:paraId="4BB4833C" w14:textId="77777777" w:rsidR="00943492" w:rsidRPr="007A5BBC" w:rsidRDefault="00943492" w:rsidP="0095283F">
      <w:pPr>
        <w:ind w:firstLine="720"/>
        <w:jc w:val="both"/>
        <w:rPr>
          <w:rFonts w:ascii="Times New Roman" w:hAnsi="Times New Roman"/>
          <w:szCs w:val="24"/>
        </w:rPr>
      </w:pPr>
    </w:p>
    <w:p w14:paraId="725A0E4B" w14:textId="671B6DBC" w:rsidR="00246440" w:rsidRPr="00943492" w:rsidRDefault="007C1024" w:rsidP="00D95675">
      <w:pPr>
        <w:pStyle w:val="Heading3"/>
        <w:rPr>
          <w:u w:val="single"/>
        </w:rPr>
      </w:pPr>
      <w:hyperlink r:id="rId295" w:history="1">
        <w:bookmarkStart w:id="5480" w:name="_Toc87039385"/>
        <w:bookmarkStart w:id="5481" w:name="_Toc90983781"/>
        <w:r w:rsidR="00246440" w:rsidRPr="00943492">
          <w:rPr>
            <w:rStyle w:val="Hyperlink"/>
          </w:rPr>
          <w:t>K</w:t>
        </w:r>
        <w:r w:rsidR="006734ED" w:rsidRPr="00943492">
          <w:rPr>
            <w:rStyle w:val="Hyperlink"/>
          </w:rPr>
          <w:t xml:space="preserve">AWAAUHAU v. GEIGER, </w:t>
        </w:r>
        <w:r w:rsidR="00246440" w:rsidRPr="00943492">
          <w:rPr>
            <w:rStyle w:val="Hyperlink"/>
          </w:rPr>
          <w:t>523 U.S. 57 (1998)</w:t>
        </w:r>
        <w:bookmarkEnd w:id="5480"/>
        <w:bookmarkEnd w:id="5481"/>
      </w:hyperlink>
      <w:bookmarkStart w:id="5482" w:name="_Toc79693159"/>
      <w:bookmarkStart w:id="5483" w:name="_Toc79693479"/>
      <w:bookmarkStart w:id="5484" w:name="_Toc79693799"/>
      <w:bookmarkStart w:id="5485" w:name="_Toc79694116"/>
      <w:bookmarkStart w:id="5486" w:name="_Toc79694434"/>
      <w:bookmarkStart w:id="5487" w:name="_Toc79694754"/>
      <w:bookmarkStart w:id="5488" w:name="_Toc79695068"/>
      <w:bookmarkStart w:id="5489" w:name="_Toc79695384"/>
      <w:bookmarkStart w:id="5490" w:name="_Toc79695700"/>
      <w:bookmarkStart w:id="5491" w:name="_Toc79696016"/>
      <w:bookmarkStart w:id="5492" w:name="_Toc79696332"/>
      <w:bookmarkStart w:id="5493" w:name="_Toc79696648"/>
      <w:bookmarkStart w:id="5494" w:name="_Toc79696969"/>
      <w:bookmarkStart w:id="5495" w:name="_Toc79697301"/>
      <w:bookmarkStart w:id="5496" w:name="_Toc79697630"/>
      <w:bookmarkStart w:id="5497" w:name="_Toc79699301"/>
      <w:bookmarkStart w:id="5498" w:name="_Toc79699627"/>
      <w:bookmarkStart w:id="5499" w:name="_Toc79699965"/>
      <w:bookmarkStart w:id="5500" w:name="_Toc79700285"/>
      <w:bookmarkStart w:id="5501" w:name="_Toc79700607"/>
      <w:bookmarkStart w:id="5502" w:name="_Toc79700929"/>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r w:rsidR="00943492" w:rsidRPr="00943492">
        <w:rPr>
          <w:rStyle w:val="Hyperlink"/>
        </w:rPr>
        <w:br/>
      </w:r>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7F576E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11 </w:t>
      </w:r>
      <w:r w:rsidR="00B17D36">
        <w:rPr>
          <w:rFonts w:ascii="Times New Roman" w:hAnsi="Times New Roman"/>
          <w:szCs w:val="24"/>
        </w:rPr>
        <w:t>U.S.C.</w:t>
      </w:r>
      <w:r w:rsidRPr="007A5BBC">
        <w:rPr>
          <w:rFonts w:ascii="Times New Roman" w:hAnsi="Times New Roman"/>
          <w:szCs w:val="24"/>
        </w:rPr>
        <w:t xml:space="preserve"> § 523(a)(6).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Section 523(a)(6) of the Bankruptcy Code [excepts any debt] "(6) for willful and malicious injury by the debtor to another entity or to the property of another entity."</w:t>
      </w:r>
    </w:p>
    <w:p w14:paraId="4B552712" w14:textId="205E1B10"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 523(a)(6).</w:t>
      </w:r>
    </w:p>
    <w:p w14:paraId="1CC8CE02"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 523(a)(6)'s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224DB671" w:rsidR="00246440" w:rsidRDefault="00246440" w:rsidP="00BA4893">
      <w:pPr>
        <w:ind w:firstLine="720"/>
        <w:jc w:val="both"/>
        <w:rPr>
          <w:rFonts w:ascii="Times New Roman" w:hAnsi="Times New Roman"/>
          <w:szCs w:val="24"/>
        </w:rPr>
      </w:pPr>
      <w:r w:rsidRPr="007A5BBC">
        <w:rPr>
          <w:rFonts w:ascii="Times New Roman" w:hAnsi="Times New Roman"/>
          <w:szCs w:val="24"/>
        </w:rPr>
        <w:t>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 523(a)(6) provides.</w:t>
      </w:r>
    </w:p>
    <w:p w14:paraId="1A5CCB2B" w14:textId="12672F6D" w:rsidR="00943492" w:rsidRDefault="00943492" w:rsidP="00BA4893">
      <w:pPr>
        <w:ind w:firstLine="720"/>
        <w:jc w:val="both"/>
        <w:rPr>
          <w:rFonts w:ascii="Times New Roman" w:hAnsi="Times New Roman"/>
          <w:szCs w:val="24"/>
        </w:rPr>
      </w:pPr>
    </w:p>
    <w:p w14:paraId="1B931615" w14:textId="74C2E0EB" w:rsidR="00BC225C" w:rsidRDefault="00BC225C" w:rsidP="00BA4893">
      <w:pPr>
        <w:ind w:firstLine="720"/>
        <w:jc w:val="both"/>
        <w:rPr>
          <w:rFonts w:ascii="Times New Roman" w:hAnsi="Times New Roman"/>
          <w:szCs w:val="24"/>
        </w:rPr>
      </w:pPr>
    </w:p>
    <w:p w14:paraId="733B8789" w14:textId="77777777" w:rsidR="00BC225C" w:rsidRPr="007A5BBC" w:rsidRDefault="00BC225C" w:rsidP="00BA4893">
      <w:pPr>
        <w:ind w:firstLine="720"/>
        <w:jc w:val="both"/>
        <w:rPr>
          <w:rFonts w:ascii="Times New Roman" w:hAnsi="Times New Roman"/>
          <w:szCs w:val="24"/>
        </w:rPr>
      </w:pPr>
    </w:p>
    <w:p w14:paraId="513323EE" w14:textId="11557DBC" w:rsidR="00616D0A" w:rsidRPr="00943492" w:rsidRDefault="007C1024" w:rsidP="00D95675">
      <w:pPr>
        <w:pStyle w:val="Heading3"/>
        <w:rPr>
          <w:u w:val="single"/>
        </w:rPr>
      </w:pPr>
      <w:hyperlink r:id="rId296" w:history="1">
        <w:bookmarkStart w:id="5503" w:name="_Toc87039386"/>
        <w:bookmarkStart w:id="5504" w:name="_Toc90983782"/>
        <w:r w:rsidR="00616D0A" w:rsidRPr="00943492">
          <w:rPr>
            <w:rStyle w:val="Hyperlink"/>
          </w:rPr>
          <w:t>B</w:t>
        </w:r>
        <w:r w:rsidR="006734ED" w:rsidRPr="00943492">
          <w:rPr>
            <w:rStyle w:val="Hyperlink"/>
          </w:rPr>
          <w:t xml:space="preserve">ULLOCK </w:t>
        </w:r>
        <w:r w:rsidR="00943492" w:rsidRPr="00943492">
          <w:rPr>
            <w:rStyle w:val="Hyperlink"/>
          </w:rPr>
          <w:t>v</w:t>
        </w:r>
        <w:r w:rsidR="006734ED" w:rsidRPr="00943492">
          <w:rPr>
            <w:rStyle w:val="Hyperlink"/>
          </w:rPr>
          <w:t xml:space="preserve">. BANKCHAMPAIGN, </w:t>
        </w:r>
        <w:r w:rsidR="00616D0A" w:rsidRPr="00943492">
          <w:rPr>
            <w:rStyle w:val="Hyperlink"/>
          </w:rPr>
          <w:t>133 S.Ct. 1754 (2013)</w:t>
        </w:r>
        <w:bookmarkEnd w:id="5503"/>
        <w:bookmarkEnd w:id="5504"/>
      </w:hyperlink>
      <w:bookmarkStart w:id="5505" w:name="_Toc79693160"/>
      <w:bookmarkStart w:id="5506" w:name="_Toc79693480"/>
      <w:bookmarkStart w:id="5507" w:name="_Toc79693800"/>
      <w:bookmarkStart w:id="5508" w:name="_Toc79694117"/>
      <w:bookmarkStart w:id="5509" w:name="_Toc79694435"/>
      <w:bookmarkStart w:id="5510" w:name="_Toc79694755"/>
      <w:bookmarkStart w:id="5511" w:name="_Toc79695069"/>
      <w:bookmarkStart w:id="5512" w:name="_Toc79695385"/>
      <w:bookmarkStart w:id="5513" w:name="_Toc79695701"/>
      <w:bookmarkStart w:id="5514" w:name="_Toc79696017"/>
      <w:bookmarkStart w:id="5515" w:name="_Toc79696333"/>
      <w:bookmarkStart w:id="5516" w:name="_Toc79696649"/>
      <w:bookmarkStart w:id="5517" w:name="_Toc79696970"/>
      <w:bookmarkStart w:id="5518" w:name="_Toc79697302"/>
      <w:bookmarkStart w:id="5519" w:name="_Toc79697631"/>
      <w:bookmarkStart w:id="5520" w:name="_Toc79699302"/>
      <w:bookmarkStart w:id="5521" w:name="_Toc79699628"/>
      <w:bookmarkStart w:id="5522" w:name="_Toc79699966"/>
      <w:bookmarkStart w:id="5523" w:name="_Toc79700286"/>
      <w:bookmarkStart w:id="5524" w:name="_Toc79700608"/>
      <w:bookmarkStart w:id="5525" w:name="_Toc79700930"/>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r w:rsidR="00943492" w:rsidRPr="00943492">
        <w:rPr>
          <w:rStyle w:val="Hyperlink"/>
        </w:rPr>
        <w:br/>
      </w:r>
    </w:p>
    <w:p w14:paraId="31F63A8D" w14:textId="77777777" w:rsidR="00616D0A" w:rsidRPr="007A5BBC" w:rsidRDefault="00616D0A" w:rsidP="00F33204">
      <w:pPr>
        <w:keepNext/>
        <w:ind w:firstLine="720"/>
        <w:rPr>
          <w:rFonts w:ascii="Times New Roman" w:hAnsi="Times New Roman"/>
          <w:szCs w:val="24"/>
        </w:rPr>
      </w:pPr>
      <w:r w:rsidRPr="007A5BBC">
        <w:rPr>
          <w:rFonts w:ascii="Times New Roman" w:hAnsi="Times New Roman"/>
          <w:szCs w:val="24"/>
        </w:rPr>
        <w:t>JUSTICE BREYER delivered the opinion of the Court.</w:t>
      </w:r>
    </w:p>
    <w:p w14:paraId="4E310BF0" w14:textId="6B7BFA83" w:rsidR="00616D0A" w:rsidRPr="007A5BBC" w:rsidRDefault="007C1024" w:rsidP="00F33204">
      <w:pPr>
        <w:keepNext/>
        <w:ind w:firstLine="720"/>
        <w:jc w:val="both"/>
        <w:rPr>
          <w:rFonts w:ascii="Times New Roman" w:hAnsi="Times New Roman"/>
          <w:szCs w:val="24"/>
        </w:rPr>
      </w:pPr>
      <w:hyperlink r:id="rId297" w:anchor="jcite');" w:history="1">
        <w:r w:rsidR="00616D0A" w:rsidRPr="007A5BBC">
          <w:rPr>
            <w:rFonts w:ascii="Times New Roman" w:hAnsi="Times New Roman"/>
            <w:szCs w:val="24"/>
          </w:rPr>
          <w:t>Section 523(a)(4)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hyperlink r:id="rId298" w:anchor="jcite');" w:history="1">
        <w:r w:rsidR="00616D0A" w:rsidRPr="007A5BBC">
          <w:rPr>
            <w:rFonts w:ascii="Times New Roman" w:hAnsi="Times New Roman"/>
            <w:szCs w:val="24"/>
          </w:rPr>
          <w:t xml:space="preserve">11 </w:t>
        </w:r>
        <w:r w:rsidR="00B17D36">
          <w:rPr>
            <w:rFonts w:ascii="Times New Roman" w:hAnsi="Times New Roman"/>
            <w:szCs w:val="24"/>
          </w:rPr>
          <w:t>U.S.C.</w:t>
        </w:r>
        <w:r w:rsidR="00616D0A" w:rsidRPr="007A5BBC">
          <w:rPr>
            <w:rFonts w:ascii="Times New Roman" w:hAnsi="Times New Roman"/>
            <w:szCs w:val="24"/>
          </w:rPr>
          <w:t xml:space="preserve"> § 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88BA858"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w:t>
      </w:r>
      <w:r w:rsidR="00B32DCA">
        <w:rPr>
          <w:rFonts w:ascii="Times New Roman" w:hAnsi="Times New Roman"/>
          <w:szCs w:val="24"/>
        </w:rPr>
        <w:t>i</w:t>
      </w:r>
      <w:r w:rsidRPr="007A5BBC">
        <w:rPr>
          <w:rFonts w:ascii="Times New Roman" w:hAnsi="Times New Roman"/>
          <w:szCs w:val="24"/>
        </w:rPr>
        <w:t xml:space="preserve">n effect </w:t>
      </w:r>
      <w:r w:rsidR="00B32DCA">
        <w:rPr>
          <w:rFonts w:ascii="Times New Roman" w:hAnsi="Times New Roman"/>
          <w:szCs w:val="24"/>
        </w:rPr>
        <w:t xml:space="preserve">has </w:t>
      </w:r>
      <w:r w:rsidRPr="007A5BBC">
        <w:rPr>
          <w:rFonts w:ascii="Times New Roman" w:hAnsi="Times New Roman"/>
          <w:szCs w:val="24"/>
        </w:rPr>
        <w:t xml:space="preserve">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02BD31C3"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We base our approach and our answer upon one of this Court's precedents. In 1878, this Court interpreted the related statutory term "fraud" in the portion of the Bankruptcy Code laying out exceptions to discharge. Justice Harlan wrote for the Court:</w:t>
      </w:r>
    </w:p>
    <w:p w14:paraId="497BE0E6" w14:textId="3C290EB5"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7A5BBC">
        <w:rPr>
          <w:rFonts w:ascii="Times New Roman" w:hAnsi="Times New Roman"/>
          <w:b/>
          <w:szCs w:val="24"/>
        </w:rPr>
        <w:t>involving moral turpitude or intentional wrong</w:t>
      </w:r>
      <w:r w:rsidRPr="007A5BBC">
        <w:rPr>
          <w:rFonts w:ascii="Times New Roman" w:hAnsi="Times New Roman"/>
          <w:szCs w:val="24"/>
        </w:rPr>
        <w:t xml:space="preserve">, as does embezzlement; and not implied fraud, or fraud in law, which may exist without the imputation of bad faith or immorality." </w:t>
      </w:r>
      <w:r w:rsidRPr="00C24B79">
        <w:rPr>
          <w:rFonts w:ascii="Times New Roman" w:hAnsi="Times New Roman"/>
          <w:i/>
          <w:szCs w:val="24"/>
        </w:rPr>
        <w:t>Neal v.</w:t>
      </w:r>
      <w:r w:rsidR="00C24B79">
        <w:rPr>
          <w:rFonts w:ascii="Times New Roman" w:hAnsi="Times New Roman"/>
          <w:i/>
          <w:szCs w:val="24"/>
        </w:rPr>
        <w:t xml:space="preserve"> </w:t>
      </w:r>
      <w:r w:rsidRPr="00C24B79">
        <w:rPr>
          <w:rFonts w:ascii="Times New Roman" w:hAnsi="Times New Roman"/>
          <w:i/>
          <w:szCs w:val="24"/>
        </w:rPr>
        <w:t>Clark</w:t>
      </w:r>
      <w:r w:rsidRPr="007A5BBC">
        <w:rPr>
          <w:rFonts w:ascii="Times New Roman" w:hAnsi="Times New Roman"/>
          <w:szCs w:val="24"/>
        </w:rPr>
        <w:t xml:space="preserve">, </w:t>
      </w:r>
      <w:hyperlink r:id="rId299" w:anchor="jcite');" w:history="1">
        <w:r w:rsidR="00C24B79">
          <w:rPr>
            <w:rFonts w:ascii="Times New Roman" w:hAnsi="Times New Roman"/>
            <w:szCs w:val="24"/>
          </w:rPr>
          <w:t>95 U.</w:t>
        </w:r>
        <w:r w:rsidRPr="007A5BBC">
          <w:rPr>
            <w:rFonts w:ascii="Times New Roman" w:hAnsi="Times New Roman"/>
            <w:szCs w:val="24"/>
          </w:rPr>
          <w:t>S. 704</w:t>
        </w:r>
      </w:hyperlink>
      <w:r w:rsidRPr="007A5BBC">
        <w:rPr>
          <w:rFonts w:ascii="Times New Roman" w:hAnsi="Times New Roman"/>
          <w:szCs w:val="24"/>
        </w:rPr>
        <w:t xml:space="preserve">, </w:t>
      </w:r>
      <w:hyperlink r:id="rId300" w:anchor="jcite');" w:history="1">
        <w:r w:rsidRPr="007A5BBC">
          <w:rPr>
            <w:rFonts w:ascii="Times New Roman" w:hAnsi="Times New Roman"/>
            <w:szCs w:val="24"/>
          </w:rPr>
          <w:t>709</w:t>
        </w:r>
      </w:hyperlink>
      <w:r w:rsidRPr="007A5BBC">
        <w:rPr>
          <w:rFonts w:ascii="Times New Roman" w:hAnsi="Times New Roman"/>
          <w:szCs w:val="24"/>
        </w:rPr>
        <w:t xml:space="preserve"> (1878).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5526" w:name="OLE_LINK196"/>
      <w:bookmarkStart w:id="5527"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5526"/>
      <w:bookmarkEnd w:id="5527"/>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its disregard involves a 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211E2442" w:rsidR="00616D0A"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1C61BC77" w14:textId="77777777" w:rsidR="00943492" w:rsidRPr="007A5BBC" w:rsidRDefault="00943492" w:rsidP="00BA4893">
      <w:pPr>
        <w:ind w:firstLine="720"/>
        <w:jc w:val="both"/>
        <w:rPr>
          <w:rFonts w:ascii="Times New Roman" w:hAnsi="Times New Roman"/>
          <w:szCs w:val="24"/>
        </w:rPr>
      </w:pPr>
    </w:p>
    <w:p w14:paraId="0D0B22F0" w14:textId="65B4CEC9" w:rsidR="00616D0A" w:rsidRPr="007A5BBC" w:rsidRDefault="00616D0A" w:rsidP="00943492">
      <w:pPr>
        <w:pStyle w:val="Heading2"/>
        <w:spacing w:line="240" w:lineRule="auto"/>
      </w:pPr>
      <w:bookmarkStart w:id="5528" w:name="_Toc417380900"/>
      <w:bookmarkStart w:id="5529" w:name="_Ref421795153"/>
      <w:bookmarkStart w:id="5530" w:name="_Ref421795160"/>
      <w:bookmarkStart w:id="5531" w:name="_Toc79699303"/>
      <w:bookmarkStart w:id="5532" w:name="_Toc79699629"/>
      <w:bookmarkStart w:id="5533" w:name="_Toc79699967"/>
      <w:bookmarkStart w:id="5534" w:name="_Toc79700287"/>
      <w:bookmarkStart w:id="5535" w:name="_Toc79700609"/>
      <w:bookmarkStart w:id="5536" w:name="_Toc87039387"/>
      <w:bookmarkStart w:id="5537" w:name="_Toc90983783"/>
      <w:r w:rsidRPr="007A5BBC">
        <w:t>Reaffirmation</w:t>
      </w:r>
      <w:r w:rsidR="00CB723B">
        <w:t xml:space="preserve"> – </w:t>
      </w:r>
      <w:r w:rsidRPr="007A5BBC">
        <w:t xml:space="preserve">11 U.S.C. § </w:t>
      </w:r>
      <w:r w:rsidR="00820594" w:rsidRPr="007A5BBC">
        <w:t>524(c)</w:t>
      </w:r>
      <w:bookmarkStart w:id="5538" w:name="_Toc79693161"/>
      <w:bookmarkStart w:id="5539" w:name="_Toc79693481"/>
      <w:bookmarkStart w:id="5540" w:name="_Toc79693801"/>
      <w:bookmarkStart w:id="5541" w:name="_Toc79694118"/>
      <w:bookmarkStart w:id="5542" w:name="_Toc79694756"/>
      <w:bookmarkStart w:id="5543" w:name="_Toc79695386"/>
      <w:bookmarkStart w:id="5544" w:name="_Toc79697632"/>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r w:rsidR="00943492">
        <w:br/>
      </w:r>
    </w:p>
    <w:p w14:paraId="50923032" w14:textId="0DAC51A8"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r w:rsidRPr="007A5BBC">
        <w:rPr>
          <w:rFonts w:ascii="Times New Roman" w:hAnsi="Times New Roman"/>
          <w:szCs w:val="24"/>
        </w:rPr>
        <w:t>11 U.S.C. § 524(f).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01F1245"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r w:rsidR="00F512C8" w:rsidRPr="007A5BBC">
        <w:rPr>
          <w:rFonts w:ascii="Times New Roman" w:hAnsi="Times New Roman"/>
          <w:szCs w:val="24"/>
        </w:rPr>
        <w:t>11 U.S.C. § 524(c)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Creditors who seek to enforce a post-discharge private reaffirmation agreement are in violation of the post-discharge injunction in 11 U.S.C. § 524(a).</w:t>
      </w:r>
    </w:p>
    <w:p w14:paraId="1636797A" w14:textId="7AF65A86"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r w:rsidR="00032A65" w:rsidRPr="007A5BBC">
        <w:rPr>
          <w:rFonts w:ascii="Times New Roman" w:hAnsi="Times New Roman"/>
          <w:szCs w:val="24"/>
        </w:rPr>
        <w:t>11 U.S.C. § 524(k)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5545" w:name="OLE_LINK198"/>
      <w:bookmarkStart w:id="5546"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5545"/>
      <w:bookmarkEnd w:id="5546"/>
      <w:r w:rsidR="00032A65" w:rsidRPr="007A5BBC">
        <w:rPr>
          <w:rFonts w:ascii="Times New Roman" w:hAnsi="Times New Roman"/>
          <w:szCs w:val="24"/>
        </w:rPr>
        <w:t xml:space="preserve">11 U.S.C. § 524(c)(3),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3D49D0C1"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r w:rsidR="00212F89" w:rsidRPr="007A5BBC">
        <w:rPr>
          <w:rFonts w:ascii="Times New Roman" w:hAnsi="Times New Roman"/>
          <w:szCs w:val="24"/>
        </w:rPr>
        <w:t xml:space="preserve">Section 521(a)(6) and </w:t>
      </w:r>
      <w:r w:rsidRPr="007A5BBC">
        <w:rPr>
          <w:rFonts w:ascii="Times New Roman" w:hAnsi="Times New Roman"/>
          <w:szCs w:val="24"/>
        </w:rPr>
        <w:t>521(d) of the Bankruptcy Code.</w:t>
      </w:r>
    </w:p>
    <w:p w14:paraId="6542607F" w14:textId="0D363329" w:rsidR="00F512C8" w:rsidRDefault="00F512C8" w:rsidP="00BA4893">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r w:rsidRPr="007A5BBC">
        <w:rPr>
          <w:rFonts w:ascii="Times New Roman" w:hAnsi="Times New Roman"/>
          <w:szCs w:val="24"/>
        </w:rPr>
        <w:t>11 U.S.C. § 523(d)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r w:rsidR="00032A65" w:rsidRPr="007A5BBC">
        <w:rPr>
          <w:rFonts w:ascii="Times New Roman" w:hAnsi="Times New Roman"/>
          <w:szCs w:val="24"/>
        </w:rPr>
        <w:t>11 U.S.C. § 524(m)(1)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735569A2" w14:textId="77777777" w:rsidR="00943492" w:rsidRPr="007A5BBC" w:rsidRDefault="00943492" w:rsidP="00BA4893">
      <w:pPr>
        <w:ind w:firstLine="720"/>
        <w:jc w:val="both"/>
        <w:rPr>
          <w:rFonts w:ascii="Times New Roman" w:hAnsi="Times New Roman"/>
          <w:szCs w:val="24"/>
        </w:rPr>
      </w:pPr>
    </w:p>
    <w:p w14:paraId="03A92A8A" w14:textId="76C13B9D" w:rsidR="00E03AD6" w:rsidRPr="007A5BBC" w:rsidRDefault="00E03AD6" w:rsidP="00943492">
      <w:pPr>
        <w:pStyle w:val="Heading2"/>
        <w:spacing w:line="240" w:lineRule="auto"/>
      </w:pPr>
      <w:bookmarkStart w:id="5547" w:name="_Toc79699304"/>
      <w:bookmarkStart w:id="5548" w:name="_Toc79699630"/>
      <w:bookmarkStart w:id="5549" w:name="_Toc79699968"/>
      <w:bookmarkStart w:id="5550" w:name="_Toc79700288"/>
      <w:bookmarkStart w:id="5551" w:name="_Toc79700610"/>
      <w:bookmarkStart w:id="5552" w:name="_Toc87039388"/>
      <w:bookmarkStart w:id="5553" w:name="_Toc90983784"/>
      <w:r w:rsidRPr="007A5BBC">
        <w:t>P</w:t>
      </w:r>
      <w:r w:rsidR="006734ED">
        <w:t xml:space="preserve">ractice Problems: </w:t>
      </w:r>
      <w:r w:rsidRPr="007A5BBC">
        <w:t>Protecting the Discharge</w:t>
      </w:r>
      <w:bookmarkStart w:id="5554" w:name="_Toc79693162"/>
      <w:bookmarkStart w:id="5555" w:name="_Toc79693482"/>
      <w:bookmarkStart w:id="5556" w:name="_Toc79693802"/>
      <w:bookmarkStart w:id="5557" w:name="_Toc79694119"/>
      <w:bookmarkStart w:id="5558" w:name="_Toc79694757"/>
      <w:bookmarkStart w:id="5559" w:name="_Toc79695387"/>
      <w:bookmarkStart w:id="5560" w:name="_Toc79697633"/>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r w:rsidR="00943492">
        <w:br/>
      </w:r>
    </w:p>
    <w:p w14:paraId="757A0CD5" w14:textId="2B9D56D4" w:rsidR="00E03AD6" w:rsidRPr="007A5BBC" w:rsidRDefault="00E03AD6" w:rsidP="006734ED">
      <w:pPr>
        <w:ind w:left="720"/>
        <w:jc w:val="both"/>
        <w:rPr>
          <w:rFonts w:ascii="Times New Roman" w:hAnsi="Times New Roman"/>
          <w:szCs w:val="24"/>
        </w:rPr>
      </w:pPr>
      <w:r w:rsidRPr="007A5BBC">
        <w:rPr>
          <w:rFonts w:ascii="Times New Roman" w:hAnsi="Times New Roman"/>
          <w:szCs w:val="24"/>
        </w:rPr>
        <w:t>Read Section 525 of the Bankruptcy Code and answer the following problems:</w:t>
      </w:r>
      <w:bookmarkStart w:id="5561" w:name="OLE_LINK200"/>
      <w:bookmarkStart w:id="5562" w:name="OLE_LINK201"/>
    </w:p>
    <w:p w14:paraId="0F9D961A" w14:textId="7BEC73F9" w:rsidR="00D23F76" w:rsidRDefault="00D23F76" w:rsidP="00D23F76">
      <w:pPr>
        <w:pStyle w:val="0-NORMAL"/>
      </w:pPr>
      <w:r w:rsidRPr="00BD448D">
        <w:rPr>
          <w:b/>
        </w:rPr>
        <w:t>Problem 1</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r w:rsidR="00101B0F" w:rsidRPr="00D23F76">
        <w:t>11 U.S.C. § 525(a).</w:t>
      </w:r>
    </w:p>
    <w:p w14:paraId="0BEAF7D9" w14:textId="1DC0CCD1" w:rsidR="00D23F76" w:rsidRDefault="00D23F76" w:rsidP="00D23F76">
      <w:pPr>
        <w:pStyle w:val="0-NORMAL"/>
      </w:pPr>
      <w:r w:rsidRPr="00BD448D">
        <w:rPr>
          <w:b/>
        </w:rPr>
        <w:t>Problem 2</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r w:rsidR="00101B0F" w:rsidRPr="00D23F76">
        <w:t>11 U.S.C. § 525(a).</w:t>
      </w:r>
    </w:p>
    <w:p w14:paraId="19DF8348" w14:textId="0442B40F" w:rsidR="00D23F76" w:rsidRDefault="00D23F76" w:rsidP="00D23F76">
      <w:pPr>
        <w:pStyle w:val="0-NORMAL"/>
      </w:pPr>
      <w:r w:rsidRPr="00BD448D">
        <w:rPr>
          <w:b/>
        </w:rPr>
        <w:t>Problem 3</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Was it legal to withdraw the offer</w:t>
      </w:r>
      <w:r w:rsidR="00083725" w:rsidRPr="00D23F76">
        <w:t xml:space="preserve">? </w:t>
      </w:r>
      <w:r w:rsidR="00101B0F" w:rsidRPr="00DA5356">
        <w:rPr>
          <w:i/>
          <w:iCs/>
        </w:rPr>
        <w:t xml:space="preserve">See </w:t>
      </w:r>
      <w:r w:rsidR="00101B0F" w:rsidRPr="00D23F76">
        <w:t>11 U.S.C. § 525(b)</w:t>
      </w:r>
      <w:r w:rsidR="005F6A8B">
        <w:t xml:space="preserve">. </w:t>
      </w:r>
      <w:r w:rsidR="00DE463D" w:rsidRPr="00D23F76">
        <w:rPr>
          <w:i/>
        </w:rPr>
        <w:t>Compare</w:t>
      </w:r>
      <w:r w:rsidR="00DE463D" w:rsidRPr="00D23F76">
        <w:t xml:space="preserve"> </w:t>
      </w:r>
      <w:hyperlink r:id="rId301"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 525(b) apply only for existing employees, not job applicants); </w:t>
      </w:r>
      <w:hyperlink r:id="rId302"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5563" w:name="OLE_LINK202"/>
      <w:bookmarkStart w:id="5564" w:name="OLE_LINK203"/>
      <w:bookmarkEnd w:id="5561"/>
      <w:bookmarkEnd w:id="5562"/>
    </w:p>
    <w:p w14:paraId="4EBA18C3" w14:textId="0FDC6AC5" w:rsidR="00D23F76" w:rsidRDefault="00D23F76" w:rsidP="00D23F76">
      <w:pPr>
        <w:pStyle w:val="0-NORMAL"/>
      </w:pPr>
      <w:r w:rsidRPr="00BD448D">
        <w:rPr>
          <w:b/>
        </w:rPr>
        <w:t>Problem 4</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r w:rsidR="00DE463D" w:rsidRPr="00D23F76">
        <w:t xml:space="preserve">Section 525(b) of the Bankruptcy Code? </w:t>
      </w:r>
      <w:hyperlink r:id="rId303"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35659E57" w:rsidR="00D23F76" w:rsidRDefault="00D23F76" w:rsidP="00D23F76">
      <w:pPr>
        <w:pStyle w:val="0-NORMAL"/>
      </w:pPr>
      <w:r w:rsidRPr="00BD448D">
        <w:rPr>
          <w:b/>
        </w:rPr>
        <w:t>Problem 5</w:t>
      </w:r>
      <w:r w:rsidR="005F6A8B">
        <w:t xml:space="preserve">. </w:t>
      </w:r>
      <w:r w:rsidR="00B32DCA">
        <w:t xml:space="preserve">Debtor files bankruptcy </w:t>
      </w:r>
      <w:r w:rsidR="00CD4B8A" w:rsidRPr="00D23F76">
        <w:t>owing $100,000 to creditors</w:t>
      </w:r>
      <w:r w:rsidR="005F6A8B">
        <w:t xml:space="preserve">. </w:t>
      </w:r>
      <w:r w:rsidR="00CD4B8A" w:rsidRPr="00D23F76">
        <w:t xml:space="preserve">Several creditors obtained </w:t>
      </w:r>
      <w:r w:rsidR="00B32DCA">
        <w:t xml:space="preserve">guaranties </w:t>
      </w:r>
      <w:r w:rsidR="00CD4B8A" w:rsidRPr="00D23F76">
        <w:t>from a</w:t>
      </w:r>
      <w:r w:rsidR="00212F89" w:rsidRPr="00D23F76">
        <w:t>n</w:t>
      </w:r>
      <w:r w:rsidR="00CD4B8A" w:rsidRPr="00D23F76">
        <w:t xml:space="preserve"> insider of the debtor</w:t>
      </w:r>
      <w:r w:rsidR="00B32DCA">
        <w:t xml:space="preserve"> when the original loans were made</w:t>
      </w:r>
      <w:r w:rsidR="005F6A8B">
        <w:t xml:space="preserve">. </w:t>
      </w:r>
      <w:r w:rsidR="00CD4B8A" w:rsidRPr="00D23F76">
        <w:t>Can</w:t>
      </w:r>
      <w:r w:rsidR="00B32DCA">
        <w:t xml:space="preserve"> the creditors sue the insider </w:t>
      </w:r>
      <w:r w:rsidR="00CD4B8A" w:rsidRPr="00D23F76">
        <w:t>on the guaranty after the debtor has filed bankruptcy</w:t>
      </w:r>
      <w:r w:rsidR="00083725" w:rsidRPr="00D23F76">
        <w:t xml:space="preserve">? </w:t>
      </w:r>
      <w:r w:rsidR="00CD4B8A" w:rsidRPr="00D23F76">
        <w:t xml:space="preserve">If the court determines that the suits against </w:t>
      </w:r>
      <w:r w:rsidR="00B32DCA">
        <w:t xml:space="preserve">the insider </w:t>
      </w:r>
      <w:r w:rsidR="00CD4B8A" w:rsidRPr="00D23F76">
        <w:t>will harm the debtor’s reorganization effort, is there anything the court can do about the suits</w:t>
      </w:r>
      <w:r w:rsidR="00083725" w:rsidRPr="00D23F76">
        <w:t xml:space="preserve">? </w:t>
      </w:r>
      <w:r w:rsidR="00CD4B8A" w:rsidRPr="00DA5356">
        <w:rPr>
          <w:i/>
          <w:iCs/>
        </w:rPr>
        <w:t xml:space="preserve">See </w:t>
      </w:r>
      <w:r w:rsidR="00CD4B8A" w:rsidRPr="00D23F76">
        <w:t xml:space="preserve">11 U.S.C. § 105; </w:t>
      </w:r>
      <w:hyperlink r:id="rId304"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6DD66FEB" w:rsidR="00D23F76" w:rsidRDefault="00D23F76" w:rsidP="00D23F76">
      <w:pPr>
        <w:pStyle w:val="0-NORMAL"/>
      </w:pPr>
      <w:r w:rsidRPr="00BD448D">
        <w:rPr>
          <w:b/>
        </w:rPr>
        <w:t>Problem 6</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Is the debtor eligible for a discharge in the new case? 11 U.S.C. § 727(a)(8).</w:t>
      </w:r>
    </w:p>
    <w:p w14:paraId="1CFCE384" w14:textId="56907CB6" w:rsidR="00D23F76" w:rsidRDefault="00D23F76" w:rsidP="00D23F76">
      <w:pPr>
        <w:pStyle w:val="0-NORMAL"/>
      </w:pPr>
      <w:r w:rsidRPr="00BD448D">
        <w:rPr>
          <w:b/>
        </w:rPr>
        <w:t>Problem 7</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Can the Debtor receive a discharge in a Chapter 7 case filed on January 2, Year 7? 11 U.S.C. § 727(a)(9).</w:t>
      </w:r>
    </w:p>
    <w:p w14:paraId="4A14C250" w14:textId="15701B43" w:rsidR="00D0664A" w:rsidRPr="00D23F76" w:rsidRDefault="00D23F76" w:rsidP="00D23F76">
      <w:pPr>
        <w:pStyle w:val="0-NORMAL"/>
      </w:pPr>
      <w:r w:rsidRPr="00BD448D">
        <w:rPr>
          <w:b/>
        </w:rPr>
        <w:t>Problem 8</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r w:rsidR="00D0664A" w:rsidRPr="00D23F76">
        <w:t>11 U.S.C. § 1328(f).</w:t>
      </w:r>
    </w:p>
    <w:bookmarkEnd w:id="5563"/>
    <w:bookmarkEnd w:id="5564"/>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59DC1FD3" w14:textId="047B8E70" w:rsidR="00935DBB" w:rsidRPr="0022557A" w:rsidRDefault="0022557A" w:rsidP="00943492">
      <w:pPr>
        <w:pStyle w:val="Heading1"/>
        <w:spacing w:line="240" w:lineRule="auto"/>
      </w:pPr>
      <w:bookmarkStart w:id="5565" w:name="_Toc417380902"/>
      <w:r>
        <w:t xml:space="preserve"> </w:t>
      </w:r>
      <w:bookmarkStart w:id="5566" w:name="_Toc417380903"/>
      <w:bookmarkStart w:id="5567" w:name="_Toc79699305"/>
      <w:bookmarkStart w:id="5568" w:name="_Toc79699631"/>
      <w:bookmarkStart w:id="5569" w:name="_Toc79699969"/>
      <w:bookmarkStart w:id="5570" w:name="_Toc79700289"/>
      <w:bookmarkStart w:id="5571" w:name="_Toc79700611"/>
      <w:bookmarkStart w:id="5572" w:name="_Toc87039389"/>
      <w:bookmarkStart w:id="5573" w:name="_Toc90983785"/>
      <w:bookmarkEnd w:id="5565"/>
      <w:r w:rsidR="00935DBB">
        <w:t xml:space="preserve">Wage Earner </w:t>
      </w:r>
      <w:r w:rsidR="00F55BE5" w:rsidRPr="007A5BBC">
        <w:t>Reorganizations under Chapter 13</w:t>
      </w:r>
      <w:bookmarkStart w:id="5574" w:name="_Toc417379035"/>
      <w:bookmarkStart w:id="5575" w:name="_Toc417380904"/>
      <w:bookmarkStart w:id="5576" w:name="_Toc417379036"/>
      <w:bookmarkStart w:id="5577" w:name="_Toc417380905"/>
      <w:bookmarkStart w:id="5578" w:name="_Toc438473336"/>
      <w:bookmarkStart w:id="5579" w:name="_Toc438473652"/>
      <w:bookmarkStart w:id="5580" w:name="_Toc438473968"/>
      <w:bookmarkStart w:id="5581" w:name="_Toc438474284"/>
      <w:bookmarkStart w:id="5582" w:name="_Toc438476745"/>
      <w:bookmarkStart w:id="5583" w:name="_Toc438661498"/>
      <w:bookmarkStart w:id="5584" w:name="_Toc438661827"/>
      <w:bookmarkStart w:id="5585" w:name="_Toc438662222"/>
      <w:bookmarkStart w:id="5586" w:name="_Toc438662554"/>
      <w:bookmarkStart w:id="5587" w:name="_Toc438662892"/>
      <w:bookmarkStart w:id="5588" w:name="_Toc438663224"/>
      <w:bookmarkStart w:id="5589" w:name="_Toc438663551"/>
      <w:bookmarkStart w:id="5590" w:name="_Toc438663878"/>
      <w:bookmarkStart w:id="5591" w:name="_Toc438664203"/>
      <w:bookmarkStart w:id="5592" w:name="_Toc438664530"/>
      <w:bookmarkStart w:id="5593" w:name="_Toc438665275"/>
      <w:bookmarkStart w:id="5594" w:name="_Toc450735219"/>
      <w:bookmarkStart w:id="5595" w:name="_Toc450735548"/>
      <w:bookmarkStart w:id="5596" w:name="_Toc450739944"/>
      <w:bookmarkStart w:id="5597" w:name="_Toc457995764"/>
      <w:bookmarkStart w:id="5598" w:name="_Toc457997593"/>
      <w:bookmarkStart w:id="5599" w:name="_Toc458006825"/>
      <w:bookmarkStart w:id="5600" w:name="_Toc458075137"/>
      <w:bookmarkStart w:id="5601" w:name="_Toc485065671"/>
      <w:bookmarkStart w:id="5602" w:name="_Toc438473337"/>
      <w:bookmarkStart w:id="5603" w:name="_Toc438473653"/>
      <w:bookmarkStart w:id="5604" w:name="_Toc438473969"/>
      <w:bookmarkStart w:id="5605" w:name="_Toc438474285"/>
      <w:bookmarkStart w:id="5606" w:name="_Toc438476746"/>
      <w:bookmarkStart w:id="5607" w:name="_Toc438661499"/>
      <w:bookmarkStart w:id="5608" w:name="_Toc438661828"/>
      <w:bookmarkStart w:id="5609" w:name="_Toc438662223"/>
      <w:bookmarkStart w:id="5610" w:name="_Toc438662555"/>
      <w:bookmarkStart w:id="5611" w:name="_Toc438662893"/>
      <w:bookmarkStart w:id="5612" w:name="_Toc438663225"/>
      <w:bookmarkStart w:id="5613" w:name="_Toc438663552"/>
      <w:bookmarkStart w:id="5614" w:name="_Toc438663879"/>
      <w:bookmarkStart w:id="5615" w:name="_Toc438664204"/>
      <w:bookmarkStart w:id="5616" w:name="_Toc438664531"/>
      <w:bookmarkStart w:id="5617" w:name="_Toc438665276"/>
      <w:bookmarkStart w:id="5618" w:name="_Toc450735220"/>
      <w:bookmarkStart w:id="5619" w:name="_Toc450735549"/>
      <w:bookmarkStart w:id="5620" w:name="_Toc450739945"/>
      <w:bookmarkStart w:id="5621" w:name="_Toc457995765"/>
      <w:bookmarkStart w:id="5622" w:name="_Toc457997594"/>
      <w:bookmarkStart w:id="5623" w:name="_Toc458006826"/>
      <w:bookmarkStart w:id="5624" w:name="_Toc458075138"/>
      <w:bookmarkStart w:id="5625" w:name="_Toc485065672"/>
      <w:bookmarkStart w:id="5626" w:name="_Toc79687522"/>
      <w:bookmarkStart w:id="5627" w:name="_Toc79687846"/>
      <w:bookmarkStart w:id="5628" w:name="_Toc79688213"/>
      <w:bookmarkStart w:id="5629" w:name="_Toc79688542"/>
      <w:bookmarkStart w:id="5630" w:name="_Toc79689478"/>
      <w:bookmarkStart w:id="5631" w:name="_Toc79693163"/>
      <w:bookmarkStart w:id="5632" w:name="_Toc79693483"/>
      <w:bookmarkStart w:id="5633" w:name="_Toc79693803"/>
      <w:bookmarkStart w:id="5634" w:name="_Toc79694120"/>
      <w:bookmarkStart w:id="5635" w:name="_Toc79694438"/>
      <w:bookmarkStart w:id="5636" w:name="_Toc79694758"/>
      <w:bookmarkStart w:id="5637" w:name="_Toc79695072"/>
      <w:bookmarkStart w:id="5638" w:name="_Toc79695388"/>
      <w:bookmarkStart w:id="5639" w:name="_Toc79695704"/>
      <w:bookmarkStart w:id="5640" w:name="_Toc79696020"/>
      <w:bookmarkStart w:id="5641" w:name="_Toc79696336"/>
      <w:bookmarkStart w:id="5642" w:name="_Toc79696652"/>
      <w:bookmarkStart w:id="5643" w:name="_Toc79696973"/>
      <w:bookmarkStart w:id="5644" w:name="_Toc79697305"/>
      <w:bookmarkStart w:id="5645" w:name="_Toc79697634"/>
      <w:bookmarkStart w:id="5646" w:name="_Toc417380906"/>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r w:rsidR="00943492">
        <w:br/>
      </w:r>
    </w:p>
    <w:p w14:paraId="74CA0462" w14:textId="059A8E4C" w:rsidR="00002F79" w:rsidRPr="007A5BBC" w:rsidRDefault="00EC7907" w:rsidP="00943492">
      <w:pPr>
        <w:pStyle w:val="Heading2"/>
        <w:spacing w:line="240" w:lineRule="auto"/>
      </w:pPr>
      <w:bookmarkStart w:id="5647" w:name="_Toc79699306"/>
      <w:bookmarkStart w:id="5648" w:name="_Toc79699632"/>
      <w:bookmarkStart w:id="5649" w:name="_Toc79699970"/>
      <w:bookmarkStart w:id="5650" w:name="_Toc79700290"/>
      <w:bookmarkStart w:id="5651" w:name="_Toc79700612"/>
      <w:bookmarkStart w:id="5652" w:name="_Toc87039390"/>
      <w:bookmarkStart w:id="5653" w:name="_Toc90983786"/>
      <w:r w:rsidRPr="007A5BBC">
        <w:t>Introduction</w:t>
      </w:r>
      <w:bookmarkEnd w:id="5646"/>
      <w:bookmarkEnd w:id="5647"/>
      <w:bookmarkEnd w:id="5648"/>
      <w:bookmarkEnd w:id="5649"/>
      <w:bookmarkEnd w:id="5650"/>
      <w:bookmarkEnd w:id="5651"/>
      <w:bookmarkEnd w:id="5652"/>
      <w:bookmarkEnd w:id="5653"/>
      <w:r w:rsidRPr="007A5BBC">
        <w:t xml:space="preserve"> </w:t>
      </w:r>
      <w:bookmarkStart w:id="5654" w:name="_Toc79693164"/>
      <w:bookmarkStart w:id="5655" w:name="_Toc79693484"/>
      <w:bookmarkStart w:id="5656" w:name="_Toc79693804"/>
      <w:bookmarkStart w:id="5657" w:name="_Toc79694121"/>
      <w:bookmarkStart w:id="5658" w:name="_Toc79694759"/>
      <w:bookmarkStart w:id="5659" w:name="_Toc79695389"/>
      <w:bookmarkStart w:id="5660" w:name="_Toc79697635"/>
      <w:bookmarkEnd w:id="5654"/>
      <w:bookmarkEnd w:id="5655"/>
      <w:bookmarkEnd w:id="5656"/>
      <w:bookmarkEnd w:id="5657"/>
      <w:bookmarkEnd w:id="5658"/>
      <w:bookmarkEnd w:id="5659"/>
      <w:bookmarkEnd w:id="5660"/>
      <w:r w:rsidR="00943492">
        <w:br/>
      </w:r>
    </w:p>
    <w:p w14:paraId="4E54FF5D" w14:textId="4DCB8FD3" w:rsidR="00704DA9"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w:t>
      </w:r>
      <w:r w:rsidR="00AB3EFD">
        <w:rPr>
          <w:rFonts w:ascii="Times New Roman" w:hAnsi="Times New Roman"/>
          <w:szCs w:val="24"/>
        </w:rPr>
        <w:t>e</w:t>
      </w:r>
      <w:r w:rsidRPr="007A5BBC">
        <w:rPr>
          <w:rFonts w:ascii="Times New Roman" w:hAnsi="Times New Roman"/>
          <w:szCs w:val="24"/>
        </w:rPr>
        <w:t>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155971A3" w14:textId="77777777" w:rsidR="00BC225C" w:rsidRPr="007A5BBC" w:rsidRDefault="00BC225C" w:rsidP="00BA4893">
      <w:pPr>
        <w:ind w:firstLine="720"/>
        <w:jc w:val="both"/>
        <w:rPr>
          <w:rFonts w:ascii="Times New Roman" w:hAnsi="Times New Roman"/>
          <w:szCs w:val="24"/>
        </w:rPr>
      </w:pPr>
    </w:p>
    <w:p w14:paraId="73C0E561" w14:textId="29DF4449" w:rsidR="00EC7907" w:rsidRPr="007A5BBC" w:rsidRDefault="00C47A7E" w:rsidP="00943492">
      <w:pPr>
        <w:pStyle w:val="Heading2"/>
        <w:spacing w:line="240" w:lineRule="auto"/>
      </w:pPr>
      <w:bookmarkStart w:id="5661" w:name="_Toc417380907"/>
      <w:bookmarkStart w:id="5662" w:name="_Toc79699307"/>
      <w:bookmarkStart w:id="5663" w:name="_Toc79699633"/>
      <w:bookmarkStart w:id="5664" w:name="_Toc79699971"/>
      <w:bookmarkStart w:id="5665" w:name="_Toc79700291"/>
      <w:bookmarkStart w:id="5666" w:name="_Toc79700613"/>
      <w:bookmarkStart w:id="5667" w:name="_Toc87039391"/>
      <w:bookmarkStart w:id="5668" w:name="_Toc90983787"/>
      <w:r w:rsidRPr="007A5BBC">
        <w:t xml:space="preserve">Reasons for Filing under </w:t>
      </w:r>
      <w:r w:rsidR="00EC7907" w:rsidRPr="007A5BBC">
        <w:t>Chapter 13</w:t>
      </w:r>
      <w:bookmarkEnd w:id="5661"/>
      <w:bookmarkEnd w:id="5662"/>
      <w:bookmarkEnd w:id="5663"/>
      <w:bookmarkEnd w:id="5664"/>
      <w:bookmarkEnd w:id="5665"/>
      <w:bookmarkEnd w:id="5666"/>
      <w:bookmarkEnd w:id="5667"/>
      <w:bookmarkEnd w:id="5668"/>
      <w:r w:rsidR="00EC7907" w:rsidRPr="007A5BBC">
        <w:t xml:space="preserve"> </w:t>
      </w:r>
      <w:bookmarkStart w:id="5669" w:name="_Toc79693165"/>
      <w:bookmarkStart w:id="5670" w:name="_Toc79693485"/>
      <w:bookmarkStart w:id="5671" w:name="_Toc79693805"/>
      <w:bookmarkStart w:id="5672" w:name="_Toc79694122"/>
      <w:bookmarkStart w:id="5673" w:name="_Toc79694760"/>
      <w:bookmarkStart w:id="5674" w:name="_Toc79695390"/>
      <w:bookmarkStart w:id="5675" w:name="_Toc79697636"/>
      <w:bookmarkEnd w:id="5669"/>
      <w:bookmarkEnd w:id="5670"/>
      <w:bookmarkEnd w:id="5671"/>
      <w:bookmarkEnd w:id="5672"/>
      <w:bookmarkEnd w:id="5673"/>
      <w:bookmarkEnd w:id="5674"/>
      <w:bookmarkEnd w:id="5675"/>
      <w:r w:rsidR="00943492">
        <w:br/>
      </w:r>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435B4026" w:rsidR="00C47A7E"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1EB8D383" w14:textId="77777777" w:rsidR="00943492" w:rsidRPr="007A5BBC" w:rsidRDefault="00943492" w:rsidP="00BA4893">
      <w:pPr>
        <w:ind w:firstLine="720"/>
        <w:jc w:val="both"/>
        <w:rPr>
          <w:rFonts w:ascii="Times New Roman" w:hAnsi="Times New Roman"/>
          <w:szCs w:val="24"/>
        </w:rPr>
      </w:pPr>
    </w:p>
    <w:p w14:paraId="7E0553BF" w14:textId="333D8A40" w:rsidR="00C47A7E" w:rsidRPr="007A5BBC" w:rsidRDefault="00C47A7E" w:rsidP="00943492">
      <w:pPr>
        <w:pStyle w:val="Heading2"/>
        <w:spacing w:line="240" w:lineRule="auto"/>
      </w:pPr>
      <w:bookmarkStart w:id="5676" w:name="_Toc417380908"/>
      <w:bookmarkStart w:id="5677" w:name="_Toc79699308"/>
      <w:bookmarkStart w:id="5678" w:name="_Toc79699634"/>
      <w:bookmarkStart w:id="5679" w:name="_Toc79699972"/>
      <w:bookmarkStart w:id="5680" w:name="_Toc79700292"/>
      <w:bookmarkStart w:id="5681" w:name="_Toc79700614"/>
      <w:bookmarkStart w:id="5682" w:name="_Toc87039392"/>
      <w:bookmarkStart w:id="5683" w:name="_Toc90983788"/>
      <w:r w:rsidRPr="007A5BBC">
        <w:t>The Chapter 13 Process</w:t>
      </w:r>
      <w:bookmarkStart w:id="5684" w:name="_Toc79693166"/>
      <w:bookmarkStart w:id="5685" w:name="_Toc79693486"/>
      <w:bookmarkStart w:id="5686" w:name="_Toc79693806"/>
      <w:bookmarkStart w:id="5687" w:name="_Toc79694123"/>
      <w:bookmarkStart w:id="5688" w:name="_Toc79694761"/>
      <w:bookmarkStart w:id="5689" w:name="_Toc79695391"/>
      <w:bookmarkStart w:id="5690" w:name="_Toc79697637"/>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r w:rsidR="00943492">
        <w:br/>
      </w:r>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describe the 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Most jurisdictions require the 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50C3F23B" w:rsidR="008D6D32"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0830AB63" w14:textId="77777777" w:rsidR="008C5540" w:rsidRPr="007A5BBC" w:rsidRDefault="008C5540" w:rsidP="00BA4893">
      <w:pPr>
        <w:ind w:firstLine="720"/>
        <w:jc w:val="both"/>
        <w:rPr>
          <w:rFonts w:ascii="Times New Roman" w:hAnsi="Times New Roman"/>
          <w:szCs w:val="24"/>
        </w:rPr>
      </w:pPr>
    </w:p>
    <w:p w14:paraId="466964BA" w14:textId="6F80296B" w:rsidR="00C47A7E" w:rsidRPr="007A5BBC" w:rsidRDefault="00C47A7E" w:rsidP="008C5540">
      <w:pPr>
        <w:pStyle w:val="Heading2"/>
        <w:spacing w:line="240" w:lineRule="auto"/>
      </w:pPr>
      <w:bookmarkStart w:id="5691" w:name="_Toc417380909"/>
      <w:bookmarkStart w:id="5692" w:name="_Toc79699309"/>
      <w:bookmarkStart w:id="5693" w:name="_Toc79699635"/>
      <w:bookmarkStart w:id="5694" w:name="_Toc79699973"/>
      <w:bookmarkStart w:id="5695" w:name="_Toc79700293"/>
      <w:bookmarkStart w:id="5696" w:name="_Toc79700615"/>
      <w:bookmarkStart w:id="5697" w:name="_Toc87039393"/>
      <w:bookmarkStart w:id="5698" w:name="_Toc90983789"/>
      <w:r w:rsidRPr="007A5BBC">
        <w:t>The Chapter 13 Plan Term (and “Commitment Period”)</w:t>
      </w:r>
      <w:bookmarkStart w:id="5699" w:name="_Toc79693167"/>
      <w:bookmarkStart w:id="5700" w:name="_Toc79693487"/>
      <w:bookmarkStart w:id="5701" w:name="_Toc79693807"/>
      <w:bookmarkStart w:id="5702" w:name="_Toc79694124"/>
      <w:bookmarkStart w:id="5703" w:name="_Toc79694762"/>
      <w:bookmarkStart w:id="5704" w:name="_Toc79695392"/>
      <w:bookmarkStart w:id="5705" w:name="_Toc79697638"/>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r w:rsidR="008C5540">
        <w:br/>
      </w:r>
    </w:p>
    <w:p w14:paraId="545B1B7B" w14:textId="0B511D42" w:rsidR="003D6833"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DA5356">
        <w:rPr>
          <w:rFonts w:ascii="Times New Roman" w:hAnsi="Times New Roman"/>
          <w:i/>
          <w:iCs/>
          <w:szCs w:val="24"/>
        </w:rPr>
        <w:t xml:space="preserve">See </w:t>
      </w:r>
      <w:r w:rsidR="00C47A7E" w:rsidRPr="007A5BBC">
        <w:rPr>
          <w:rFonts w:ascii="Times New Roman" w:hAnsi="Times New Roman"/>
          <w:szCs w:val="24"/>
        </w:rPr>
        <w:t xml:space="preserve">11 U.S.C. § </w:t>
      </w:r>
      <w:r w:rsidRPr="007A5BBC">
        <w:rPr>
          <w:rFonts w:ascii="Times New Roman" w:hAnsi="Times New Roman"/>
          <w:szCs w:val="24"/>
        </w:rPr>
        <w:t>1325(b)(4)(B)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r w:rsidR="00C47A7E" w:rsidRPr="007A5BBC">
        <w:rPr>
          <w:rFonts w:ascii="Times New Roman" w:hAnsi="Times New Roman"/>
          <w:szCs w:val="24"/>
        </w:rPr>
        <w:t>11 U.S.C. § 1322(d)(2)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r w:rsidR="00C47A7E" w:rsidRPr="007A5BBC">
        <w:rPr>
          <w:rFonts w:ascii="Times New Roman" w:hAnsi="Times New Roman"/>
          <w:szCs w:val="24"/>
        </w:rPr>
        <w:t>11 U.S.C. § 1325(b)(4)(A)(ii).</w:t>
      </w:r>
    </w:p>
    <w:p w14:paraId="41DC2D91" w14:textId="77777777" w:rsidR="008C5540" w:rsidRPr="007A5BBC" w:rsidRDefault="008C5540" w:rsidP="00BA4893">
      <w:pPr>
        <w:ind w:firstLine="720"/>
        <w:jc w:val="both"/>
        <w:rPr>
          <w:rFonts w:ascii="Times New Roman" w:hAnsi="Times New Roman"/>
          <w:szCs w:val="24"/>
        </w:rPr>
      </w:pPr>
    </w:p>
    <w:p w14:paraId="6E354A21" w14:textId="0AEE3120" w:rsidR="00EC7907" w:rsidRPr="007A5BBC" w:rsidRDefault="008D6D32" w:rsidP="008C5540">
      <w:pPr>
        <w:pStyle w:val="Heading2"/>
        <w:spacing w:line="240" w:lineRule="auto"/>
      </w:pPr>
      <w:bookmarkStart w:id="5706" w:name="_Toc417380910"/>
      <w:bookmarkStart w:id="5707" w:name="_Toc79699310"/>
      <w:bookmarkStart w:id="5708" w:name="_Toc79699636"/>
      <w:bookmarkStart w:id="5709" w:name="_Toc79699974"/>
      <w:bookmarkStart w:id="5710" w:name="_Toc79700294"/>
      <w:bookmarkStart w:id="5711" w:name="_Toc79700616"/>
      <w:bookmarkStart w:id="5712" w:name="_Toc87039394"/>
      <w:bookmarkStart w:id="5713" w:name="_Toc90983790"/>
      <w:r w:rsidRPr="007A5BBC">
        <w:t>Restructuring Secured Claims in a Chapter 13 Plan</w:t>
      </w:r>
      <w:bookmarkStart w:id="5714" w:name="_Toc79693168"/>
      <w:bookmarkStart w:id="5715" w:name="_Toc79693488"/>
      <w:bookmarkStart w:id="5716" w:name="_Toc79693808"/>
      <w:bookmarkStart w:id="5717" w:name="_Toc79694125"/>
      <w:bookmarkStart w:id="5718" w:name="_Toc79694763"/>
      <w:bookmarkStart w:id="5719" w:name="_Toc79695393"/>
      <w:bookmarkStart w:id="5720" w:name="_Toc79697639"/>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r w:rsidR="008C5540">
        <w:br/>
      </w:r>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49299667" w:rsidR="007F1B5E" w:rsidRPr="007835A1" w:rsidRDefault="007F1B5E" w:rsidP="007F3399">
      <w:pPr>
        <w:pStyle w:val="ListParagraph"/>
        <w:numPr>
          <w:ilvl w:val="0"/>
          <w:numId w:val="6"/>
        </w:numPr>
        <w:rPr>
          <w:b/>
          <w:bCs/>
        </w:rPr>
      </w:pPr>
      <w:r w:rsidRPr="007835A1">
        <w:rPr>
          <w:b/>
          <w:bCs/>
        </w:rPr>
        <w:t>General Restructuring Rules</w:t>
      </w:r>
      <w:r w:rsidR="007835A1">
        <w:rPr>
          <w:b/>
          <w:bCs/>
        </w:rPr>
        <w:t>.</w:t>
      </w:r>
    </w:p>
    <w:p w14:paraId="4BC844D2" w14:textId="04891538"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The basic rules for restructuring secured claims in Chapter 13 are set forth in Section 1325(a)(5)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0D66C0F8" w14:textId="3AE35303" w:rsidR="0022557A" w:rsidRPr="00652C80" w:rsidRDefault="0022557A" w:rsidP="0022557A">
      <w:pPr>
        <w:pStyle w:val="0-NORMAL"/>
        <w:ind w:left="720"/>
      </w:pPr>
      <w:r>
        <w:rPr>
          <w:b/>
        </w:rPr>
        <w:t xml:space="preserve">(1) </w:t>
      </w:r>
      <w:r w:rsidR="00F47A2A" w:rsidRPr="0022557A">
        <w:rPr>
          <w:b/>
        </w:rPr>
        <w:t>Restructure</w:t>
      </w:r>
      <w:r w:rsidR="00083725" w:rsidRPr="00E2635A">
        <w:t>.</w:t>
      </w:r>
      <w:r w:rsidR="00083725" w:rsidRPr="0022557A">
        <w:t xml:space="preserve"> </w:t>
      </w:r>
      <w:r w:rsidR="00C47A7E" w:rsidRPr="0022557A">
        <w:t>P</w:t>
      </w:r>
      <w:r w:rsidR="003D6833" w:rsidRPr="0022557A">
        <w:t xml:space="preserve">ay the “value as of the effective date of the plan” of the </w:t>
      </w:r>
      <w:r w:rsidR="00C47A7E" w:rsidRPr="0022557A">
        <w:t xml:space="preserve">“allowed </w:t>
      </w:r>
      <w:r w:rsidR="003D6833" w:rsidRPr="0022557A">
        <w:t>secured claim</w:t>
      </w:r>
      <w:r w:rsidR="00C47A7E" w:rsidRPr="0022557A">
        <w:t>”</w:t>
      </w:r>
      <w:r w:rsidR="003D6833" w:rsidRPr="0022557A">
        <w:t xml:space="preserve"> in </w:t>
      </w:r>
      <w:r w:rsidR="003D6833" w:rsidRPr="0022557A">
        <w:rPr>
          <w:b/>
        </w:rPr>
        <w:t>equal</w:t>
      </w:r>
      <w:r w:rsidR="00C47A7E" w:rsidRPr="0022557A">
        <w:t xml:space="preserve"> monthly installments, in full, </w:t>
      </w:r>
      <w:r w:rsidR="003D6833" w:rsidRPr="0022557A">
        <w:t>over the plan term</w:t>
      </w:r>
      <w:r w:rsidR="00C47A7E" w:rsidRPr="0022557A">
        <w:t xml:space="preserve"> (</w:t>
      </w:r>
      <w:r w:rsidR="00602C0D" w:rsidRPr="0022557A">
        <w:t xml:space="preserve">11 U.S.C. § </w:t>
      </w:r>
      <w:r w:rsidR="00CF75F6" w:rsidRPr="0022557A">
        <w:t>1325(a)(5)(B))</w:t>
      </w:r>
      <w:r w:rsidR="005F6A8B" w:rsidRPr="0022557A">
        <w:t xml:space="preserve">. </w:t>
      </w:r>
      <w:r w:rsidR="00AC55F9" w:rsidRPr="0022557A">
        <w:t>Here, the section 506(a) split takes on real meaning</w:t>
      </w:r>
      <w:r w:rsidR="005F6A8B" w:rsidRPr="0022557A">
        <w:t xml:space="preserve">. </w:t>
      </w:r>
      <w:r w:rsidR="00CF75F6" w:rsidRPr="0022557A">
        <w:t>The restructuring option allows the debtor to strip down an undersecured creditor’s claim to the value of the collateral</w:t>
      </w:r>
      <w:r w:rsidR="004751D0" w:rsidRPr="0022557A">
        <w:t xml:space="preserve">. </w:t>
      </w:r>
      <w:r w:rsidR="00CF75F6" w:rsidRPr="00935DBB">
        <w:t xml:space="preserve">The Supreme Court in </w:t>
      </w:r>
      <w:r w:rsidR="00CF75F6" w:rsidRPr="00935DBB">
        <w:rPr>
          <w:i/>
        </w:rPr>
        <w:t>Till v. SCS Credit</w:t>
      </w:r>
      <w:r w:rsidR="00CF75F6" w:rsidRPr="00935DBB">
        <w:t>, reprinted below, determined that the “value as of the effective date of the plan” language in the statute requires the debtor to pay post-confirmation interest on that secured claim, but also set a post-confirmation interest rate that many consider to be beneficial to debtors</w:t>
      </w:r>
      <w:r w:rsidR="005F6A8B">
        <w:t xml:space="preserve">. </w:t>
      </w:r>
      <w:r w:rsidR="00AC55F9">
        <w:t>The debtor must be able to pay off the entire secured claim during the 3 to 5 year plan term.</w:t>
      </w:r>
    </w:p>
    <w:p w14:paraId="1A7BF9CD" w14:textId="26B144D9" w:rsidR="0022557A" w:rsidRDefault="0022557A" w:rsidP="00407C0C">
      <w:pPr>
        <w:pStyle w:val="0-NORMAL"/>
        <w:ind w:left="720"/>
      </w:pPr>
      <w:r w:rsidRPr="00407C0C">
        <w:rPr>
          <w:b/>
          <w:bCs/>
        </w:rPr>
        <w:t>(2)</w:t>
      </w:r>
      <w:r>
        <w:t xml:space="preserve"> </w:t>
      </w:r>
      <w:r w:rsidR="00F47A2A" w:rsidRPr="0022557A">
        <w:rPr>
          <w:b/>
          <w:bCs/>
        </w:rPr>
        <w:t>Surrender</w:t>
      </w:r>
      <w:r w:rsidR="005F6A8B" w:rsidRPr="00E2635A">
        <w:t>.</w:t>
      </w:r>
      <w:r>
        <w:t xml:space="preserve"> </w:t>
      </w:r>
      <w:r w:rsidR="00C47A7E" w:rsidRPr="007A5BBC">
        <w:t>Surrender the collateral to the secured creditor</w:t>
      </w:r>
      <w:r w:rsidR="00602C0D" w:rsidRPr="007A5BBC">
        <w:t xml:space="preserve"> (11 U.S.C. § 1325(a)(5)(C)</w:t>
      </w:r>
      <w:r w:rsidR="00C47A7E" w:rsidRPr="007A5BBC">
        <w:t xml:space="preserve">; </w:t>
      </w:r>
    </w:p>
    <w:p w14:paraId="40F02AF8" w14:textId="3A61941D" w:rsidR="00CF75F6" w:rsidRPr="0022557A" w:rsidRDefault="00C47A7E" w:rsidP="0022557A">
      <w:pPr>
        <w:pStyle w:val="0-NORMAL"/>
      </w:pPr>
      <w:r w:rsidRPr="007A5BBC">
        <w:t>or</w:t>
      </w:r>
    </w:p>
    <w:p w14:paraId="6D558D2D" w14:textId="79AB027C" w:rsidR="00BB5170" w:rsidRPr="00935DBB" w:rsidRDefault="0022557A" w:rsidP="00407C0C">
      <w:pPr>
        <w:pStyle w:val="0-NORMAL"/>
        <w:ind w:left="720"/>
      </w:pPr>
      <w:r w:rsidRPr="00407C0C">
        <w:rPr>
          <w:b/>
          <w:bCs/>
        </w:rPr>
        <w:t xml:space="preserve">(3)  </w:t>
      </w:r>
      <w:r w:rsidR="00F47A2A" w:rsidRPr="00407C0C">
        <w:rPr>
          <w:b/>
          <w:bCs/>
        </w:rPr>
        <w:t>Cure and Reinstate</w:t>
      </w:r>
      <w:r w:rsidR="005F6A8B">
        <w:t>.</w:t>
      </w:r>
      <w:r>
        <w:t xml:space="preserve"> </w:t>
      </w:r>
      <w:r w:rsidR="00602C0D" w:rsidRPr="00935DBB">
        <w:t xml:space="preserve">Cure the default over the plan term, and reinstate the </w:t>
      </w:r>
      <w:r w:rsidR="00AC55F9">
        <w:t xml:space="preserve">original </w:t>
      </w:r>
      <w:r w:rsidR="00602C0D" w:rsidRPr="00935DBB">
        <w:t xml:space="preserve">loan </w:t>
      </w:r>
      <w:r w:rsidR="00AC55F9">
        <w:t xml:space="preserve">terms </w:t>
      </w:r>
      <w:r w:rsidR="00602C0D" w:rsidRPr="00935DBB">
        <w:t xml:space="preserve">(11 U.S.C. </w:t>
      </w:r>
      <w:r w:rsidR="00F47A2A" w:rsidRPr="00935DBB">
        <w:t>§</w:t>
      </w:r>
      <w:r w:rsidR="00602C0D" w:rsidRPr="00935DBB">
        <w:t>§ 1322(</w:t>
      </w:r>
      <w:r w:rsidR="00DD28A9" w:rsidRPr="00935DBB">
        <w:t>b</w:t>
      </w:r>
      <w:r w:rsidR="00602C0D" w:rsidRPr="00935DBB">
        <w:t>)(3); 1322(</w:t>
      </w:r>
      <w:r w:rsidR="00DD28A9" w:rsidRPr="00935DBB">
        <w:t>b</w:t>
      </w:r>
      <w:r w:rsidR="00602C0D" w:rsidRPr="00935DBB">
        <w:t>)(5))</w:t>
      </w:r>
      <w:r w:rsidR="005F6A8B">
        <w:t xml:space="preserve">. </w:t>
      </w:r>
      <w:r w:rsidR="00602C0D" w:rsidRPr="00935DBB">
        <w:t>This last option requires the debtor to pay off the arrearage plus make any current payments that are due during the life of the plan, so at the end of the plan term the loan is current</w:t>
      </w:r>
      <w:r w:rsidR="005F6A8B">
        <w:t xml:space="preserve">. </w:t>
      </w:r>
      <w:r w:rsidR="00602C0D" w:rsidRPr="00935DBB">
        <w:t>In all jurisdictions the cure payments are made through the Chapter 13 trustee</w:t>
      </w:r>
      <w:r w:rsidR="005F6A8B">
        <w:t xml:space="preserve">. </w:t>
      </w:r>
      <w:r w:rsidR="00602C0D" w:rsidRPr="00935DBB">
        <w:t xml:space="preserve">In some jurisdictions to regular </w:t>
      </w:r>
      <w:r w:rsidR="00F22E3D">
        <w:t xml:space="preserve">post-petition </w:t>
      </w:r>
      <w:r w:rsidR="00602C0D" w:rsidRPr="00935DBB">
        <w:t>payments may be made outside the plan to avo</w:t>
      </w:r>
      <w:r w:rsidR="00AC55F9">
        <w:t>id the Chapter 13 Trustee’s distribution fees</w:t>
      </w:r>
      <w:r w:rsidR="005F6A8B">
        <w:t xml:space="preserve">. </w:t>
      </w:r>
    </w:p>
    <w:p w14:paraId="38906F6F" w14:textId="03BED491" w:rsidR="00BB5170" w:rsidRPr="007A5BBC" w:rsidRDefault="00BB5170" w:rsidP="0022557A">
      <w:pPr>
        <w:pStyle w:val="0-NORMAL"/>
      </w:pPr>
      <w:r w:rsidRPr="007A5BBC">
        <w:t>Whether or not the debtor must pay interest on the cure amount depends on a number of factors</w:t>
      </w:r>
      <w:r w:rsidR="005F6A8B">
        <w:t xml:space="preserve">. </w:t>
      </w:r>
      <w:r w:rsidRPr="007A5BBC">
        <w:t xml:space="preserve">In </w:t>
      </w:r>
      <w:hyperlink r:id="rId305" w:history="1">
        <w:r w:rsidRPr="00E02AAB">
          <w:rPr>
            <w:rStyle w:val="Hyperlink"/>
            <w:rFonts w:eastAsia="Calibri"/>
            <w:i/>
          </w:rPr>
          <w:t>Rake v. Wade</w:t>
        </w:r>
        <w:r w:rsidRPr="00E02AAB">
          <w:rPr>
            <w:rStyle w:val="Hyperlink"/>
            <w:rFonts w:eastAsia="Calibri"/>
          </w:rPr>
          <w:t>, 508 U.S. 464 (1993)</w:t>
        </w:r>
      </w:hyperlink>
      <w:r w:rsidRPr="007A5BBC">
        <w:t>, the Supreme Court ruled that post-confirmation interest had to be paid on the cure amount under the “value as of the effective date of the plan” language in Section 1325(a)(5), even though the home mortgage was not subject to modification under Section 1325(a)(5)</w:t>
      </w:r>
      <w:r w:rsidR="005F6A8B">
        <w:t xml:space="preserve">. </w:t>
      </w:r>
    </w:p>
    <w:p w14:paraId="743F966C" w14:textId="4AED7034"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Congress enacted Section 1322(e),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r w:rsidR="00BB5170" w:rsidRPr="007A5BBC">
        <w:rPr>
          <w:rFonts w:ascii="Times New Roman" w:hAnsi="Times New Roman"/>
          <w:szCs w:val="24"/>
        </w:rPr>
        <w:t xml:space="preserve">Section 1322(e)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306" w:history="1">
        <w:r w:rsidR="00CF75F6" w:rsidRPr="00E02AAB">
          <w:rPr>
            <w:rStyle w:val="Hyperlink"/>
            <w:rFonts w:eastAsia="Calibri"/>
            <w:i/>
          </w:rPr>
          <w:t>I</w:t>
        </w:r>
        <w:r w:rsidR="00CF75F6" w:rsidRPr="00E02AAB">
          <w:rPr>
            <w:rStyle w:val="Hyperlink"/>
            <w:rFonts w:ascii="Times New Roman" w:eastAsia="Calibri" w:hAnsi="Times New Roman"/>
            <w:i/>
          </w:rPr>
          <w:t>n re Hoover</w:t>
        </w:r>
        <w:r w:rsidR="00CF75F6" w:rsidRPr="00E02AAB">
          <w:rPr>
            <w:rStyle w:val="Hyperlink"/>
            <w:rFonts w:ascii="Times New Roman" w:eastAsia="Calibr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7CA12FF9" w14:textId="11F65735" w:rsidR="00C47A7E" w:rsidRPr="00407C0C" w:rsidRDefault="001E7865" w:rsidP="00407C0C">
      <w:pPr>
        <w:ind w:firstLine="720"/>
        <w:jc w:val="both"/>
        <w:rPr>
          <w:rFonts w:ascii="Times New Roman" w:hAnsi="Times New Roman"/>
          <w:szCs w:val="24"/>
        </w:rPr>
      </w:pPr>
      <w:r w:rsidRPr="007A5BBC">
        <w:rPr>
          <w:rFonts w:ascii="Times New Roman" w:hAnsi="Times New Roman"/>
          <w:szCs w:val="24"/>
        </w:rPr>
        <w:t>Curing property tax arrearages poses a special problem because of Section 511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307" w:history="1">
        <w:r w:rsidR="00A90E38" w:rsidRPr="00E02AAB">
          <w:rPr>
            <w:rStyle w:val="Hyperlink"/>
            <w:rFonts w:ascii="Times New Roman" w:eastAsia="Calibri" w:hAnsi="Times New Roman"/>
            <w:i/>
          </w:rPr>
          <w:t>In re Meyhoefer</w:t>
        </w:r>
        <w:r w:rsidR="00A90E38" w:rsidRPr="00E02AAB">
          <w:rPr>
            <w:rStyle w:val="Hyperlink"/>
            <w:rFonts w:ascii="Times New Roman" w:eastAsia="Calibri" w:hAnsi="Times New Roman"/>
          </w:rPr>
          <w:t>, 459 B.R. 167 (Bankr. N.D.N.Y. 2011)</w:t>
        </w:r>
      </w:hyperlink>
      <w:r w:rsidR="005F6A8B">
        <w:rPr>
          <w:rFonts w:ascii="Times New Roman" w:hAnsi="Times New Roman"/>
          <w:szCs w:val="24"/>
        </w:rPr>
        <w:t xml:space="preserve">. </w:t>
      </w:r>
    </w:p>
    <w:p w14:paraId="3E7E1073" w14:textId="5B7BBAD1" w:rsidR="007F1B5E" w:rsidRPr="007835A1" w:rsidRDefault="007F1B5E" w:rsidP="007F3399">
      <w:pPr>
        <w:pStyle w:val="ListParagraph"/>
        <w:numPr>
          <w:ilvl w:val="0"/>
          <w:numId w:val="6"/>
        </w:numPr>
        <w:rPr>
          <w:b/>
          <w:bCs/>
        </w:rPr>
      </w:pPr>
      <w:r w:rsidRPr="007835A1">
        <w:rPr>
          <w:b/>
          <w:bCs/>
        </w:rPr>
        <w:t xml:space="preserve">Limitation on Restructuring </w:t>
      </w:r>
      <w:r w:rsidR="00935DBB" w:rsidRPr="007835A1">
        <w:rPr>
          <w:b/>
          <w:bCs/>
        </w:rPr>
        <w:t>Home Mortgages</w:t>
      </w:r>
      <w:r w:rsidR="007835A1">
        <w:rPr>
          <w:b/>
          <w:bCs/>
        </w:rPr>
        <w:t>.</w:t>
      </w:r>
    </w:p>
    <w:p w14:paraId="40378C33" w14:textId="6263C917" w:rsidR="00985669" w:rsidRPr="007A5BBC" w:rsidRDefault="00A90B82" w:rsidP="00BA4893">
      <w:pPr>
        <w:ind w:firstLine="720"/>
        <w:jc w:val="both"/>
        <w:rPr>
          <w:rFonts w:ascii="Times New Roman" w:hAnsi="Times New Roman"/>
          <w:szCs w:val="24"/>
        </w:rPr>
      </w:pPr>
      <w:r w:rsidRPr="007A5BBC">
        <w:rPr>
          <w:rFonts w:ascii="Times New Roman" w:hAnsi="Times New Roman"/>
          <w:szCs w:val="24"/>
        </w:rPr>
        <w:t xml:space="preserve">Section 1322(b)(2) prohibits the debtor from restructuring “a claim secured only by a security interest in real property that is the debtor’s principal residence.”  </w:t>
      </w:r>
      <w:r w:rsidR="00985669" w:rsidRPr="007A5BBC">
        <w:rPr>
          <w:rFonts w:ascii="Times New Roman" w:hAnsi="Times New Roman"/>
          <w:szCs w:val="24"/>
        </w:rPr>
        <w:t>This has proven to be a 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under Section 506(a),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However, if the debt is secured 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308"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309"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EF5A7A2"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under Section 522(f)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D50178">
        <w:rPr>
          <w:rFonts w:ascii="Times New Roman" w:hAnsi="Times New Roman"/>
          <w:i/>
          <w:iCs/>
          <w:szCs w:val="24"/>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3E227B8B"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r w:rsidRPr="007A5BBC">
        <w:rPr>
          <w:rFonts w:ascii="Times New Roman" w:hAnsi="Times New Roman"/>
          <w:szCs w:val="24"/>
        </w:rPr>
        <w:t>Section 1322(c)(2)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310"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Despite the clear wording of the statute, one circuit has held that a maturing home loan cannot be stripped down under 506(a), but can only have its payment schedule modified</w:t>
      </w:r>
      <w:r w:rsidR="005F6A8B">
        <w:rPr>
          <w:rFonts w:ascii="Times New Roman" w:hAnsi="Times New Roman"/>
          <w:szCs w:val="24"/>
        </w:rPr>
        <w:t xml:space="preserve">. </w:t>
      </w:r>
      <w:hyperlink r:id="rId311"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0DD31A00" w:rsidR="00475827" w:rsidRPr="007835A1" w:rsidRDefault="00985669" w:rsidP="007F3399">
      <w:pPr>
        <w:pStyle w:val="ListParagraph"/>
        <w:numPr>
          <w:ilvl w:val="0"/>
          <w:numId w:val="6"/>
        </w:numPr>
        <w:rPr>
          <w:b/>
          <w:bCs/>
        </w:rPr>
      </w:pPr>
      <w:r w:rsidRPr="007835A1">
        <w:rPr>
          <w:b/>
          <w:bCs/>
        </w:rPr>
        <w:t>Limitation</w:t>
      </w:r>
      <w:r w:rsidR="00475827" w:rsidRPr="007835A1">
        <w:rPr>
          <w:b/>
          <w:bCs/>
        </w:rPr>
        <w:t xml:space="preserve"> on Restructuring P</w:t>
      </w:r>
      <w:r w:rsidRPr="007835A1">
        <w:rPr>
          <w:b/>
          <w:bCs/>
        </w:rPr>
        <w:t>urchase Money Security Interests</w:t>
      </w:r>
      <w:r w:rsidR="007835A1" w:rsidRPr="007835A1">
        <w:rPr>
          <w:b/>
          <w:bCs/>
        </w:rPr>
        <w:t>.</w:t>
      </w:r>
      <w:r w:rsidRPr="007835A1">
        <w:rPr>
          <w:b/>
          <w:bCs/>
        </w:rPr>
        <w:t xml:space="preserve"> </w:t>
      </w:r>
    </w:p>
    <w:p w14:paraId="0A717985" w14:textId="19FFB3F4"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The so-called un-numbered “hanging paragraph” at the end of Section 1325(a) of the Bankruptcy Code (below 1325(a)(9)),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7F3399">
      <w:pPr>
        <w:pStyle w:val="ListParagraph"/>
        <w:numPr>
          <w:ilvl w:val="0"/>
          <w:numId w:val="7"/>
        </w:numPr>
      </w:pPr>
      <w:r w:rsidRPr="007A5BBC">
        <w:t xml:space="preserve">Motor vehicle loans, where the debt was incurred within </w:t>
      </w:r>
      <w:r w:rsidRPr="007A5BBC">
        <w:rPr>
          <w:b/>
        </w:rPr>
        <w:t>910 days</w:t>
      </w:r>
      <w:r w:rsidRPr="007A5BBC">
        <w:t xml:space="preserve"> before bankruptcy, and the vehicle was acquired for the </w:t>
      </w:r>
      <w:r w:rsidRPr="007A5BBC">
        <w:rPr>
          <w:b/>
        </w:rPr>
        <w:t>personal use</w:t>
      </w:r>
      <w:r w:rsidRPr="007A5BBC">
        <w:t xml:space="preserve"> of the debtor; and</w:t>
      </w:r>
    </w:p>
    <w:p w14:paraId="18547FD1" w14:textId="15E37C95" w:rsidR="0031499C" w:rsidRPr="007A5BBC" w:rsidRDefault="0031499C" w:rsidP="007F3399">
      <w:pPr>
        <w:pStyle w:val="ListParagraph"/>
        <w:numPr>
          <w:ilvl w:val="0"/>
          <w:numId w:val="7"/>
        </w:numPr>
      </w:pPr>
      <w:r w:rsidRPr="007A5BBC">
        <w:t xml:space="preserve">Other property where the debt was incurred within </w:t>
      </w:r>
      <w:r w:rsidRPr="007A5BBC">
        <w:rPr>
          <w:b/>
        </w:rPr>
        <w:t>1 year</w:t>
      </w:r>
      <w:r w:rsidRPr="007A5BBC">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236947D8" w:rsidR="00D01E28" w:rsidRDefault="0031499C" w:rsidP="00F55BE5">
      <w:pPr>
        <w:ind w:firstLine="720"/>
        <w:jc w:val="both"/>
        <w:rPr>
          <w:rFonts w:ascii="Times New Roman" w:hAnsi="Times New Roman"/>
          <w:szCs w:val="24"/>
        </w:rPr>
      </w:pPr>
      <w:r w:rsidRPr="007A5BBC">
        <w:rPr>
          <w:rFonts w:ascii="Times New Roman" w:hAnsi="Times New Roman"/>
          <w:szCs w:val="24"/>
        </w:rPr>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Section 506(a)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18F5E3D7" w14:textId="77777777" w:rsidR="00BC225C" w:rsidRDefault="00BC225C" w:rsidP="00F55BE5">
      <w:pPr>
        <w:ind w:firstLine="720"/>
        <w:jc w:val="both"/>
        <w:rPr>
          <w:rFonts w:ascii="Times New Roman" w:hAnsi="Times New Roman"/>
          <w:szCs w:val="24"/>
        </w:rPr>
      </w:pPr>
    </w:p>
    <w:p w14:paraId="6E6225FE" w14:textId="5B6B099E" w:rsidR="00475827" w:rsidRPr="007A5BBC" w:rsidRDefault="00646EC9" w:rsidP="008C5540">
      <w:pPr>
        <w:pStyle w:val="Heading2"/>
        <w:spacing w:line="240" w:lineRule="auto"/>
      </w:pPr>
      <w:bookmarkStart w:id="5721" w:name="_Toc417380911"/>
      <w:bookmarkStart w:id="5722" w:name="_Toc79699311"/>
      <w:bookmarkStart w:id="5723" w:name="_Toc79699637"/>
      <w:bookmarkStart w:id="5724" w:name="_Toc79699975"/>
      <w:bookmarkStart w:id="5725" w:name="_Toc79700295"/>
      <w:bookmarkStart w:id="5726" w:name="_Toc79700617"/>
      <w:bookmarkStart w:id="5727" w:name="_Toc87039395"/>
      <w:bookmarkStart w:id="5728" w:name="_Toc90983791"/>
      <w:r>
        <w:t xml:space="preserve">Cases on </w:t>
      </w:r>
      <w:r w:rsidR="0031499C" w:rsidRPr="007A5BBC">
        <w:t>Restructuring Secured Claims in Chapter 13</w:t>
      </w:r>
      <w:bookmarkStart w:id="5729" w:name="_Toc79693169"/>
      <w:bookmarkStart w:id="5730" w:name="_Toc79693489"/>
      <w:bookmarkStart w:id="5731" w:name="_Toc79693809"/>
      <w:bookmarkStart w:id="5732" w:name="_Toc79694126"/>
      <w:bookmarkStart w:id="5733" w:name="_Toc79694764"/>
      <w:bookmarkStart w:id="5734" w:name="_Toc79695394"/>
      <w:bookmarkStart w:id="5735" w:name="_Toc7969764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r w:rsidR="008C5540">
        <w:br/>
      </w:r>
    </w:p>
    <w:p w14:paraId="2C0931A9" w14:textId="550D5536" w:rsidR="0026410E" w:rsidRPr="008C5540" w:rsidRDefault="007C1024" w:rsidP="008C5540">
      <w:pPr>
        <w:pStyle w:val="Heading3"/>
        <w:rPr>
          <w:u w:val="single"/>
        </w:rPr>
      </w:pPr>
      <w:hyperlink r:id="rId312" w:history="1">
        <w:bookmarkStart w:id="5736" w:name="_Toc87039396"/>
        <w:bookmarkStart w:id="5737" w:name="_Toc90983792"/>
        <w:r w:rsidR="0026410E" w:rsidRPr="008C5540">
          <w:rPr>
            <w:rStyle w:val="Hyperlink"/>
          </w:rPr>
          <w:t>T</w:t>
        </w:r>
        <w:r w:rsidR="00935DBB" w:rsidRPr="008C5540">
          <w:rPr>
            <w:rStyle w:val="Hyperlink"/>
          </w:rPr>
          <w:t xml:space="preserve">ILL v. SCS CREDIT CORP., </w:t>
        </w:r>
        <w:r w:rsidR="0026410E" w:rsidRPr="008C5540">
          <w:rPr>
            <w:rStyle w:val="Hyperlink"/>
          </w:rPr>
          <w:t>541 U.S. 465 (2004)</w:t>
        </w:r>
        <w:bookmarkEnd w:id="5736"/>
        <w:bookmarkEnd w:id="5737"/>
      </w:hyperlink>
      <w:r w:rsidR="0026410E" w:rsidRPr="008C5540">
        <w:rPr>
          <w:u w:val="single"/>
        </w:rPr>
        <w:t xml:space="preserve"> </w:t>
      </w:r>
      <w:bookmarkStart w:id="5738" w:name="_Toc79693170"/>
      <w:bookmarkStart w:id="5739" w:name="_Toc79693490"/>
      <w:bookmarkStart w:id="5740" w:name="_Toc79693810"/>
      <w:bookmarkStart w:id="5741" w:name="_Toc79694127"/>
      <w:bookmarkStart w:id="5742" w:name="_Toc79694445"/>
      <w:bookmarkStart w:id="5743" w:name="_Toc79694765"/>
      <w:bookmarkStart w:id="5744" w:name="_Toc79695079"/>
      <w:bookmarkStart w:id="5745" w:name="_Toc79695395"/>
      <w:bookmarkStart w:id="5746" w:name="_Toc79695711"/>
      <w:bookmarkStart w:id="5747" w:name="_Toc79696027"/>
      <w:bookmarkStart w:id="5748" w:name="_Toc79696343"/>
      <w:bookmarkStart w:id="5749" w:name="_Toc79696659"/>
      <w:bookmarkStart w:id="5750" w:name="_Toc79696980"/>
      <w:bookmarkStart w:id="5751" w:name="_Toc79697312"/>
      <w:bookmarkStart w:id="5752" w:name="_Toc79697641"/>
      <w:bookmarkStart w:id="5753" w:name="_Toc79699312"/>
      <w:bookmarkStart w:id="5754" w:name="_Toc79699638"/>
      <w:bookmarkStart w:id="5755" w:name="_Toc79699976"/>
      <w:bookmarkStart w:id="5756" w:name="_Toc79700296"/>
      <w:bookmarkStart w:id="5757" w:name="_Toc79700618"/>
      <w:bookmarkStart w:id="5758" w:name="_Toc79700940"/>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r w:rsidR="008C5540" w:rsidRPr="008C5540">
        <w:rPr>
          <w:u w:val="single"/>
        </w:rPr>
        <w:br/>
      </w:r>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Seventh Circuit majority held that the original contract rate should "serve as a presumptive [cramdown] rate," which either the creditor or the debtor could challenge with evidence that a higher or lower rate should apply.</w:t>
      </w:r>
    </w:p>
    <w:p w14:paraId="4E19C57B" w14:textId="71E35D8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11 </w:t>
      </w:r>
      <w:r w:rsidR="00B17D36">
        <w:rPr>
          <w:rFonts w:ascii="Times New Roman" w:hAnsi="Times New Roman"/>
          <w:szCs w:val="24"/>
        </w:rPr>
        <w:t>U.S.C.</w:t>
      </w:r>
      <w:r w:rsidRPr="007A5BBC">
        <w:rPr>
          <w:rFonts w:ascii="Times New Roman" w:hAnsi="Times New Roman"/>
          <w:szCs w:val="24"/>
        </w:rPr>
        <w:t xml:space="preserve"> § 1325(a)(5)(B), does not mention the term "discount rate" or the word "interest." Rather, it simply requires bankruptcy courts to ensure that the property to be distributed to a particular secured creditor over the life of a bankruptcy plan has a total "value, as of the effective date of the plan," that equals or exceeds the value of the creditor's allowed secured claim—in this case, $4,000. § 1325(a)(5)(B)(ii)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2314506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11 </w:t>
      </w:r>
      <w:r w:rsidR="00B17D36">
        <w:rPr>
          <w:rFonts w:ascii="Times New Roman" w:hAnsi="Times New Roman"/>
          <w:szCs w:val="24"/>
        </w:rPr>
        <w:t>U.S.C.</w:t>
      </w:r>
      <w:r w:rsidRPr="007A5BBC">
        <w:rPr>
          <w:rFonts w:ascii="Times New Roman" w:hAnsi="Times New Roman"/>
          <w:szCs w:val="24"/>
        </w:rPr>
        <w:t xml:space="preserve"> § 1325(a)(6),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6A14AE71" w14:textId="77777777" w:rsidR="0026410E" w:rsidRPr="007A5BBC" w:rsidRDefault="0026410E" w:rsidP="00935DBB">
      <w:pPr>
        <w:ind w:left="720"/>
        <w:jc w:val="both"/>
        <w:rPr>
          <w:rFonts w:ascii="Times New Roman" w:hAnsi="Times New Roman"/>
          <w:szCs w:val="24"/>
        </w:rPr>
      </w:pPr>
      <w:r w:rsidRPr="007A5BBC">
        <w:rPr>
          <w:rFonts w:ascii="Times New Roman" w:hAnsi="Times New Roman"/>
          <w:szCs w:val="24"/>
        </w:rPr>
        <w:t>JUSTICE SCALIA, with whom THE CHIEF JUSTICE, JUSTICE O'CONNOR, and JUSTICE KENNEDY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0F083450" w:rsidR="0031499C" w:rsidRDefault="0026410E" w:rsidP="00BA4893">
      <w:pPr>
        <w:ind w:firstLine="720"/>
        <w:jc w:val="both"/>
        <w:rPr>
          <w:rFonts w:ascii="Times New Roman" w:hAnsi="Times New Roman"/>
          <w:szCs w:val="24"/>
        </w:rPr>
      </w:pPr>
      <w:r w:rsidRPr="007A5BBC">
        <w:rPr>
          <w:rFonts w:ascii="Times New Roman" w:hAnsi="Times New Roman"/>
          <w:szCs w:val="24"/>
        </w:rPr>
        <w:t>Given the inherent uncertainty of the enterprise, what heartless bankruptcy judge can be expected to demand that the unfortunate debtor pay triple the prime rate as a condition of keeping his sole means of transportation? It challenges human nature.</w:t>
      </w:r>
    </w:p>
    <w:p w14:paraId="48CB8E2B" w14:textId="77777777" w:rsidR="008A26C8" w:rsidRPr="007A5BBC" w:rsidRDefault="008A26C8" w:rsidP="00BA4893">
      <w:pPr>
        <w:ind w:firstLine="720"/>
        <w:jc w:val="both"/>
        <w:rPr>
          <w:rFonts w:ascii="Times New Roman" w:hAnsi="Times New Roman"/>
          <w:szCs w:val="24"/>
        </w:rPr>
      </w:pPr>
    </w:p>
    <w:p w14:paraId="18461441" w14:textId="4419EECC" w:rsidR="00154A9A" w:rsidRPr="008A26C8" w:rsidRDefault="007C1024" w:rsidP="00D95675">
      <w:pPr>
        <w:pStyle w:val="Heading3"/>
        <w:rPr>
          <w:u w:val="single"/>
        </w:rPr>
      </w:pPr>
      <w:hyperlink r:id="rId313" w:history="1">
        <w:bookmarkStart w:id="5759" w:name="_Toc87039397"/>
        <w:bookmarkStart w:id="5760" w:name="_Toc90983793"/>
        <w:r w:rsidR="00154A9A" w:rsidRPr="008A26C8">
          <w:rPr>
            <w:rStyle w:val="Hyperlink"/>
          </w:rPr>
          <w:t>N</w:t>
        </w:r>
        <w:r w:rsidR="00935DBB" w:rsidRPr="008A26C8">
          <w:rPr>
            <w:rStyle w:val="Hyperlink"/>
          </w:rPr>
          <w:t xml:space="preserve">OBELMAN v. AMERICAN SAVINGS BANK, </w:t>
        </w:r>
        <w:r w:rsidR="00154A9A" w:rsidRPr="008A26C8">
          <w:rPr>
            <w:rStyle w:val="Hyperlink"/>
          </w:rPr>
          <w:t>508 U.S. 324 (1993)</w:t>
        </w:r>
        <w:bookmarkEnd w:id="5759"/>
        <w:bookmarkEnd w:id="5760"/>
      </w:hyperlink>
      <w:r w:rsidR="00407C0C" w:rsidRPr="008A26C8">
        <w:rPr>
          <w:rStyle w:val="Hyperlink"/>
        </w:rPr>
        <w:t xml:space="preserve"> </w:t>
      </w:r>
      <w:bookmarkStart w:id="5761" w:name="_Toc79693171"/>
      <w:bookmarkStart w:id="5762" w:name="_Toc79693491"/>
      <w:bookmarkStart w:id="5763" w:name="_Toc79693811"/>
      <w:bookmarkStart w:id="5764" w:name="_Toc79694128"/>
      <w:bookmarkStart w:id="5765" w:name="_Toc79694446"/>
      <w:bookmarkStart w:id="5766" w:name="_Toc79694766"/>
      <w:bookmarkStart w:id="5767" w:name="_Toc79695080"/>
      <w:bookmarkStart w:id="5768" w:name="_Toc79695396"/>
      <w:bookmarkStart w:id="5769" w:name="_Toc79695712"/>
      <w:bookmarkStart w:id="5770" w:name="_Toc79696028"/>
      <w:bookmarkStart w:id="5771" w:name="_Toc79696344"/>
      <w:bookmarkStart w:id="5772" w:name="_Toc79696660"/>
      <w:bookmarkStart w:id="5773" w:name="_Toc79696981"/>
      <w:bookmarkStart w:id="5774" w:name="_Toc79697313"/>
      <w:bookmarkStart w:id="5775" w:name="_Toc79697642"/>
      <w:bookmarkStart w:id="5776" w:name="_Toc79699313"/>
      <w:bookmarkStart w:id="5777" w:name="_Toc79699639"/>
      <w:bookmarkStart w:id="5778" w:name="_Toc79699977"/>
      <w:bookmarkStart w:id="5779" w:name="_Toc79700297"/>
      <w:bookmarkStart w:id="5780" w:name="_Toc79700619"/>
      <w:bookmarkStart w:id="5781" w:name="_Toc79700941"/>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r w:rsidR="008A26C8" w:rsidRPr="008A26C8">
        <w:rPr>
          <w:rStyle w:val="Hyperlink"/>
        </w:rPr>
        <w:br/>
      </w:r>
    </w:p>
    <w:p w14:paraId="5383D109" w14:textId="0649872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case focuses on the interplay between two provisions of the Bankruptcy Code. The question is whether § 1322(b)(2) prohibits a Chapter 13 debtor from relying</w:t>
      </w:r>
      <w:r w:rsidR="00D97CE1" w:rsidRPr="007A5BBC">
        <w:rPr>
          <w:rFonts w:ascii="Times New Roman" w:hAnsi="Times New Roman"/>
          <w:szCs w:val="24"/>
        </w:rPr>
        <w:t xml:space="preserve"> on § 506(a)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 506(a) of the Bankruptcy Code, petitioners proposed to treat the remainder of the bank's claim as unsecured. Under the plan, unsecured creditors would receive nothing.</w:t>
      </w:r>
    </w:p>
    <w:p w14:paraId="60B10026" w14:textId="0EF79BA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and an effectively worthless unsecured claim modified the bank's rights as a homestead mortgagee, in violation of 11 </w:t>
      </w:r>
      <w:r w:rsidR="00B17D36">
        <w:rPr>
          <w:rFonts w:ascii="Times New Roman" w:hAnsi="Times New Roman"/>
          <w:szCs w:val="24"/>
        </w:rPr>
        <w:t>U.S.C.</w:t>
      </w:r>
      <w:r w:rsidRPr="007A5BBC">
        <w:rPr>
          <w:rFonts w:ascii="Times New Roman" w:hAnsi="Times New Roman"/>
          <w:szCs w:val="24"/>
        </w:rPr>
        <w:t xml:space="preserve"> § 1322(b)(2). The Bankruptcy Court agreed with respondents and denied confirmation of the plan. The District Court affirmed, as did the Court of Appeals.</w:t>
      </w:r>
    </w:p>
    <w:p w14:paraId="015F98B0"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Section 1322(b)(2), the provision at issue here, allows modification of the rights of both secured and unsecured creditors, subject to special protection for creditors whose claims are secured only by a lien on the debtor's home. </w:t>
      </w:r>
    </w:p>
    <w:p w14:paraId="4B714B1D" w14:textId="485C914E"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The parties agree that the "other than" exception in § 1322(b)(2) proscribes modification of the rights of a homestead mortgagee. Petitioners maintain, however, that their Chapter 13 plan proposes no such modification. They argue that the protection of § 1322(b)(2) applies only to the extent the mortgagee holds a "secured claim" in the debtor's residence and that we must look first to § 506(a) to determine the value of the mortgagee's "secured claim." Petitioners contend that the valuation provided for in § 506(a)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plan effects no alteration of the bank's rights as the holder of that claim. Section 1322(b)(2), they assert, allows unconditional modification of the bank's leftover "unsecured claim."</w:t>
      </w:r>
    </w:p>
    <w:p w14:paraId="545B73B2" w14:textId="77777777"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This interpretation fails to take adequate account of § 1322(b)(2)'s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 1322(b)(2).</w:t>
      </w:r>
    </w:p>
    <w:p w14:paraId="53726900" w14:textId="3FE2342A"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11 </w:t>
      </w:r>
      <w:r w:rsidR="00B17D36">
        <w:rPr>
          <w:rFonts w:ascii="Times New Roman" w:hAnsi="Times New Roman"/>
          <w:szCs w:val="24"/>
        </w:rPr>
        <w:t>U.S.C.</w:t>
      </w:r>
      <w:r w:rsidRPr="007A5BBC">
        <w:rPr>
          <w:rFonts w:ascii="Times New Roman" w:hAnsi="Times New Roman"/>
          <w:szCs w:val="24"/>
        </w:rPr>
        <w:t xml:space="preserve"> § 362. In addition, § 1322(b)(5) permits the debtor to cure prepetition defaults on a home mortgage by paying off arrearages over the life of the plan "notwithstanding" the exception in § 1322(b)(2). These statutory limitations on the lender's rights, however, are independent of the debtor's plan or otherwise outside § 1322(b)(2)'s prohibition.</w:t>
      </w:r>
    </w:p>
    <w:p w14:paraId="43F6598B" w14:textId="31EAE685" w:rsidR="006B7C42" w:rsidRDefault="00154A9A" w:rsidP="00BA4893">
      <w:pPr>
        <w:ind w:firstLine="720"/>
        <w:jc w:val="both"/>
        <w:rPr>
          <w:rFonts w:ascii="Times New Roman" w:hAnsi="Times New Roman"/>
          <w:szCs w:val="24"/>
        </w:rPr>
      </w:pPr>
      <w:r w:rsidRPr="007A5BBC">
        <w:rPr>
          <w:rFonts w:ascii="Times New Roman" w:hAnsi="Times New Roman"/>
          <w:szCs w:val="24"/>
        </w:rPr>
        <w:t>[T]o give effect to § 506(a)'s valuation and bifurcation of secured claims through a Chapter 13 plan in the manner petitioners propose would require a modification of the rights of the holder of the security interest. Section 1322(b)(2) prohibits such a modification where, as here, the lender's claim is secured only by a lien on the debtor's principal residence.</w:t>
      </w:r>
    </w:p>
    <w:p w14:paraId="1B9A5110" w14:textId="77777777" w:rsidR="008A26C8" w:rsidRPr="007A5BBC" w:rsidRDefault="008A26C8" w:rsidP="00BA4893">
      <w:pPr>
        <w:ind w:firstLine="720"/>
        <w:jc w:val="both"/>
        <w:rPr>
          <w:rFonts w:ascii="Times New Roman" w:hAnsi="Times New Roman"/>
          <w:szCs w:val="24"/>
        </w:rPr>
      </w:pPr>
    </w:p>
    <w:p w14:paraId="173FA374" w14:textId="0A249700" w:rsidR="006B7C42" w:rsidRPr="008A26C8" w:rsidRDefault="007C1024" w:rsidP="00D95675">
      <w:pPr>
        <w:pStyle w:val="Heading3"/>
        <w:rPr>
          <w:u w:val="single"/>
        </w:rPr>
      </w:pPr>
      <w:hyperlink r:id="rId314" w:history="1">
        <w:bookmarkStart w:id="5782" w:name="_Toc87039398"/>
        <w:bookmarkStart w:id="5783" w:name="_Toc90983794"/>
        <w:r w:rsidR="006B7C42" w:rsidRPr="008A26C8">
          <w:rPr>
            <w:rStyle w:val="Hyperlink"/>
          </w:rPr>
          <w:t>I</w:t>
        </w:r>
        <w:r w:rsidR="00935DBB" w:rsidRPr="008A26C8">
          <w:rPr>
            <w:rStyle w:val="Hyperlink"/>
          </w:rPr>
          <w:t xml:space="preserve">N RE POND, </w:t>
        </w:r>
        <w:r w:rsidR="008B5ADA" w:rsidRPr="008A26C8">
          <w:rPr>
            <w:rStyle w:val="Hyperlink"/>
          </w:rPr>
          <w:t>252</w:t>
        </w:r>
        <w:r w:rsidR="00407C0C" w:rsidRPr="008A26C8">
          <w:rPr>
            <w:rStyle w:val="Hyperlink"/>
          </w:rPr>
          <w:t xml:space="preserve"> </w:t>
        </w:r>
        <w:r w:rsidR="008B5ADA" w:rsidRPr="008A26C8">
          <w:rPr>
            <w:rStyle w:val="Hyperlink"/>
          </w:rPr>
          <w:t>F</w:t>
        </w:r>
        <w:r w:rsidR="00407C0C" w:rsidRPr="008A26C8">
          <w:rPr>
            <w:rStyle w:val="Hyperlink"/>
          </w:rPr>
          <w:t>.</w:t>
        </w:r>
        <w:r w:rsidR="008B5ADA" w:rsidRPr="008A26C8">
          <w:rPr>
            <w:rStyle w:val="Hyperlink"/>
          </w:rPr>
          <w:t>3</w:t>
        </w:r>
        <w:r w:rsidR="00407C0C" w:rsidRPr="008A26C8">
          <w:rPr>
            <w:rStyle w:val="Hyperlink"/>
          </w:rPr>
          <w:t xml:space="preserve">d </w:t>
        </w:r>
        <w:r w:rsidR="008B5ADA" w:rsidRPr="008A26C8">
          <w:rPr>
            <w:rStyle w:val="Hyperlink"/>
          </w:rPr>
          <w:t>122</w:t>
        </w:r>
        <w:r w:rsidR="00407C0C" w:rsidRPr="008A26C8">
          <w:rPr>
            <w:rStyle w:val="Hyperlink"/>
          </w:rPr>
          <w:t xml:space="preserve"> </w:t>
        </w:r>
        <w:r w:rsidR="008B5ADA" w:rsidRPr="008A26C8">
          <w:rPr>
            <w:rStyle w:val="Hyperlink"/>
          </w:rPr>
          <w:t>(2</w:t>
        </w:r>
        <w:r w:rsidR="006B7C42" w:rsidRPr="008A26C8">
          <w:rPr>
            <w:rStyle w:val="Hyperlink"/>
          </w:rPr>
          <w:t>d Cir. 2001)</w:t>
        </w:r>
        <w:bookmarkEnd w:id="5782"/>
        <w:bookmarkEnd w:id="5783"/>
      </w:hyperlink>
      <w:bookmarkStart w:id="5784" w:name="_Toc79693172"/>
      <w:bookmarkStart w:id="5785" w:name="_Toc79693492"/>
      <w:bookmarkStart w:id="5786" w:name="_Toc79693812"/>
      <w:bookmarkStart w:id="5787" w:name="_Toc79694129"/>
      <w:bookmarkStart w:id="5788" w:name="_Toc79694447"/>
      <w:bookmarkStart w:id="5789" w:name="_Toc79694767"/>
      <w:bookmarkStart w:id="5790" w:name="_Toc79695081"/>
      <w:bookmarkStart w:id="5791" w:name="_Toc79695397"/>
      <w:bookmarkStart w:id="5792" w:name="_Toc79695713"/>
      <w:bookmarkStart w:id="5793" w:name="_Toc79696029"/>
      <w:bookmarkStart w:id="5794" w:name="_Toc79696345"/>
      <w:bookmarkStart w:id="5795" w:name="_Toc79696661"/>
      <w:bookmarkStart w:id="5796" w:name="_Toc79696982"/>
      <w:bookmarkStart w:id="5797" w:name="_Toc79697314"/>
      <w:bookmarkStart w:id="5798" w:name="_Toc79697643"/>
      <w:bookmarkStart w:id="5799" w:name="_Toc79699314"/>
      <w:bookmarkStart w:id="5800" w:name="_Toc79699640"/>
      <w:bookmarkStart w:id="5801" w:name="_Toc79699978"/>
      <w:bookmarkStart w:id="5802" w:name="_Toc79700298"/>
      <w:bookmarkStart w:id="5803" w:name="_Toc79700620"/>
      <w:bookmarkStart w:id="5804" w:name="_Toc79700942"/>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r w:rsidR="008A26C8" w:rsidRPr="008A26C8">
        <w:rPr>
          <w:rStyle w:val="Hyperlink"/>
        </w:rPr>
        <w:br/>
      </w:r>
    </w:p>
    <w:p w14:paraId="7F6E614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We are asked to decide whether, under 11 U.S.C. § 1322(b)(2),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York State Affordable Housing Corporation; and (4) $10,630.58 for defendants' mortgage. The first three liens amounted to an encumbrance of $70,500.81; accordingly, plaintiffs' property, valued at $69,000, had insufficient equity to cover any portion of defendants' lien.</w:t>
      </w:r>
    </w:p>
    <w:p w14:paraId="1BB66265" w14:textId="2EEC333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In August 1996, plaintiffs commenced this action to dissolve defendants' lien under 11 U.S.C. § 1322(b)(2). Plaintiffs argued that defendants' lien was wholly unsecured under 11 U.S.C. § 506 and, therefore, not entitled to the protection against modification under 11 U.S.C. § 1322(b)(2) accorded to claims "secured" solely by a debtor's principal residence. The Bankruptcy Court rejected this argument. It held that defendants' lien could not be modified under 11 U.S.C. § 1322(b)(2)</w:t>
      </w:r>
      <w:r w:rsidR="005F6A8B">
        <w:rPr>
          <w:rFonts w:ascii="Times New Roman" w:hAnsi="Times New Roman"/>
          <w:szCs w:val="24"/>
        </w:rPr>
        <w:t xml:space="preserve">. </w:t>
      </w:r>
      <w:r w:rsidRPr="007A5BBC">
        <w:rPr>
          <w:rFonts w:ascii="Times New Roman" w:hAnsi="Times New Roman"/>
          <w:szCs w:val="24"/>
        </w:rPr>
        <w:t xml:space="preserve">The District Court reversed. It held that the statutory prohibition against modification does not apply to a holder of a wholly unsecured lien under 11 U.S.C. § 506, because such a lien is not "secured" by a residential property within the meaning of 11 U.S.C. § 1322(b)(2). </w:t>
      </w:r>
    </w:p>
    <w:p w14:paraId="3EE97377"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The question presented here is whether defendants' lien falls within the antimodification exception of Section 1322(b)(2) for claims "secured only by a security interest in ... the debtor's principal residence," because it is wholly "unsecured" under Section 506(a).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Section 506(a) to determine whether any part of the creditor's claim was secured. Once the Court determined that the creditor's claim was at least partially secured under this provision, it held that the antimodification exception of Section 1322(b)(2) protected the creditor's rights in the entire claim. According to the majority view, therefore, the antimodification exception applies only where a creditor's claim is at least partially secured under Section 506(a).</w:t>
      </w:r>
    </w:p>
    <w:p w14:paraId="2F8F330A"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Section 1322(b)(2) because to do so would modify the "rights of holders of ... a claim secured only by a security interest in ... the debtor's principal residence," 11 U.S.C. § 1322(b)(2).</w:t>
      </w:r>
    </w:p>
    <w:p w14:paraId="23A5E0C6" w14:textId="38C199B7" w:rsidR="006B7C42"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as well as the language of the statute, that the antimodification exception of Section 1322(b)(2) protects a creditor's rights in a mortgage lien only where the debtor's residence retains enough value — after accounting for other encumbrances that have priority over the lien — so that the lien is at least partially secured under Section 506(a). We therefore join the Third, Fifth, and Eleventh Circuits, as well as the Bankruptcy Appellate Panels of the First and Ninth Circuits, in holding that a wholly unsecured claim, as defined under Section 506(a), is not protected under the antimodification exception of Section 1322(b)(2).</w:t>
      </w:r>
    </w:p>
    <w:p w14:paraId="7632DC97" w14:textId="77777777" w:rsidR="008A26C8" w:rsidRPr="007A5BBC" w:rsidRDefault="008A26C8" w:rsidP="00BA4893">
      <w:pPr>
        <w:ind w:firstLine="720"/>
        <w:jc w:val="both"/>
        <w:rPr>
          <w:rFonts w:ascii="Times New Roman" w:hAnsi="Times New Roman"/>
          <w:szCs w:val="24"/>
        </w:rPr>
      </w:pPr>
    </w:p>
    <w:p w14:paraId="7E7E0798" w14:textId="3A10B0D2" w:rsidR="006B7C42" w:rsidRPr="007A5BBC" w:rsidRDefault="00A215F1" w:rsidP="00D95675">
      <w:pPr>
        <w:pStyle w:val="Heading3"/>
      </w:pPr>
      <w:bookmarkStart w:id="5805" w:name="_Toc87039399"/>
      <w:bookmarkStart w:id="5806" w:name="_Toc90983795"/>
      <w:r w:rsidRPr="007A5BBC">
        <w:t xml:space="preserve">Question: Is </w:t>
      </w:r>
      <w:r w:rsidRPr="007A5BBC">
        <w:rPr>
          <w:i/>
        </w:rPr>
        <w:t>I</w:t>
      </w:r>
      <w:r w:rsidR="00406B5E">
        <w:rPr>
          <w:i/>
        </w:rPr>
        <w:t>N RE</w:t>
      </w:r>
      <w:r w:rsidRPr="007A5BBC">
        <w:rPr>
          <w:i/>
        </w:rPr>
        <w:t xml:space="preserve"> P</w:t>
      </w:r>
      <w:r w:rsidR="00406B5E">
        <w:rPr>
          <w:i/>
        </w:rPr>
        <w:t>OND</w:t>
      </w:r>
      <w:r w:rsidRPr="007A5BBC">
        <w:t xml:space="preserve"> Still Good Law?</w:t>
      </w:r>
      <w:bookmarkStart w:id="5807" w:name="_Toc79693173"/>
      <w:bookmarkStart w:id="5808" w:name="_Toc79693493"/>
      <w:bookmarkStart w:id="5809" w:name="_Toc79693813"/>
      <w:bookmarkStart w:id="5810" w:name="_Toc79694130"/>
      <w:bookmarkStart w:id="5811" w:name="_Toc79694448"/>
      <w:bookmarkStart w:id="5812" w:name="_Toc79694768"/>
      <w:bookmarkStart w:id="5813" w:name="_Toc79695082"/>
      <w:bookmarkStart w:id="5814" w:name="_Toc79695398"/>
      <w:bookmarkStart w:id="5815" w:name="_Toc79695714"/>
      <w:bookmarkStart w:id="5816" w:name="_Toc79696030"/>
      <w:bookmarkStart w:id="5817" w:name="_Toc79696346"/>
      <w:bookmarkStart w:id="5818" w:name="_Toc79696662"/>
      <w:bookmarkStart w:id="5819" w:name="_Toc79696983"/>
      <w:bookmarkStart w:id="5820" w:name="_Toc79697315"/>
      <w:bookmarkStart w:id="5821" w:name="_Toc79697644"/>
      <w:bookmarkStart w:id="5822" w:name="_Toc79699315"/>
      <w:bookmarkStart w:id="5823" w:name="_Toc79699641"/>
      <w:bookmarkStart w:id="5824" w:name="_Toc79699979"/>
      <w:bookmarkStart w:id="5825" w:name="_Toc79700299"/>
      <w:bookmarkStart w:id="5826" w:name="_Toc79700621"/>
      <w:bookmarkStart w:id="5827" w:name="_Toc79700943"/>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r w:rsidR="008A26C8">
        <w:br/>
      </w:r>
    </w:p>
    <w:p w14:paraId="4ABC82F3" w14:textId="18DCFDBB" w:rsidR="00A215F1" w:rsidRDefault="00A215F1" w:rsidP="00F722AF">
      <w:pPr>
        <w:ind w:firstLine="720"/>
        <w:jc w:val="both"/>
        <w:rPr>
          <w:rFonts w:ascii="Times New Roman" w:hAnsi="Times New Roman"/>
          <w:szCs w:val="24"/>
        </w:rPr>
      </w:pPr>
      <w:r w:rsidRPr="007A5BBC">
        <w:rPr>
          <w:rFonts w:ascii="Times New Roman" w:hAnsi="Times New Roman"/>
          <w:szCs w:val="24"/>
        </w:rPr>
        <w:t xml:space="preserve">Consider the effect of the Supreme Court’s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If wholly unsecured junior home mortgages cannot be stripped in Chapter 7 under</w:t>
      </w:r>
      <w:r w:rsidR="00407C0C">
        <w:rPr>
          <w:rFonts w:ascii="Times New Roman" w:hAnsi="Times New Roman"/>
          <w:szCs w:val="24"/>
        </w:rPr>
        <w:t xml:space="preserve"> 11 U.S.C. § </w:t>
      </w:r>
      <w:r w:rsidR="00F722AF" w:rsidRPr="007A5BBC">
        <w:rPr>
          <w:rFonts w:ascii="Times New Roman" w:hAnsi="Times New Roman"/>
          <w:szCs w:val="24"/>
        </w:rPr>
        <w:t>506(d)</w:t>
      </w:r>
      <w:r w:rsidR="00407C0C">
        <w:rPr>
          <w:rFonts w:ascii="Times New Roman" w:hAnsi="Times New Roman"/>
          <w:szCs w:val="24"/>
        </w:rPr>
        <w:t xml:space="preserve">, </w:t>
      </w:r>
      <w:r w:rsidR="00F722AF" w:rsidRPr="007A5BBC">
        <w:rPr>
          <w:rFonts w:ascii="Times New Roman" w:hAnsi="Times New Roman"/>
          <w:szCs w:val="24"/>
        </w:rPr>
        <w:t xml:space="preserve">can </w:t>
      </w:r>
      <w:r w:rsidR="00407C0C">
        <w:rPr>
          <w:rFonts w:ascii="Times New Roman" w:hAnsi="Times New Roman"/>
          <w:szCs w:val="24"/>
        </w:rPr>
        <w:t xml:space="preserve">an unsecured junior home mortgage </w:t>
      </w:r>
      <w:r w:rsidR="00F722AF" w:rsidRPr="007A5BBC">
        <w:rPr>
          <w:rFonts w:ascii="Times New Roman" w:hAnsi="Times New Roman"/>
          <w:szCs w:val="24"/>
        </w:rPr>
        <w:t>be modified over the anti</w:t>
      </w:r>
      <w:r w:rsidR="00407C0C">
        <w:rPr>
          <w:rFonts w:ascii="Times New Roman" w:hAnsi="Times New Roman"/>
          <w:szCs w:val="24"/>
        </w:rPr>
        <w:t>-</w:t>
      </w:r>
      <w:r w:rsidR="00F722AF" w:rsidRPr="007A5BBC">
        <w:rPr>
          <w:rFonts w:ascii="Times New Roman" w:hAnsi="Times New Roman"/>
          <w:szCs w:val="24"/>
        </w:rPr>
        <w:t xml:space="preserve">modification rule in Section 1322(b)(2)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r w:rsidR="00407C0C">
        <w:rPr>
          <w:rFonts w:ascii="Times New Roman" w:hAnsi="Times New Roman"/>
          <w:szCs w:val="24"/>
        </w:rPr>
        <w:t xml:space="preserve">So far, courts in the Second Circuit have distinguished </w:t>
      </w:r>
      <w:r w:rsidR="00D50178">
        <w:rPr>
          <w:rFonts w:ascii="Times New Roman" w:hAnsi="Times New Roman"/>
          <w:szCs w:val="24"/>
        </w:rPr>
        <w:t>the two</w:t>
      </w:r>
      <w:r w:rsidR="00407C0C">
        <w:rPr>
          <w:rFonts w:ascii="Times New Roman" w:hAnsi="Times New Roman"/>
          <w:szCs w:val="24"/>
        </w:rPr>
        <w:t xml:space="preserve"> cases, holding that </w:t>
      </w:r>
      <w:r w:rsidR="00407C0C" w:rsidRPr="00407C0C">
        <w:rPr>
          <w:rFonts w:ascii="Times New Roman" w:hAnsi="Times New Roman"/>
          <w:i/>
          <w:iCs/>
          <w:szCs w:val="24"/>
        </w:rPr>
        <w:t>Caulkett</w:t>
      </w:r>
      <w:r w:rsidR="00407C0C">
        <w:rPr>
          <w:rFonts w:ascii="Times New Roman" w:hAnsi="Times New Roman"/>
          <w:szCs w:val="24"/>
        </w:rPr>
        <w:t xml:space="preserve"> applies in Chapter 7, and </w:t>
      </w:r>
      <w:r w:rsidR="00407C0C" w:rsidRPr="00407C0C">
        <w:rPr>
          <w:rFonts w:ascii="Times New Roman" w:hAnsi="Times New Roman"/>
          <w:i/>
          <w:iCs/>
          <w:szCs w:val="24"/>
        </w:rPr>
        <w:t>Pond</w:t>
      </w:r>
      <w:r w:rsidR="00407C0C">
        <w:rPr>
          <w:rFonts w:ascii="Times New Roman" w:hAnsi="Times New Roman"/>
          <w:szCs w:val="24"/>
        </w:rPr>
        <w:t xml:space="preserve"> applies </w:t>
      </w:r>
      <w:r w:rsidR="00E34AF9">
        <w:rPr>
          <w:rFonts w:ascii="Times New Roman" w:hAnsi="Times New Roman"/>
          <w:szCs w:val="24"/>
        </w:rPr>
        <w:t xml:space="preserve">to wholly unsecured mortgages </w:t>
      </w:r>
      <w:r w:rsidR="00407C0C">
        <w:rPr>
          <w:rFonts w:ascii="Times New Roman" w:hAnsi="Times New Roman"/>
          <w:szCs w:val="24"/>
        </w:rPr>
        <w:t>in Chapter 13</w:t>
      </w:r>
      <w:r w:rsidR="00083725">
        <w:rPr>
          <w:rFonts w:ascii="Times New Roman" w:hAnsi="Times New Roman"/>
          <w:szCs w:val="24"/>
        </w:rPr>
        <w:t xml:space="preserve">. </w:t>
      </w:r>
      <w:r w:rsidR="00D27771" w:rsidRPr="00D27771">
        <w:rPr>
          <w:rFonts w:ascii="Times New Roman" w:hAnsi="Times New Roman"/>
          <w:i/>
          <w:iCs/>
          <w:szCs w:val="24"/>
        </w:rPr>
        <w:t>See</w:t>
      </w:r>
      <w:r w:rsidR="00D27771">
        <w:rPr>
          <w:rFonts w:ascii="Times New Roman" w:hAnsi="Times New Roman"/>
          <w:szCs w:val="24"/>
        </w:rPr>
        <w:t xml:space="preserve"> </w:t>
      </w:r>
      <w:r w:rsidR="00D27771" w:rsidRPr="00D27771">
        <w:rPr>
          <w:rFonts w:ascii="Times New Roman" w:hAnsi="Times New Roman"/>
          <w:i/>
          <w:iCs/>
          <w:szCs w:val="24"/>
        </w:rPr>
        <w:t>In re Orkwis</w:t>
      </w:r>
      <w:r w:rsidR="00D27771" w:rsidRPr="00D27771">
        <w:rPr>
          <w:rFonts w:ascii="Times New Roman" w:hAnsi="Times New Roman"/>
          <w:szCs w:val="24"/>
        </w:rPr>
        <w:t>, 457 B.R. 243, 247 (Bankr. E.D.N.Y. 2011)</w:t>
      </w:r>
      <w:r w:rsidR="00D27771">
        <w:rPr>
          <w:rFonts w:ascii="Times New Roman" w:hAnsi="Times New Roman"/>
          <w:szCs w:val="24"/>
        </w:rPr>
        <w:t>.</w:t>
      </w:r>
      <w:r w:rsidR="00E34AF9">
        <w:rPr>
          <w:rFonts w:ascii="Times New Roman" w:hAnsi="Times New Roman"/>
          <w:szCs w:val="24"/>
        </w:rPr>
        <w:t xml:space="preserve"> There is also controversy about whether statutory liens on a home can be modified under Chapter 13. In </w:t>
      </w:r>
      <w:hyperlink r:id="rId315" w:history="1">
        <w:r w:rsidR="00E34AF9" w:rsidRPr="00E34AF9">
          <w:rPr>
            <w:rStyle w:val="Hyperlink"/>
            <w:rFonts w:ascii="Times New Roman" w:hAnsi="Times New Roman"/>
            <w:i/>
            <w:iCs/>
            <w:szCs w:val="24"/>
          </w:rPr>
          <w:t>In re Walker</w:t>
        </w:r>
      </w:hyperlink>
      <w:r w:rsidR="00E34AF9">
        <w:rPr>
          <w:rFonts w:ascii="Times New Roman" w:hAnsi="Times New Roman"/>
          <w:szCs w:val="24"/>
        </w:rPr>
        <w:t xml:space="preserve">, </w:t>
      </w:r>
      <w:r w:rsidR="00E34AF9" w:rsidRPr="00E34AF9">
        <w:rPr>
          <w:rFonts w:ascii="Times New Roman" w:hAnsi="Times New Roman"/>
          <w:szCs w:val="24"/>
        </w:rPr>
        <w:t>Case No. 17-36804 (CGM)</w:t>
      </w:r>
      <w:r w:rsidR="00E34AF9">
        <w:rPr>
          <w:rFonts w:ascii="Times New Roman" w:hAnsi="Times New Roman"/>
          <w:szCs w:val="24"/>
        </w:rPr>
        <w:t xml:space="preserve"> (Bankr. SDNY (2018), a bankruptcy court held that an IRS statutory lien could be split under Section 506(a) because the </w:t>
      </w:r>
      <w:r w:rsidR="00E34AF9" w:rsidRPr="00E34AF9">
        <w:rPr>
          <w:rFonts w:ascii="Times New Roman" w:hAnsi="Times New Roman"/>
          <w:i/>
          <w:iCs/>
          <w:szCs w:val="24"/>
        </w:rPr>
        <w:t>Nobelman</w:t>
      </w:r>
      <w:r w:rsidR="00E34AF9">
        <w:rPr>
          <w:rFonts w:ascii="Times New Roman" w:hAnsi="Times New Roman"/>
          <w:szCs w:val="24"/>
        </w:rPr>
        <w:t xml:space="preserve"> rule was enacted to protect consensual mortgagees, not the IRS. Is that right?</w:t>
      </w:r>
    </w:p>
    <w:p w14:paraId="384C11CF" w14:textId="77777777" w:rsidR="008A26C8" w:rsidRPr="007A5BBC" w:rsidRDefault="008A26C8" w:rsidP="00F722AF">
      <w:pPr>
        <w:ind w:firstLine="720"/>
        <w:jc w:val="both"/>
        <w:rPr>
          <w:rFonts w:ascii="Times New Roman" w:hAnsi="Times New Roman"/>
          <w:szCs w:val="24"/>
        </w:rPr>
      </w:pPr>
    </w:p>
    <w:p w14:paraId="3703BCF7" w14:textId="298BC472" w:rsidR="0031499C" w:rsidRPr="007A5BBC" w:rsidRDefault="0031499C" w:rsidP="008A26C8">
      <w:pPr>
        <w:pStyle w:val="Heading2"/>
        <w:spacing w:line="240" w:lineRule="auto"/>
      </w:pPr>
      <w:bookmarkStart w:id="5828" w:name="_Toc417380912"/>
      <w:bookmarkStart w:id="5829" w:name="_Toc79699316"/>
      <w:bookmarkStart w:id="5830" w:name="_Toc79699642"/>
      <w:bookmarkStart w:id="5831" w:name="_Toc79699980"/>
      <w:bookmarkStart w:id="5832" w:name="_Toc79700300"/>
      <w:bookmarkStart w:id="5833" w:name="_Toc79700622"/>
      <w:bookmarkStart w:id="5834" w:name="_Toc87039400"/>
      <w:bookmarkStart w:id="5835" w:name="_Toc90983796"/>
      <w:r w:rsidRPr="007A5BBC">
        <w:t xml:space="preserve">Unsecured </w:t>
      </w:r>
      <w:r w:rsidR="006B7C42" w:rsidRPr="007A5BBC">
        <w:t>C</w:t>
      </w:r>
      <w:r w:rsidRPr="007A5BBC">
        <w:t>laims</w:t>
      </w:r>
      <w:r w:rsidR="006B7C42" w:rsidRPr="007A5BBC">
        <w:t xml:space="preserve"> in Chapter 13</w:t>
      </w:r>
      <w:bookmarkStart w:id="5836" w:name="_Toc79693174"/>
      <w:bookmarkStart w:id="5837" w:name="_Toc79693494"/>
      <w:bookmarkStart w:id="5838" w:name="_Toc79693814"/>
      <w:bookmarkStart w:id="5839" w:name="_Toc79694131"/>
      <w:bookmarkStart w:id="5840" w:name="_Toc79694769"/>
      <w:bookmarkStart w:id="5841" w:name="_Toc79695399"/>
      <w:bookmarkStart w:id="5842" w:name="_Toc79697645"/>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r w:rsidR="008A26C8">
        <w:br/>
      </w:r>
    </w:p>
    <w:p w14:paraId="52118D00" w14:textId="5810E223"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The debtor must surmount the following hurdles in order to confirm a Chapter 13 plan if any creditor objects:</w:t>
      </w:r>
      <w:r w:rsidR="00955907" w:rsidRPr="007A5BBC">
        <w:rPr>
          <w:rFonts w:ascii="Times New Roman" w:hAnsi="Times New Roman"/>
          <w:szCs w:val="24"/>
        </w:rPr>
        <w:t xml:space="preserve">  </w:t>
      </w:r>
    </w:p>
    <w:p w14:paraId="0FED7389" w14:textId="4F97CE53" w:rsidR="00935DBB" w:rsidRPr="007835A1" w:rsidRDefault="00955907" w:rsidP="007F3399">
      <w:pPr>
        <w:pStyle w:val="ListParagraph"/>
        <w:numPr>
          <w:ilvl w:val="0"/>
          <w:numId w:val="8"/>
        </w:numPr>
        <w:rPr>
          <w:b/>
          <w:bCs/>
        </w:rPr>
      </w:pPr>
      <w:r w:rsidRPr="007835A1">
        <w:rPr>
          <w:b/>
          <w:bCs/>
        </w:rPr>
        <w:t>Priority Claims Paid in Full</w:t>
      </w:r>
      <w:r w:rsidR="007835A1">
        <w:rPr>
          <w:b/>
          <w:bCs/>
        </w:rPr>
        <w:t>.</w:t>
      </w:r>
    </w:p>
    <w:p w14:paraId="706CE293" w14:textId="6791C5F4"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r w:rsidR="00111734" w:rsidRPr="00935DBB">
        <w:rPr>
          <w:rFonts w:ascii="Times New Roman" w:hAnsi="Times New Roman"/>
          <w:szCs w:val="24"/>
        </w:rPr>
        <w:t>11 U.S.C. § 1322(a)(2)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r w:rsidR="00111734" w:rsidRPr="00935DBB">
        <w:rPr>
          <w:rFonts w:ascii="Times New Roman" w:hAnsi="Times New Roman"/>
          <w:szCs w:val="24"/>
        </w:rPr>
        <w:t>11 U.S.C. § 1322(a)(3)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EC751BE" w:rsidR="00935DBB" w:rsidRPr="007835A1" w:rsidRDefault="00111734" w:rsidP="007F3399">
      <w:pPr>
        <w:pStyle w:val="ListParagraph"/>
        <w:numPr>
          <w:ilvl w:val="0"/>
          <w:numId w:val="8"/>
        </w:numPr>
        <w:rPr>
          <w:b/>
          <w:bCs/>
        </w:rPr>
      </w:pPr>
      <w:r w:rsidRPr="007835A1">
        <w:rPr>
          <w:b/>
          <w:bCs/>
        </w:rPr>
        <w:t>Best Interests of Creditors Test</w:t>
      </w:r>
      <w:r w:rsidR="007835A1">
        <w:rPr>
          <w:b/>
          <w:bCs/>
        </w:rPr>
        <w:t>.</w:t>
      </w:r>
    </w:p>
    <w:p w14:paraId="358E65C3" w14:textId="61DF328E"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r w:rsidRPr="00935DBB">
        <w:rPr>
          <w:rFonts w:ascii="Times New Roman" w:hAnsi="Times New Roman"/>
          <w:szCs w:val="24"/>
        </w:rPr>
        <w:t>11 U.S.C. § 1325(a)(4)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Pr="00935DBB" w:rsidRDefault="0014441A" w:rsidP="00935DBB">
      <w:pPr>
        <w:ind w:firstLine="720"/>
        <w:jc w:val="both"/>
        <w:rPr>
          <w:rFonts w:ascii="Times New Roman" w:hAnsi="Times New Roman"/>
          <w:szCs w:val="24"/>
        </w:rPr>
      </w:pPr>
      <w:r>
        <w:rPr>
          <w:rFonts w:ascii="Times New Roman" w:hAnsi="Times New Roman"/>
          <w:szCs w:val="24"/>
        </w:rPr>
        <w:t>Exemptions, which are normally irrelevant in Chapter 13 because the debtor may keep all property, exempt or not, become relevant when performing hypothetical liquidation analysis because you must calculate what creditors would have received in the hypothetical Chapter 7 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051C6526" w14:textId="3D7864FF" w:rsidR="00935DBB" w:rsidRPr="007835A1" w:rsidRDefault="00935DBB" w:rsidP="007F3399">
      <w:pPr>
        <w:pStyle w:val="ListParagraph"/>
        <w:numPr>
          <w:ilvl w:val="0"/>
          <w:numId w:val="8"/>
        </w:numPr>
        <w:rPr>
          <w:b/>
          <w:bCs/>
        </w:rPr>
      </w:pPr>
      <w:r w:rsidRPr="007835A1">
        <w:rPr>
          <w:b/>
          <w:bCs/>
        </w:rPr>
        <w:t xml:space="preserve"> </w:t>
      </w:r>
      <w:r w:rsidR="00AD2648" w:rsidRPr="007835A1">
        <w:rPr>
          <w:b/>
          <w:bCs/>
        </w:rPr>
        <w:t>Projected Disposable Income Test</w:t>
      </w:r>
      <w:r w:rsidR="007835A1">
        <w:rPr>
          <w:b/>
          <w:bCs/>
        </w:rPr>
        <w:t>.</w:t>
      </w:r>
    </w:p>
    <w:p w14:paraId="20B27143" w14:textId="58507520"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r w:rsidRPr="00935DBB">
        <w:rPr>
          <w:rFonts w:ascii="Times New Roman" w:hAnsi="Times New Roman"/>
          <w:szCs w:val="24"/>
        </w:rPr>
        <w:t xml:space="preserve">11 U.S.C. § 1325(b)(1). </w:t>
      </w:r>
    </w:p>
    <w:p w14:paraId="4C7E9906" w14:textId="7BD794C5"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11 U.S.C. </w:t>
      </w:r>
      <w:r w:rsidR="00EA711A">
        <w:rPr>
          <w:rFonts w:ascii="Times New Roman" w:hAnsi="Times New Roman"/>
          <w:szCs w:val="24"/>
        </w:rPr>
        <w:t>§ 101(10A)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(11 U.S.C. § 1</w:t>
      </w:r>
      <w:r w:rsidR="00CD106E">
        <w:rPr>
          <w:rFonts w:ascii="Times New Roman" w:hAnsi="Times New Roman"/>
          <w:szCs w:val="24"/>
        </w:rPr>
        <w:t>325(b)(2)),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(11 U.S.C. § 1325(b)(3), which references 11 U.S.C. § 707(b)(2)(A)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0D6A5E01"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Pr="007835A1" w:rsidRDefault="00BC0053" w:rsidP="007F3399">
      <w:pPr>
        <w:pStyle w:val="ListParagraph"/>
        <w:numPr>
          <w:ilvl w:val="0"/>
          <w:numId w:val="8"/>
        </w:numPr>
        <w:rPr>
          <w:b/>
          <w:bCs/>
        </w:rPr>
      </w:pPr>
      <w:bookmarkStart w:id="5843" w:name="_Hlk90563256"/>
      <w:r w:rsidRPr="007835A1">
        <w:rPr>
          <w:b/>
          <w:bCs/>
        </w:rPr>
        <w:t>Equal Treatment and Co-Debtor Exception</w:t>
      </w:r>
      <w:r w:rsidR="005F6A8B" w:rsidRPr="007835A1">
        <w:rPr>
          <w:b/>
          <w:bCs/>
        </w:rPr>
        <w:t xml:space="preserve">. </w:t>
      </w:r>
    </w:p>
    <w:p w14:paraId="5C79D769" w14:textId="68A0E653" w:rsidR="00BC0053" w:rsidRDefault="0089216B" w:rsidP="00935DBB">
      <w:pPr>
        <w:ind w:firstLine="720"/>
        <w:jc w:val="both"/>
        <w:rPr>
          <w:rFonts w:ascii="Times New Roman" w:hAnsi="Times New Roman"/>
          <w:szCs w:val="24"/>
        </w:rPr>
      </w:pPr>
      <w:bookmarkStart w:id="5844" w:name="_Hlk90563279"/>
      <w:bookmarkEnd w:id="5843"/>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There may be some small leeway for a debtor to separately classify non-priority unsecured claims through the reference in Section 1322(b)(1) to the Chapter 11 classification rule in Section 1122, but for the most part the debtor must treat general unsecured claims the same way</w:t>
      </w:r>
      <w:r w:rsidR="005F6A8B">
        <w:rPr>
          <w:rFonts w:ascii="Times New Roman" w:hAnsi="Times New Roman"/>
          <w:szCs w:val="24"/>
        </w:rPr>
        <w:t>.</w:t>
      </w:r>
      <w:bookmarkEnd w:id="5844"/>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Section 1322(b)(2)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FB0F2AA" w14:textId="77777777" w:rsidR="000D7676" w:rsidRPr="00935DBB" w:rsidRDefault="000D7676" w:rsidP="00935DBB">
      <w:pPr>
        <w:ind w:firstLine="720"/>
        <w:jc w:val="both"/>
        <w:rPr>
          <w:rFonts w:ascii="Times New Roman" w:hAnsi="Times New Roman"/>
          <w:szCs w:val="24"/>
        </w:rPr>
      </w:pPr>
    </w:p>
    <w:p w14:paraId="763CD1F8" w14:textId="30701B5A" w:rsidR="00935DBB" w:rsidRPr="007835A1" w:rsidRDefault="00C677A8" w:rsidP="007F3399">
      <w:pPr>
        <w:pStyle w:val="ListParagraph"/>
        <w:numPr>
          <w:ilvl w:val="0"/>
          <w:numId w:val="8"/>
        </w:numPr>
        <w:rPr>
          <w:b/>
          <w:bCs/>
        </w:rPr>
      </w:pPr>
      <w:r w:rsidRPr="007835A1">
        <w:rPr>
          <w:b/>
          <w:bCs/>
        </w:rPr>
        <w:t>Feasibility, Good Faith, and Post-petition Tax Returns</w:t>
      </w:r>
      <w:r w:rsidR="005F6A8B" w:rsidRPr="007835A1">
        <w:rPr>
          <w:b/>
          <w:bCs/>
        </w:rPr>
        <w:t xml:space="preserve">. </w:t>
      </w:r>
    </w:p>
    <w:p w14:paraId="755672DD" w14:textId="73D5E5B6" w:rsidR="00AD2648"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 xml:space="preserve">able to make the payments required by the plan) (11 U.S.C. § 1325(a)(6));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(11 U.S.C. § 1325(a)(7));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(11 U.S.C. § 1325(a)(8)).</w:t>
      </w:r>
    </w:p>
    <w:p w14:paraId="6FDA5CB8" w14:textId="77777777" w:rsidR="008A26C8" w:rsidRPr="00935DBB" w:rsidRDefault="008A26C8" w:rsidP="00935DBB">
      <w:pPr>
        <w:ind w:firstLine="720"/>
        <w:jc w:val="both"/>
        <w:rPr>
          <w:rFonts w:ascii="Times New Roman" w:hAnsi="Times New Roman"/>
          <w:szCs w:val="24"/>
        </w:rPr>
      </w:pPr>
    </w:p>
    <w:p w14:paraId="20A972D0" w14:textId="672A567F" w:rsidR="000B1A84" w:rsidRPr="007A5BBC" w:rsidRDefault="00646EC9" w:rsidP="008A26C8">
      <w:pPr>
        <w:pStyle w:val="Heading2"/>
        <w:spacing w:line="240" w:lineRule="auto"/>
      </w:pPr>
      <w:bookmarkStart w:id="5845" w:name="_Toc417380913"/>
      <w:bookmarkStart w:id="5846" w:name="_Toc79699317"/>
      <w:bookmarkStart w:id="5847" w:name="_Toc79699643"/>
      <w:bookmarkStart w:id="5848" w:name="_Toc79699981"/>
      <w:bookmarkStart w:id="5849" w:name="_Toc79700301"/>
      <w:bookmarkStart w:id="5850" w:name="_Toc79700623"/>
      <w:bookmarkStart w:id="5851" w:name="_Toc87039401"/>
      <w:bookmarkStart w:id="5852" w:name="_Toc90983797"/>
      <w:r>
        <w:t xml:space="preserve">Cases on </w:t>
      </w:r>
      <w:r w:rsidR="000B1A84" w:rsidRPr="007A5BBC">
        <w:t>Unsecured Claims in Chapter 13</w:t>
      </w:r>
      <w:bookmarkStart w:id="5853" w:name="_Toc79693175"/>
      <w:bookmarkStart w:id="5854" w:name="_Toc79693495"/>
      <w:bookmarkStart w:id="5855" w:name="_Toc79693815"/>
      <w:bookmarkStart w:id="5856" w:name="_Toc79694132"/>
      <w:bookmarkStart w:id="5857" w:name="_Toc79694770"/>
      <w:bookmarkStart w:id="5858" w:name="_Toc79695400"/>
      <w:bookmarkStart w:id="5859" w:name="_Toc79697646"/>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r w:rsidR="008A26C8">
        <w:br/>
      </w:r>
    </w:p>
    <w:bookmarkStart w:id="5860" w:name="_Toc87039402"/>
    <w:p w14:paraId="1E8372EF" w14:textId="582D788A" w:rsidR="0089216B" w:rsidRPr="008A26C8" w:rsidRDefault="00E2635A" w:rsidP="008A26C8">
      <w:pPr>
        <w:pStyle w:val="Heading3"/>
        <w:rPr>
          <w:rStyle w:val="Hyperlink"/>
        </w:rPr>
      </w:pPr>
      <w:r>
        <w:rPr>
          <w:u w:val="single"/>
        </w:rPr>
        <w:fldChar w:fldCharType="begin"/>
      </w:r>
      <w:r>
        <w:rPr>
          <w:u w:val="single"/>
        </w:rPr>
        <w:instrText xml:space="preserve"> HYPERLINK "https://scholar.google.com/scholar_case?case=15798435605779128575&amp;q=HAMILTON+v.+LANNING,+560+U.S.+505+(2010)&amp;hl=en&amp;as_sdt=6,33" </w:instrText>
      </w:r>
      <w:r>
        <w:rPr>
          <w:u w:val="single"/>
        </w:rPr>
        <w:fldChar w:fldCharType="separate"/>
      </w:r>
      <w:bookmarkStart w:id="5861" w:name="_Toc90983798"/>
      <w:r w:rsidR="0089216B" w:rsidRPr="008A26C8">
        <w:rPr>
          <w:rStyle w:val="Hyperlink"/>
        </w:rPr>
        <w:t>H</w:t>
      </w:r>
      <w:r w:rsidR="00935DBB" w:rsidRPr="008A26C8">
        <w:rPr>
          <w:rStyle w:val="Hyperlink"/>
        </w:rPr>
        <w:t xml:space="preserve">AMILTON v. LANNING, </w:t>
      </w:r>
      <w:r w:rsidR="0089216B" w:rsidRPr="008A26C8">
        <w:rPr>
          <w:rStyle w:val="Hyperlink"/>
        </w:rPr>
        <w:t>560 U.S. 505 (2010)</w:t>
      </w:r>
      <w:bookmarkStart w:id="5862" w:name="_Toc79693176"/>
      <w:bookmarkStart w:id="5863" w:name="_Toc79693496"/>
      <w:bookmarkStart w:id="5864" w:name="_Toc79693816"/>
      <w:bookmarkStart w:id="5865" w:name="_Toc79694133"/>
      <w:bookmarkStart w:id="5866" w:name="_Toc79694451"/>
      <w:bookmarkStart w:id="5867" w:name="_Toc79694771"/>
      <w:bookmarkStart w:id="5868" w:name="_Toc79695085"/>
      <w:bookmarkStart w:id="5869" w:name="_Toc79695401"/>
      <w:bookmarkStart w:id="5870" w:name="_Toc79695717"/>
      <w:bookmarkStart w:id="5871" w:name="_Toc79696033"/>
      <w:bookmarkStart w:id="5872" w:name="_Toc79696349"/>
      <w:bookmarkStart w:id="5873" w:name="_Toc79696665"/>
      <w:bookmarkStart w:id="5874" w:name="_Toc79696986"/>
      <w:bookmarkStart w:id="5875" w:name="_Toc79697318"/>
      <w:bookmarkStart w:id="5876" w:name="_Toc79697647"/>
      <w:bookmarkStart w:id="5877" w:name="_Toc79699318"/>
      <w:bookmarkStart w:id="5878" w:name="_Toc79699644"/>
      <w:bookmarkStart w:id="5879" w:name="_Toc79699982"/>
      <w:bookmarkStart w:id="5880" w:name="_Toc79700302"/>
      <w:bookmarkStart w:id="5881" w:name="_Toc79700624"/>
      <w:bookmarkStart w:id="5882" w:name="_Toc79700946"/>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r w:rsidR="008A26C8" w:rsidRPr="008A26C8">
        <w:rPr>
          <w:rStyle w:val="Hyperlink"/>
        </w:rPr>
        <w:br/>
      </w:r>
    </w:p>
    <w:p w14:paraId="3F3B7FCC" w14:textId="2207F781" w:rsidR="0089216B" w:rsidRPr="007A5BBC" w:rsidRDefault="00E2635A" w:rsidP="008A26C8">
      <w:pPr>
        <w:ind w:firstLine="720"/>
        <w:jc w:val="both"/>
        <w:rPr>
          <w:rFonts w:ascii="Times New Roman" w:hAnsi="Times New Roman"/>
          <w:szCs w:val="24"/>
        </w:rPr>
      </w:pPr>
      <w:r>
        <w:rPr>
          <w:rFonts w:ascii="Times New Roman" w:hAnsi="Times New Roman"/>
          <w:b/>
          <w:bCs/>
          <w:sz w:val="28"/>
          <w:szCs w:val="32"/>
          <w:u w:val="single"/>
        </w:rPr>
        <w:fldChar w:fldCharType="end"/>
      </w:r>
      <w:r w:rsidR="0089216B"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5883" w:name="OLE_LINK204"/>
      <w:bookmarkStart w:id="5884" w:name="OLE_LINK205"/>
      <w:r w:rsidR="0089216B"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5883"/>
      <w:bookmarkEnd w:id="5884"/>
      <w:r w:rsidR="0089216B"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calculated pursuant to § 707(b)(2),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On the form used for reporting monthly income (Schedule I), she reported income from her new job of $1,922 per month— which is below the state median. On the form used for reporting monthly expenses (Schedule J), she reported actual monthly expenses of $1,772.97. Subtracting the Schedule J figure from the Schedule I figure resulted in monthly disposable income of $149.03.</w:t>
      </w:r>
    </w:p>
    <w:p w14:paraId="4044471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filed a plan that would have required her to pay $144 per month for 36 months. Petitioner, a private Chapter 13 trustee, objected to confirmation of the plan because the amount respondent proposed to pay was less than the full amount of the claims against her, see § 1325(b)(1)(A), and because, in petitioner's view, respondent was not committing all of her "projected disposable income" to the repayment of creditors, see § 1325(b)(1)(B).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parties differ sharply in their interpretation of § 1325's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r w:rsidRPr="005504E2">
        <w:rPr>
          <w:rFonts w:ascii="Times New Roman" w:hAnsi="Times New Roman"/>
          <w:i/>
          <w:szCs w:val="24"/>
        </w:rPr>
        <w:t>In re Kibbe</w:t>
      </w:r>
      <w:r w:rsidRPr="007A5BBC">
        <w:rPr>
          <w:rFonts w:ascii="Times New Roman" w:hAnsi="Times New Roman"/>
          <w:szCs w:val="24"/>
        </w:rPr>
        <w:t>, 361 B.R. 302, 312, n. 9 (1st Cir. BAP 2007)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Pre-BAPCPA bankruptcy practice is telling because we "`will not read the Bankruptcy Code to erode past bankruptcy practice absent a clear indication that Congress intended such a departure.'" Congress did not amend the term "projected disposable income" in 2005, and pre-BAPCPA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mechanical approach also clashes repeatedly with the terms of 11 U.S.C. § 1325.</w:t>
      </w:r>
    </w:p>
    <w:p w14:paraId="042E8144"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 1325(b)(1)(B)'s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 1325(b)(1) directs courts to determine projected disposable income "as of the effective date of the plan," which is the date on which the plan is confirmed and becomes binding, see § 1327(a).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Third, the requirement that projected disposable income "will be applied to make payments" is most naturally read to contemplate that the debtor will actually pay creditors in the calculated monthly amounts. § 1325(b)(1)(B).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77777777" w:rsidR="0089216B" w:rsidRPr="007A5BBC" w:rsidRDefault="0089216B" w:rsidP="00BA4893">
      <w:pPr>
        <w:ind w:firstLine="720"/>
        <w:jc w:val="both"/>
        <w:rPr>
          <w:rFonts w:ascii="Times New Roman" w:hAnsi="Times New Roman"/>
          <w:szCs w:val="24"/>
        </w:rPr>
      </w:pPr>
      <w:bookmarkStart w:id="5885" w:name="OLE_LINK206"/>
      <w:bookmarkStart w:id="5886" w:name="OLE_LINK207"/>
      <w:r w:rsidRPr="007A5BBC">
        <w:rPr>
          <w:rFonts w:ascii="Times New Roman" w:hAnsi="Times New Roman"/>
          <w:szCs w:val="24"/>
        </w:rPr>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5885"/>
      <w:bookmarkEnd w:id="5886"/>
      <w:r w:rsidRPr="007A5BBC">
        <w:rPr>
          <w:rFonts w:ascii="Times New Roman" w:hAnsi="Times New Roman"/>
          <w:szCs w:val="24"/>
        </w:rPr>
        <w:t xml:space="preserve"> Here, for example, respondent is an "individual whose income is sufficiently stable and regular" to allow her "to make payments under a plan," § 101(30), and her debts fall below the limits set out in § 109(e). But if the mechanical approach were used, she could not file a confirmable plan. Under § 1325(a)(6), a plan cannot be confirmed unless "the debtor will be able to make all payments under the plan and comply with the plan." And as petitioner concedes, respondent could not possibly make the payments that the mechanical approach prescribes.</w:t>
      </w:r>
    </w:p>
    <w:p w14:paraId="469ACD00"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Consistent with the text of § 1325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77777777" w:rsidR="0089216B" w:rsidRPr="007A5BBC" w:rsidRDefault="0089216B" w:rsidP="00BA4893">
      <w:pPr>
        <w:ind w:firstLine="720"/>
        <w:jc w:val="both"/>
        <w:rPr>
          <w:rFonts w:ascii="Times New Roman" w:hAnsi="Times New Roman"/>
          <w:b/>
          <w:szCs w:val="24"/>
        </w:rPr>
      </w:pPr>
      <w:r w:rsidRPr="007A5BBC">
        <w:rPr>
          <w:rFonts w:ascii="Times New Roman" w:hAnsi="Times New Roman"/>
          <w:b/>
          <w:szCs w:val="24"/>
        </w:rPr>
        <w:t>Justice SCALIA, dissenting.</w:t>
      </w:r>
    </w:p>
    <w:p w14:paraId="058CB5C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Bankruptcy Code requires a debtor seeking relief under Chapter 13, unless he will repay his unsecured creditors in full, to pay them all of his "projected disposable income" over the life of his repayment plan. 11 U.S.C. § 1325(b)(1)(B).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 1325(b), then unless § 1325(b)(2)'s definition applies to "projected disposable income" in § 1325(b)(1)(B), it does not apply at all.</w:t>
      </w:r>
    </w:p>
    <w:p w14:paraId="13769ED6"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The Court insists its interpretation does not render § 1325(b)(2)'s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 1325(b)(2)'s fixed formula and to consider other data, there would be no basis in the text for the restrictions the Court reads in, regarding when and to what extent a court 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Perhaps Congress concluded that other information a bankruptcy court might consider is too uncertain or too easily manipulated. Or perhaps it thought the cost of considering such 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63762C55" w:rsidR="00CD106E" w:rsidRDefault="0089216B" w:rsidP="00AB3656">
      <w:pPr>
        <w:ind w:firstLine="720"/>
        <w:jc w:val="both"/>
        <w:rPr>
          <w:rFonts w:ascii="Times New Roman" w:hAnsi="Times New Roman"/>
          <w:b/>
          <w:szCs w:val="24"/>
        </w:rPr>
      </w:pPr>
      <w:r w:rsidRPr="007A5BBC">
        <w:rPr>
          <w:rFonts w:ascii="Times New Roman" w:hAnsi="Times New Roman"/>
          <w:szCs w:val="24"/>
        </w:rPr>
        <w:t>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 1325(b)(1)(B)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478FAFCA" w14:textId="77777777" w:rsidR="008A26C8" w:rsidRDefault="008A26C8" w:rsidP="00AB3656">
      <w:pPr>
        <w:ind w:firstLine="720"/>
        <w:jc w:val="both"/>
        <w:rPr>
          <w:rFonts w:ascii="Times New Roman" w:hAnsi="Times New Roman"/>
          <w:b/>
          <w:szCs w:val="24"/>
        </w:rPr>
      </w:pPr>
    </w:p>
    <w:bookmarkStart w:id="5887" w:name="_Toc87039403"/>
    <w:p w14:paraId="135DE49D" w14:textId="321054D9" w:rsidR="00AB3656" w:rsidRPr="00E2635A" w:rsidRDefault="008A26C8" w:rsidP="00E2635A">
      <w:pPr>
        <w:pStyle w:val="Heading3"/>
        <w:rPr>
          <w:u w:val="single"/>
        </w:rPr>
      </w:pPr>
      <w:r>
        <w:fldChar w:fldCharType="begin"/>
      </w:r>
      <w:r>
        <w:instrText xml:space="preserve"> HYPERLINK "https://scholar.google.com/scholar_case?case=13870291038565757641&amp;q=in+re+gamboa&amp;hl=en&amp;as_sdt=6,33" </w:instrText>
      </w:r>
      <w:r>
        <w:fldChar w:fldCharType="separate"/>
      </w:r>
      <w:bookmarkStart w:id="5888" w:name="_Toc90983799"/>
      <w:r w:rsidR="00AB3656" w:rsidRPr="008A26C8">
        <w:rPr>
          <w:rStyle w:val="Hyperlink"/>
        </w:rPr>
        <w:t>I</w:t>
      </w:r>
      <w:r w:rsidR="00AC3DC6" w:rsidRPr="008A26C8">
        <w:rPr>
          <w:rStyle w:val="Hyperlink"/>
        </w:rPr>
        <w:t xml:space="preserve">N RE GAMBOA, </w:t>
      </w:r>
      <w:r w:rsidR="00AB3656" w:rsidRPr="008A26C8">
        <w:rPr>
          <w:rStyle w:val="Hyperlink"/>
        </w:rPr>
        <w:t>538 B.R. 53 (Bankr. S.D. Cal. 2013)</w:t>
      </w:r>
      <w:bookmarkStart w:id="5889" w:name="_Toc79693177"/>
      <w:bookmarkStart w:id="5890" w:name="_Toc79693497"/>
      <w:bookmarkStart w:id="5891" w:name="_Toc79693817"/>
      <w:bookmarkStart w:id="5892" w:name="_Toc79694134"/>
      <w:bookmarkStart w:id="5893" w:name="_Toc79694452"/>
      <w:bookmarkStart w:id="5894" w:name="_Toc79694772"/>
      <w:bookmarkStart w:id="5895" w:name="_Toc79695086"/>
      <w:bookmarkStart w:id="5896" w:name="_Toc79695402"/>
      <w:bookmarkStart w:id="5897" w:name="_Toc79695718"/>
      <w:bookmarkStart w:id="5898" w:name="_Toc79696034"/>
      <w:bookmarkStart w:id="5899" w:name="_Toc79696350"/>
      <w:bookmarkStart w:id="5900" w:name="_Toc79696666"/>
      <w:bookmarkStart w:id="5901" w:name="_Toc79696987"/>
      <w:bookmarkStart w:id="5902" w:name="_Toc79697319"/>
      <w:bookmarkStart w:id="5903" w:name="_Toc79697648"/>
      <w:bookmarkStart w:id="5904" w:name="_Toc79699319"/>
      <w:bookmarkStart w:id="5905" w:name="_Toc79699645"/>
      <w:bookmarkStart w:id="5906" w:name="_Toc79699983"/>
      <w:bookmarkStart w:id="5907" w:name="_Toc79700303"/>
      <w:bookmarkStart w:id="5908" w:name="_Toc79700625"/>
      <w:bookmarkStart w:id="5909" w:name="_Toc79700947"/>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r>
        <w:fldChar w:fldCharType="end"/>
      </w:r>
      <w:r>
        <w:rPr>
          <w:rStyle w:val="Hyperlink"/>
          <w:color w:val="auto"/>
        </w:rPr>
        <w:br/>
      </w:r>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The Libra property is a single-family residence encumbered by 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Debtors disregard the Trustee's central argument that retaining the rental property results in a net loss because they are paying both arrears on this mortgage through the plan as well as the 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0371F57C"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11 U.S.C. § 1325(b).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Pr="00AB3656">
        <w:rPr>
          <w:rFonts w:ascii="Times New Roman" w:hAnsi="Times New Roman"/>
          <w:szCs w:val="24"/>
        </w:rPr>
        <w:t> </w:t>
      </w:r>
      <w:r w:rsidRPr="002244F8">
        <w:rPr>
          <w:rFonts w:ascii="Times New Roman" w:hAnsi="Times New Roman"/>
          <w:szCs w:val="24"/>
        </w:rPr>
        <w:t xml:space="preserve"> 11 U.S.C. §§ 1325(b)(2) and (3). Thus, a debtor has not applied all projected disposable income to the plan if he proposes a less than 100-percent plan and wishes to retain an unnecessary expense.</w:t>
      </w:r>
    </w:p>
    <w:p w14:paraId="01AF8C21" w14:textId="77777777" w:rsidR="00AB3656" w:rsidRPr="004C57E8" w:rsidRDefault="00AB3656" w:rsidP="00AB3656">
      <w:pPr>
        <w:ind w:firstLine="720"/>
        <w:jc w:val="both"/>
        <w:rPr>
          <w:rFonts w:ascii="Times New Roman" w:hAnsi="Times New Roman"/>
          <w:b/>
          <w:szCs w:val="24"/>
        </w:rPr>
      </w:pPr>
      <w:r w:rsidRPr="004C57E8">
        <w:rPr>
          <w:rFonts w:ascii="Times New Roman" w:hAnsi="Times New Roman"/>
          <w:b/>
          <w:szCs w:val="24"/>
        </w:rPr>
        <w:t>[For above-median debtors] Section 1325 provides that "amounts reasonably necessary to be expended... shall be determined in accordance with subparagraphs (A) and (B) of section 707(b)(2)." 11 U.S.C. § 1325(b)(3). The statute envisions a "two-step inquiry."  First, "if an expense is not reasonably necessary for the debtor's and/or dependents' maintenance and support, the inquiry ends at section 1325(b)(2) as there is no "amount" to determine." Id. But "[i]f the expense is reasonably necessary for the debtor's and/or dependents' maintenance and support, then section 1325(b)(3) requires the court to determine the amount in accordance with section 707(b)(2)." Id.</w:t>
      </w:r>
    </w:p>
    <w:p w14:paraId="469F8369"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Pr="00AB3656">
        <w:rPr>
          <w:rFonts w:ascii="Times New Roman" w:hAnsi="Times New Roman"/>
          <w:szCs w:val="24"/>
        </w:rPr>
        <w:t> </w:t>
      </w:r>
      <w:r w:rsidRPr="002244F8">
        <w:rPr>
          <w:rFonts w:ascii="Times New Roman" w:hAnsi="Times New Roman"/>
          <w:szCs w:val="24"/>
        </w:rPr>
        <w:t>11 U.S.C. § 707(b)(2)(A)(iii)(I). That same rule does not apply, however, to curing arrears on secured claims.</w:t>
      </w:r>
      <w:r w:rsidRPr="00AB3656">
        <w:rPr>
          <w:rFonts w:ascii="Times New Roman" w:hAnsi="Times New Roman"/>
          <w:szCs w:val="24"/>
        </w:rPr>
        <w:t> </w:t>
      </w:r>
      <w:r w:rsidRPr="002244F8">
        <w:rPr>
          <w:rFonts w:ascii="Times New Roman" w:hAnsi="Times New Roman"/>
          <w:szCs w:val="24"/>
        </w:rPr>
        <w:t>11 U.S.C. § 707(b)(2)(A)(iii)(II)</w:t>
      </w:r>
      <w:r w:rsidRPr="00AB3656">
        <w:rPr>
          <w:rFonts w:ascii="Times New Roman" w:hAnsi="Times New Roman"/>
          <w:szCs w:val="24"/>
        </w:rPr>
        <w:t>.</w:t>
      </w:r>
      <w:r w:rsidRPr="002244F8">
        <w:rPr>
          <w:rFonts w:ascii="Times New Roman" w:hAnsi="Times New Roman"/>
          <w:szCs w:val="24"/>
        </w:rPr>
        <w:t xml:space="preserve"> Rather, Section 707(b)(2)(A)(iii)(II)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The Trustee draws an analogy between Debtors' effort to retain this property and a debtor proposing to fund a retirement account during a Chapter 13 plan. Courts generally hold that 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expense of [their] unsecured creditors." Debtors' attempt to retain their investment would consume virtually all of their projected disposable income and excluded funds that they would otherwise contribute to their plan.</w:t>
      </w:r>
    </w:p>
    <w:p w14:paraId="08B27AED" w14:textId="3793C5E6" w:rsidR="00CD106E"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B1BE3D1" w14:textId="77777777" w:rsidR="008A26C8" w:rsidRPr="00AB3656" w:rsidRDefault="008A26C8" w:rsidP="00AB3656">
      <w:pPr>
        <w:ind w:firstLine="720"/>
        <w:jc w:val="both"/>
        <w:rPr>
          <w:rFonts w:ascii="Times New Roman" w:hAnsi="Times New Roman"/>
          <w:szCs w:val="24"/>
        </w:rPr>
      </w:pPr>
    </w:p>
    <w:p w14:paraId="31620462" w14:textId="32116D0E" w:rsidR="0089216B" w:rsidRPr="007A5BBC" w:rsidRDefault="00333923" w:rsidP="008A26C8">
      <w:pPr>
        <w:pStyle w:val="Heading2"/>
        <w:spacing w:line="240" w:lineRule="auto"/>
      </w:pPr>
      <w:bookmarkStart w:id="5910" w:name="_Toc417380914"/>
      <w:bookmarkStart w:id="5911" w:name="_Toc79699320"/>
      <w:bookmarkStart w:id="5912" w:name="_Toc79699646"/>
      <w:bookmarkStart w:id="5913" w:name="_Toc79699984"/>
      <w:bookmarkStart w:id="5914" w:name="_Toc79700304"/>
      <w:bookmarkStart w:id="5915" w:name="_Toc79700626"/>
      <w:bookmarkStart w:id="5916" w:name="_Toc87039404"/>
      <w:bookmarkStart w:id="5917" w:name="_Toc90983800"/>
      <w:r w:rsidRPr="007A5BBC">
        <w:t>Modification</w:t>
      </w:r>
      <w:r w:rsidR="00934062">
        <w:t xml:space="preserve"> and Discharge</w:t>
      </w:r>
      <w:r w:rsidRPr="007A5BBC">
        <w:t>.</w:t>
      </w:r>
      <w:bookmarkStart w:id="5918" w:name="_Toc79693178"/>
      <w:bookmarkStart w:id="5919" w:name="_Toc79693498"/>
      <w:bookmarkStart w:id="5920" w:name="_Toc79693818"/>
      <w:bookmarkStart w:id="5921" w:name="_Toc79694135"/>
      <w:bookmarkStart w:id="5922" w:name="_Toc79694773"/>
      <w:bookmarkStart w:id="5923" w:name="_Toc79695403"/>
      <w:bookmarkStart w:id="5924" w:name="_Toc79697649"/>
      <w:bookmarkEnd w:id="5910"/>
      <w:bookmarkEnd w:id="5911"/>
      <w:bookmarkEnd w:id="5912"/>
      <w:bookmarkEnd w:id="5913"/>
      <w:bookmarkEnd w:id="5914"/>
      <w:bookmarkEnd w:id="5915"/>
      <w:bookmarkEnd w:id="5918"/>
      <w:bookmarkEnd w:id="5919"/>
      <w:bookmarkEnd w:id="5920"/>
      <w:bookmarkEnd w:id="5921"/>
      <w:bookmarkEnd w:id="5922"/>
      <w:bookmarkEnd w:id="5923"/>
      <w:bookmarkEnd w:id="5924"/>
      <w:r w:rsidR="00934062">
        <w:t xml:space="preserve"> [12.10 – 12.11]</w:t>
      </w:r>
      <w:bookmarkEnd w:id="5916"/>
      <w:bookmarkEnd w:id="5917"/>
      <w:r w:rsidR="008A26C8">
        <w:br/>
      </w:r>
    </w:p>
    <w:p w14:paraId="6577A126" w14:textId="5681770B" w:rsidR="00333923"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1329(a)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3FC0C03B" w14:textId="77777777" w:rsidR="008A26C8" w:rsidRPr="007A5BBC" w:rsidRDefault="008A26C8" w:rsidP="00BA4893">
      <w:pPr>
        <w:ind w:firstLine="720"/>
        <w:jc w:val="both"/>
        <w:rPr>
          <w:rFonts w:ascii="Times New Roman" w:hAnsi="Times New Roman"/>
          <w:szCs w:val="24"/>
        </w:rPr>
      </w:pPr>
    </w:p>
    <w:p w14:paraId="184EFF77" w14:textId="26DAFB4D" w:rsidR="0089216B" w:rsidRPr="007A5BBC" w:rsidRDefault="00DD28A9" w:rsidP="008A26C8">
      <w:pPr>
        <w:pStyle w:val="Heading2"/>
        <w:spacing w:line="240" w:lineRule="auto"/>
      </w:pPr>
      <w:bookmarkStart w:id="5925" w:name="_Toc417380915"/>
      <w:bookmarkStart w:id="5926" w:name="_Toc79699321"/>
      <w:bookmarkStart w:id="5927" w:name="_Toc79699647"/>
      <w:bookmarkStart w:id="5928" w:name="_Toc79699985"/>
      <w:bookmarkStart w:id="5929" w:name="_Toc79700305"/>
      <w:bookmarkStart w:id="5930" w:name="_Toc79700627"/>
      <w:bookmarkStart w:id="5931" w:name="_Toc87039405"/>
      <w:bookmarkStart w:id="5932" w:name="_Toc90983801"/>
      <w:r w:rsidRPr="007A5BBC">
        <w:t>P</w:t>
      </w:r>
      <w:r w:rsidR="00C60FEF">
        <w:t xml:space="preserve">ractice Problems: Developing a </w:t>
      </w:r>
      <w:r w:rsidRPr="007A5BBC">
        <w:t>Chapter 13</w:t>
      </w:r>
      <w:bookmarkEnd w:id="5925"/>
      <w:r w:rsidR="00C60FEF">
        <w:t xml:space="preserve"> Plan</w:t>
      </w:r>
      <w:bookmarkStart w:id="5933" w:name="_Toc79693179"/>
      <w:bookmarkStart w:id="5934" w:name="_Toc79693499"/>
      <w:bookmarkStart w:id="5935" w:name="_Toc79693819"/>
      <w:bookmarkStart w:id="5936" w:name="_Toc79694136"/>
      <w:bookmarkStart w:id="5937" w:name="_Toc79694774"/>
      <w:bookmarkStart w:id="5938" w:name="_Toc79695404"/>
      <w:bookmarkStart w:id="5939" w:name="_Toc79697650"/>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r w:rsidR="008A26C8">
        <w:br/>
      </w:r>
    </w:p>
    <w:p w14:paraId="542FBD94" w14:textId="22FE8507" w:rsidR="00DD6DB6" w:rsidRPr="007A5BBC" w:rsidRDefault="003D5083" w:rsidP="00BD448D">
      <w:pPr>
        <w:pStyle w:val="0-NORMAL"/>
      </w:pPr>
      <w:r w:rsidRPr="007A5BBC">
        <w:t xml:space="preserve">The </w:t>
      </w:r>
      <w:r w:rsidR="00DD6DB6" w:rsidRPr="007A5BBC">
        <w:t xml:space="preserve">following </w:t>
      </w:r>
      <w:r w:rsidRPr="007A5BBC">
        <w:t xml:space="preserve">questions concern </w:t>
      </w:r>
      <w:bookmarkStart w:id="5940" w:name="OLE_LINK208"/>
      <w:r w:rsidRPr="007A5BBC">
        <w:t>Abraham and Mary Lincoln, who have been married for many years, and have filed a joint Chapter 13 petition on January 1, 2015</w:t>
      </w:r>
      <w:r w:rsidR="005F6A8B">
        <w:t xml:space="preserve">. </w:t>
      </w:r>
      <w:r w:rsidRPr="007A5BBC">
        <w:t>A</w:t>
      </w:r>
      <w:r w:rsidR="00DD6DB6" w:rsidRPr="007A5BBC">
        <w:t xml:space="preserve">ssume that the prime rate is 3.25%, and the </w:t>
      </w:r>
      <w:r w:rsidR="00DD6DB6" w:rsidRPr="007A5BBC">
        <w:rPr>
          <w:i/>
        </w:rPr>
        <w:t>Till</w:t>
      </w:r>
      <w:r w:rsidR="00DD6DB6" w:rsidRPr="007A5BBC">
        <w:t xml:space="preserve"> rate in the local jurisdiction is 2% over prime (5.25%)</w:t>
      </w:r>
      <w:r w:rsidR="005F6A8B">
        <w:t xml:space="preserve">. </w:t>
      </w:r>
      <w:r w:rsidR="003D337F" w:rsidRPr="007A5BBC">
        <w:t>Also assume that t</w:t>
      </w:r>
      <w:r w:rsidR="007E54ED" w:rsidRPr="007A5BBC">
        <w:t xml:space="preserve">he </w:t>
      </w:r>
      <w:r w:rsidRPr="007A5BBC">
        <w:t xml:space="preserve">Lincolns’ </w:t>
      </w:r>
      <w:r w:rsidR="003D337F" w:rsidRPr="007A5BBC">
        <w:t>“</w:t>
      </w:r>
      <w:r w:rsidR="007E54ED" w:rsidRPr="007A5BBC">
        <w:t>current monthly income</w:t>
      </w:r>
      <w:r w:rsidR="003D337F" w:rsidRPr="007A5BBC">
        <w:t>”</w:t>
      </w:r>
      <w:r w:rsidR="007E54ED" w:rsidRPr="007A5BBC">
        <w:t xml:space="preserve"> is above the median in the state</w:t>
      </w:r>
      <w:r w:rsidR="005F6A8B">
        <w:t xml:space="preserve">. </w:t>
      </w:r>
      <w:bookmarkEnd w:id="5940"/>
    </w:p>
    <w:p w14:paraId="7B4B12F8" w14:textId="6B4E480D" w:rsidR="00830F23" w:rsidRPr="00D01E28" w:rsidRDefault="00391B83" w:rsidP="00BD448D">
      <w:pPr>
        <w:pStyle w:val="0-NORMAL"/>
      </w:pPr>
      <w:r>
        <w:t xml:space="preserve">Lincolns </w:t>
      </w:r>
      <w:r w:rsidR="003D5083" w:rsidRPr="007A5BBC">
        <w:t xml:space="preserve">jointly </w:t>
      </w:r>
      <w:r w:rsidR="000D54D5" w:rsidRPr="007A5BBC">
        <w:t xml:space="preserve">own and reside in a home worth $109,000, which is subject to </w:t>
      </w:r>
      <w:r w:rsidR="00830F23" w:rsidRPr="007A5BBC">
        <w:t xml:space="preserve">the </w:t>
      </w:r>
      <w:r w:rsidR="000D54D5" w:rsidRPr="007A5BBC">
        <w:t xml:space="preserve">three </w:t>
      </w:r>
      <w:r w:rsidR="009B548A">
        <w:t xml:space="preserve">mortgages </w:t>
      </w:r>
      <w:r w:rsidR="00830F23" w:rsidRPr="007A5BBC">
        <w:t>listed below</w:t>
      </w:r>
      <w:r w:rsidR="005F6A8B">
        <w:t xml:space="preserve">. </w:t>
      </w:r>
      <w:r w:rsidR="00830F23" w:rsidRPr="007A5BBC">
        <w:t xml:space="preserve">The </w:t>
      </w:r>
      <w:r w:rsidR="007E54ED" w:rsidRPr="007A5BBC">
        <w:t xml:space="preserve">mortgages </w:t>
      </w:r>
      <w:r w:rsidR="00830F23" w:rsidRPr="007A5BBC">
        <w:t>mature in 15 years</w:t>
      </w:r>
      <w:r w:rsidR="005F6A8B">
        <w:t xml:space="preserve">. </w:t>
      </w:r>
      <w:r w:rsidR="00830F23" w:rsidRPr="007A5BBC">
        <w:t xml:space="preserve">The </w:t>
      </w:r>
      <w:r>
        <w:t xml:space="preserve">Lincolns </w:t>
      </w:r>
      <w:r w:rsidR="00830F23" w:rsidRPr="007A5BBC">
        <w:t>want to keep their home</w:t>
      </w:r>
      <w:r w:rsidR="005F6A8B">
        <w:t xml:space="preserve">. </w:t>
      </w:r>
      <w:r w:rsidR="00830F23" w:rsidRPr="007A5BBC">
        <w:t xml:space="preserve">What is the least amount they will be required to pay each month to secured creditors as part of a Chapter 13 plan to </w:t>
      </w:r>
      <w:r w:rsidR="00830F23" w:rsidRPr="00D01E28">
        <w:t>keep their home</w:t>
      </w:r>
      <w:r w:rsidR="00083725" w:rsidRPr="00D01E28">
        <w:t xml:space="preserve">? </w:t>
      </w:r>
    </w:p>
    <w:p w14:paraId="50CFBB4C" w14:textId="6AD583F9" w:rsidR="00830F23" w:rsidRPr="00D01E28" w:rsidRDefault="000D54D5" w:rsidP="007F3399">
      <w:pPr>
        <w:pStyle w:val="ListParagraph"/>
        <w:numPr>
          <w:ilvl w:val="0"/>
          <w:numId w:val="11"/>
        </w:numPr>
      </w:pPr>
      <w:bookmarkStart w:id="5941" w:name="OLE_LINK209"/>
      <w:bookmarkStart w:id="5942" w:name="OLE_LINK210"/>
      <w:r w:rsidRPr="00D01E28">
        <w:t>Property Taxes: Interest accrues at 1% per month</w:t>
      </w:r>
      <w:r w:rsidR="005F6A8B" w:rsidRPr="00D01E28">
        <w:t xml:space="preserve">. </w:t>
      </w:r>
      <w:r w:rsidRPr="00D01E28">
        <w:t>Their annual property taxes are $3,500, and they are one year in arrears.</w:t>
      </w:r>
    </w:p>
    <w:p w14:paraId="601D72B6" w14:textId="09DCD0DE" w:rsidR="00830F23" w:rsidRPr="00AB3656" w:rsidRDefault="000D54D5" w:rsidP="007F3399">
      <w:pPr>
        <w:pStyle w:val="ListParagraph"/>
        <w:numPr>
          <w:ilvl w:val="0"/>
          <w:numId w:val="11"/>
        </w:numPr>
      </w:pPr>
      <w:r w:rsidRPr="007A5BBC">
        <w:t xml:space="preserve">First </w:t>
      </w:r>
      <w:r w:rsidR="007E54ED" w:rsidRPr="007A5BBC">
        <w:t xml:space="preserve">Mortgage </w:t>
      </w:r>
      <w:r w:rsidRPr="007A5BBC">
        <w:t>(HSBC): $110,000 payoff, $12,000 arrears, 9% contract rate, contract payments of $622/month</w:t>
      </w:r>
      <w:r w:rsidR="005F6A8B">
        <w:t xml:space="preserve">. </w:t>
      </w:r>
      <w:r w:rsidR="0056594E" w:rsidRPr="007A5BBC">
        <w:t>The loan documents do not say whether interest must be paid on arrearages to cure the default</w:t>
      </w:r>
      <w:r w:rsidR="005F6A8B">
        <w:t xml:space="preserve">. </w:t>
      </w:r>
      <w:r w:rsidR="00AB3656">
        <w:t>Note that the payoff amount includes the arrearages.</w:t>
      </w:r>
    </w:p>
    <w:p w14:paraId="1DEF95D7" w14:textId="1C34E663" w:rsidR="00AB3656" w:rsidRPr="00AB3656" w:rsidRDefault="000D54D5" w:rsidP="007F3399">
      <w:pPr>
        <w:pStyle w:val="ListParagraph"/>
        <w:numPr>
          <w:ilvl w:val="0"/>
          <w:numId w:val="11"/>
        </w:numPr>
      </w:pPr>
      <w:r w:rsidRPr="007A5BBC">
        <w:t xml:space="preserve">Second </w:t>
      </w:r>
      <w:r w:rsidR="007E54ED" w:rsidRPr="007A5BBC">
        <w:t xml:space="preserve">Mortgage </w:t>
      </w:r>
      <w:r w:rsidRPr="007A5BBC">
        <w:t>(Beneficial): $34,568 payoff, $5,000 arrears, 9.75% contract rate, contract payments of $344/month</w:t>
      </w:r>
      <w:r w:rsidR="005F6A8B">
        <w:t xml:space="preserve">. </w:t>
      </w:r>
      <w:r w:rsidR="0056594E" w:rsidRPr="007A5BBC">
        <w:t>The loan documents require interest to be paid on arrearages to cure a default.</w:t>
      </w:r>
      <w:bookmarkEnd w:id="5941"/>
      <w:bookmarkEnd w:id="5942"/>
    </w:p>
    <w:p w14:paraId="040C88A7" w14:textId="70924021" w:rsidR="00AB3656" w:rsidRPr="00AB3656" w:rsidRDefault="00391B83" w:rsidP="007F3399">
      <w:pPr>
        <w:pStyle w:val="ListParagraph"/>
        <w:numPr>
          <w:ilvl w:val="0"/>
          <w:numId w:val="11"/>
        </w:numPr>
      </w:pPr>
      <w:r>
        <w:t xml:space="preserve">The Lincolns </w:t>
      </w:r>
      <w:r w:rsidR="00DD6DB6" w:rsidRPr="007A5BBC">
        <w:t xml:space="preserve">also </w:t>
      </w:r>
      <w:r w:rsidR="003D5083" w:rsidRPr="007A5BBC">
        <w:t xml:space="preserve">jointly </w:t>
      </w:r>
      <w:r w:rsidR="00DD6DB6" w:rsidRPr="007A5BBC">
        <w:t>own a rental property currently worth $60,000</w:t>
      </w:r>
      <w:r w:rsidR="005F6A8B">
        <w:t xml:space="preserve">. </w:t>
      </w:r>
      <w:r w:rsidR="00DD6DB6" w:rsidRPr="007A5BBC">
        <w:t>Greentree Financial holds a first mortgage to secure a debt of $129,000</w:t>
      </w:r>
      <w:r w:rsidR="005F6A8B">
        <w:t xml:space="preserve">. </w:t>
      </w:r>
      <w:r w:rsidR="00DD6DB6" w:rsidRPr="007A5BBC">
        <w:t>The promissory note requires payment of $1,202.82 per month and carries a 9.75% interest rate</w:t>
      </w:r>
      <w:r w:rsidR="005F6A8B">
        <w:t xml:space="preserve">. </w:t>
      </w:r>
      <w:r>
        <w:t xml:space="preserve">The Lincolns </w:t>
      </w:r>
      <w:r w:rsidR="00DD6DB6" w:rsidRPr="007A5BBC">
        <w:t>are $15,000 in arrears</w:t>
      </w:r>
      <w:r w:rsidR="005F6A8B">
        <w:t xml:space="preserve">. </w:t>
      </w:r>
      <w:r w:rsidR="00DD6DB6" w:rsidRPr="007A5BBC">
        <w:t>The rental income is $800 per month</w:t>
      </w:r>
      <w:r w:rsidR="005F6A8B">
        <w:t xml:space="preserve">. </w:t>
      </w:r>
      <w:r w:rsidR="00DD6DB6" w:rsidRPr="007A5BBC">
        <w:t>They think the value of the property has bottomed and will be worth a lot more in the future, and would like to keep the property</w:t>
      </w:r>
      <w:r w:rsidR="005F6A8B">
        <w:t xml:space="preserve">. </w:t>
      </w:r>
      <w:r w:rsidR="00DD6DB6" w:rsidRPr="007A5BBC">
        <w:t>How could the loan be restructured in Chapter 13 to minimize the total payoff cost, and what amount would they be required to pay each month to achieve that goal</w:t>
      </w:r>
      <w:r w:rsidR="007E54ED" w:rsidRPr="007A5BBC">
        <w:t>?</w:t>
      </w:r>
    </w:p>
    <w:p w14:paraId="664D6692" w14:textId="672FD32E" w:rsidR="00AB3656" w:rsidRDefault="007E54ED" w:rsidP="007F3399">
      <w:pPr>
        <w:pStyle w:val="ListParagraph"/>
        <w:numPr>
          <w:ilvl w:val="0"/>
          <w:numId w:val="11"/>
        </w:numPr>
      </w:pPr>
      <w:r w:rsidRPr="00935DBB">
        <w:t xml:space="preserve">The </w:t>
      </w:r>
      <w:r w:rsidR="00391B83">
        <w:t xml:space="preserve">Lincolns </w:t>
      </w:r>
      <w:r w:rsidRPr="00935DBB">
        <w:t>own two cars</w:t>
      </w:r>
      <w:r w:rsidR="00237177" w:rsidRPr="00935DBB">
        <w:t>, both used for personal, family or household purposes</w:t>
      </w:r>
      <w:r w:rsidR="005F6A8B">
        <w:t xml:space="preserve">. </w:t>
      </w:r>
      <w:r w:rsidR="003D5083" w:rsidRPr="00935DBB">
        <w:t xml:space="preserve">Abraham has </w:t>
      </w:r>
      <w:r w:rsidRPr="00935DBB">
        <w:t>a 2011 Ford Ranger purchased in September 201</w:t>
      </w:r>
      <w:r w:rsidR="002D5AE1" w:rsidRPr="00935DBB">
        <w:t>3</w:t>
      </w:r>
      <w:r w:rsidRPr="00935DBB">
        <w:t>, valued at $1</w:t>
      </w:r>
      <w:r w:rsidR="00636FD6" w:rsidRPr="00935DBB">
        <w:t>6</w:t>
      </w:r>
      <w:r w:rsidRPr="00935DBB">
        <w:t>,000</w:t>
      </w:r>
      <w:r w:rsidR="00083725">
        <w:t xml:space="preserve">. </w:t>
      </w:r>
      <w:r w:rsidRPr="00935DBB">
        <w:t xml:space="preserve">Ford Motor Credit holds a </w:t>
      </w:r>
      <w:r w:rsidR="009B548A">
        <w:t>purchase money security interest (“</w:t>
      </w:r>
      <w:r w:rsidRPr="00935DBB">
        <w:t>PMSI</w:t>
      </w:r>
      <w:r w:rsidR="009B548A">
        <w:t>”)</w:t>
      </w:r>
      <w:r w:rsidRPr="00935DBB">
        <w:t xml:space="preserve"> to secure a loan balance of $</w:t>
      </w:r>
      <w:r w:rsidR="00636FD6" w:rsidRPr="00935DBB">
        <w:t>20,000</w:t>
      </w:r>
      <w:r w:rsidR="005F6A8B">
        <w:t xml:space="preserve">. </w:t>
      </w:r>
      <w:r w:rsidR="00391B83">
        <w:t xml:space="preserve">The Lincolns </w:t>
      </w:r>
      <w:r w:rsidRPr="00935DBB">
        <w:t xml:space="preserve">are $2,500 in arrears, and the </w:t>
      </w:r>
      <w:r w:rsidR="003D5CFD" w:rsidRPr="00935DBB">
        <w:t>contract interest rate is 17.5%</w:t>
      </w:r>
      <w:r w:rsidRPr="00935DBB">
        <w:t>, resulting in original payments of $</w:t>
      </w:r>
      <w:r w:rsidR="00636FD6" w:rsidRPr="00935DBB">
        <w:t>519</w:t>
      </w:r>
      <w:r w:rsidRPr="00935DBB">
        <w:t xml:space="preserve"> per month</w:t>
      </w:r>
      <w:r w:rsidR="005F6A8B">
        <w:t xml:space="preserve">. </w:t>
      </w:r>
      <w:r w:rsidR="003D5083" w:rsidRPr="00935DBB">
        <w:t xml:space="preserve">Mary has a </w:t>
      </w:r>
      <w:r w:rsidRPr="00935DBB">
        <w:t>2009 Hyundai Elantra purchased 8/10/2009</w:t>
      </w:r>
      <w:r w:rsidR="005F6A8B">
        <w:t xml:space="preserve">. </w:t>
      </w:r>
      <w:r w:rsidRPr="00935DBB">
        <w:t>The current value is $3,000, and the car is subject to a PMSI from Ally Financial with a loan balance of $5,000</w:t>
      </w:r>
      <w:r w:rsidR="005F6A8B">
        <w:t xml:space="preserve">. </w:t>
      </w:r>
      <w:r w:rsidR="00391B83">
        <w:t xml:space="preserve">The Lincolns </w:t>
      </w:r>
      <w:r w:rsidRPr="00935DBB">
        <w:t>are $750 in arrears, and the contract rate was 16.5%, and contract payments were $225.00 per month</w:t>
      </w:r>
      <w:r w:rsidR="005F6A8B">
        <w:t xml:space="preserve">. </w:t>
      </w:r>
      <w:r w:rsidR="00391B83">
        <w:t xml:space="preserve">The Lincolns </w:t>
      </w:r>
      <w:r w:rsidRPr="00935DBB">
        <w:t>would like to keep their cars</w:t>
      </w:r>
      <w:r w:rsidR="005F6A8B">
        <w:t xml:space="preserve">. </w:t>
      </w:r>
      <w:r w:rsidRPr="00935DBB">
        <w:t>What can you do for them in Chapter 13, and how much will their payments be on each of the cars</w:t>
      </w:r>
      <w:r w:rsidR="00083725" w:rsidRPr="00935DBB">
        <w:t xml:space="preserve">? </w:t>
      </w:r>
    </w:p>
    <w:p w14:paraId="26F284A8" w14:textId="4FE05B87" w:rsidR="00AB3656" w:rsidRPr="00AB3656" w:rsidRDefault="00AB3656" w:rsidP="007F3399">
      <w:pPr>
        <w:pStyle w:val="ListParagraph"/>
        <w:numPr>
          <w:ilvl w:val="0"/>
          <w:numId w:val="11"/>
        </w:numPr>
      </w:pPr>
      <w:r w:rsidRPr="00AB3656">
        <w:t>The Lincolns have furnished their home with living room and dining room furniture sets that they purchased from Rent-A-Center</w:t>
      </w:r>
      <w:r w:rsidR="005F6A8B">
        <w:t xml:space="preserve">. </w:t>
      </w:r>
      <w:r w:rsidRPr="00AB3656">
        <w:t>They purchased the furniture 14 months ago for $9,000, paying $1,000 down and financing the $8,000 balance over 7 years at an interest rate of 22% per year, resulting in monthly payments of $187.41</w:t>
      </w:r>
      <w:r w:rsidR="005F6A8B">
        <w:t xml:space="preserve">. </w:t>
      </w:r>
      <w:r w:rsidRPr="00AB3656">
        <w:t>The current loan balance is $7,356.41</w:t>
      </w:r>
      <w:r w:rsidR="005F6A8B">
        <w:t xml:space="preserve">. </w:t>
      </w:r>
      <w:r w:rsidRPr="00AB3656">
        <w:t>The retail value of the used furniture is no more than $1,500</w:t>
      </w:r>
      <w:r w:rsidR="005F6A8B">
        <w:t xml:space="preserve">. </w:t>
      </w:r>
      <w:r w:rsidRPr="00AB3656">
        <w:t>How much would they have to pay each month to keep the furniture?</w:t>
      </w:r>
    </w:p>
    <w:p w14:paraId="005FBE30" w14:textId="788111E5" w:rsidR="00AB3656" w:rsidRPr="00AB3656" w:rsidRDefault="00391B83" w:rsidP="007F3399">
      <w:pPr>
        <w:pStyle w:val="ListParagraph"/>
        <w:numPr>
          <w:ilvl w:val="0"/>
          <w:numId w:val="11"/>
        </w:numPr>
      </w:pPr>
      <w:r>
        <w:t xml:space="preserve">During the six month period before bankruptcy, </w:t>
      </w:r>
      <w:r w:rsidR="00AB3656" w:rsidRPr="007C4937">
        <w:t xml:space="preserve">Abraham slipped while shoveling snow from his driveway and broke </w:t>
      </w:r>
      <w:r w:rsidR="009B548A">
        <w:t xml:space="preserve">several of </w:t>
      </w:r>
      <w:r w:rsidR="00AB3656" w:rsidRPr="007C4937">
        <w:t>his ribs</w:t>
      </w:r>
      <w:r w:rsidR="005F6A8B">
        <w:t xml:space="preserve">. </w:t>
      </w:r>
      <w:r w:rsidR="00AB3656" w:rsidRPr="007C4937">
        <w:t xml:space="preserve">As a result, Abraham was out </w:t>
      </w:r>
      <w:r w:rsidR="009B548A">
        <w:t xml:space="preserve">of work </w:t>
      </w:r>
      <w:r w:rsidR="00AB3656" w:rsidRPr="007C4937">
        <w:t>on disability during three of the six full months preceding the bankruptcy filing</w:t>
      </w:r>
      <w:r w:rsidR="005F6A8B">
        <w:t xml:space="preserve">. </w:t>
      </w:r>
      <w:r w:rsidR="00AB3656" w:rsidRPr="007C4937">
        <w:t xml:space="preserve">As a result of Abraham’s reduced income while on disability, the Debtors had average gross income during the six full months before bankruptcy (CMI) of $4,000 per month, </w:t>
      </w:r>
      <w:r w:rsidR="009B548A">
        <w:t xml:space="preserve">which includes </w:t>
      </w:r>
      <w:r w:rsidR="00AB3656" w:rsidRPr="007C4937">
        <w:t xml:space="preserve">the $800 per month in rental income </w:t>
      </w:r>
      <w:r w:rsidR="009B548A">
        <w:t xml:space="preserve">that they received </w:t>
      </w:r>
      <w:r w:rsidR="00AB3656" w:rsidRPr="007C4937">
        <w:t>from the rental property</w:t>
      </w:r>
      <w:r w:rsidR="005F6A8B">
        <w:t xml:space="preserve">. </w:t>
      </w:r>
      <w:r w:rsidR="00AB3656" w:rsidRPr="007C4937">
        <w:t xml:space="preserve">Abraham is now back at work, and the </w:t>
      </w:r>
      <w:r w:rsidR="00A23DF9">
        <w:t xml:space="preserve">Lincolns </w:t>
      </w:r>
      <w:r w:rsidR="00AB3656" w:rsidRPr="007C4937">
        <w:t>now have gross wage income of $5,100 per month, plus the $800 per month in rental income.</w:t>
      </w:r>
    </w:p>
    <w:p w14:paraId="32862C8D" w14:textId="42DD6F26" w:rsidR="00AB3656" w:rsidRDefault="00AB3656" w:rsidP="007F3399">
      <w:pPr>
        <w:pStyle w:val="ListParagraph"/>
        <w:numPr>
          <w:ilvl w:val="0"/>
          <w:numId w:val="11"/>
        </w:numPr>
      </w:pPr>
      <w:r w:rsidRPr="00AB3656">
        <w:t xml:space="preserve">Assume that the </w:t>
      </w:r>
      <w:r w:rsidR="00A23DF9">
        <w:t xml:space="preserve">Lincolns </w:t>
      </w:r>
      <w:r w:rsidRPr="00AB3656">
        <w:t xml:space="preserve">will </w:t>
      </w:r>
      <w:r w:rsidR="00A23DF9">
        <w:t xml:space="preserve">have to </w:t>
      </w:r>
      <w:r w:rsidRPr="00AB3656">
        <w:t>pay $3,500 to their bankruptcy attorney in monthly installments for Chapter 13 legal services</w:t>
      </w:r>
      <w:r w:rsidR="005F6A8B">
        <w:t xml:space="preserve">. </w:t>
      </w:r>
    </w:p>
    <w:p w14:paraId="5023F14E" w14:textId="29A395C6" w:rsidR="00AB3656" w:rsidRDefault="00AB3656" w:rsidP="007F3399">
      <w:pPr>
        <w:pStyle w:val="ListParagraph"/>
        <w:numPr>
          <w:ilvl w:val="0"/>
          <w:numId w:val="11"/>
        </w:numPr>
      </w:pPr>
      <w:r w:rsidRPr="00AB3656">
        <w:t>Each Chapter 13 Trustee charges a commission rate, set by the United States Trustee, on all money that is distributed to creditors by the Chapter 13 Trustee</w:t>
      </w:r>
      <w:r w:rsidR="005F6A8B">
        <w:t xml:space="preserve">. </w:t>
      </w:r>
      <w:r w:rsidRPr="00AB3656">
        <w:t>In some jurisdictions, all payments (secured and unsecured) go through the Chapter 13 trustee</w:t>
      </w:r>
      <w:r w:rsidR="005F6A8B">
        <w:t xml:space="preserve">. </w:t>
      </w:r>
      <w:r w:rsidRPr="00AB3656">
        <w:t>In other jurisdictions, the debtor pays directly the debtor’s regular post-petition secured debt payments, while cure payments, restructured loan payments and unsecured distributions go through the Chapter 13 trustee</w:t>
      </w:r>
      <w:r w:rsidR="005F6A8B">
        <w:t xml:space="preserve">. </w:t>
      </w:r>
      <w:r w:rsidRPr="00AB3656">
        <w:t>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w:t>
      </w:r>
      <w:r w:rsidR="005F6A8B">
        <w:t xml:space="preserve">. </w:t>
      </w:r>
    </w:p>
    <w:p w14:paraId="7B24432C" w14:textId="02D22456" w:rsidR="00AC3DC6" w:rsidRDefault="00AB3656" w:rsidP="00BD448D">
      <w:pPr>
        <w:pStyle w:val="0-NORMAL"/>
      </w:pPr>
      <w:r w:rsidRPr="007F2B85">
        <w:rPr>
          <w:b/>
        </w:rPr>
        <w:t>Problem 1</w:t>
      </w:r>
      <w:r w:rsidR="00E2635A">
        <w:t xml:space="preserve">. </w:t>
      </w:r>
      <w:r>
        <w:t xml:space="preserve">Calculate the </w:t>
      </w:r>
      <w:r w:rsidR="00391B83">
        <w:t xml:space="preserve">Lincolns’ </w:t>
      </w:r>
      <w:r w:rsidR="00AC3DC6">
        <w:t>“</w:t>
      </w:r>
      <w:r w:rsidRPr="007C4937">
        <w:t>disposable income</w:t>
      </w:r>
      <w:r w:rsidR="00AC3DC6">
        <w:t>”</w:t>
      </w:r>
      <w:r w:rsidRPr="007C4937">
        <w:t xml:space="preserve"> using the statu</w:t>
      </w:r>
      <w:r w:rsidR="00AC3DC6">
        <w:t xml:space="preserve">tory formula in Section 1325(b), assuming that they are going to keep </w:t>
      </w:r>
      <w:r w:rsidR="00391B83">
        <w:t>all of their property (either by restructuring or curing the secured claims, as allowed)</w:t>
      </w:r>
      <w:r w:rsidR="005F6A8B">
        <w:t xml:space="preserve">. </w:t>
      </w:r>
      <w:r w:rsidR="00391B83">
        <w:t>Also c</w:t>
      </w:r>
      <w:r w:rsidRPr="007C4937">
        <w:t xml:space="preserve">onsider whether an adjustment would be appropriate in calculating </w:t>
      </w:r>
      <w:r w:rsidR="00AC3DC6">
        <w:t>“</w:t>
      </w:r>
      <w:r w:rsidRPr="00AC3DC6">
        <w:rPr>
          <w:b/>
        </w:rPr>
        <w:t>projected</w:t>
      </w:r>
      <w:r w:rsidRPr="007C4937">
        <w:t xml:space="preserve"> disposable income</w:t>
      </w:r>
      <w:r w:rsidR="00AC3DC6">
        <w:t>”</w:t>
      </w:r>
      <w:r w:rsidRPr="007C4937">
        <w:t xml:space="preserve"> under </w:t>
      </w:r>
      <w:r w:rsidRPr="007C4937">
        <w:rPr>
          <w:i/>
        </w:rPr>
        <w:t>Hamilton v. Lanning</w:t>
      </w:r>
      <w:r w:rsidR="005F6A8B">
        <w:t xml:space="preserve">. </w:t>
      </w:r>
      <w:r w:rsidRPr="007C4937">
        <w:t>In making your calculations, assume that the IRS would allow monthly expenses under the National Standards and</w:t>
      </w:r>
      <w:r w:rsidR="009B548A">
        <w:t xml:space="preserve"> Local Standards under Section 7</w:t>
      </w:r>
      <w:r w:rsidRPr="007C4937">
        <w:t>07(b)(2)(A)(ii) of $2,000 per month</w:t>
      </w:r>
      <w:r w:rsidR="005F6A8B">
        <w:t xml:space="preserve">. </w:t>
      </w:r>
      <w:r w:rsidR="00AC3DC6" w:rsidRPr="007C4937">
        <w:t xml:space="preserve">Note also that debtors are entitled to deduct debt </w:t>
      </w:r>
      <w:r w:rsidR="009B548A">
        <w:t>service payments under Section 7</w:t>
      </w:r>
      <w:r w:rsidR="00AC3DC6" w:rsidRPr="007C4937">
        <w:t>07(b)(2)(A)(iii) in arriving at “disposable income” (or projected disposable income) under Section 1325(b)(3).</w:t>
      </w:r>
    </w:p>
    <w:p w14:paraId="7EA43F64" w14:textId="037154E4" w:rsidR="00AC3DC6" w:rsidRPr="007C4937" w:rsidRDefault="00AC3DC6" w:rsidP="00BD448D">
      <w:pPr>
        <w:pStyle w:val="0-NORMAL"/>
      </w:pPr>
      <w:r w:rsidRPr="007F2B85">
        <w:rPr>
          <w:b/>
        </w:rPr>
        <w:t>Problem 2</w:t>
      </w:r>
      <w:r w:rsidR="00E2635A">
        <w:t xml:space="preserve">. </w:t>
      </w:r>
      <w:r>
        <w:t xml:space="preserve">If the trustee or a creditor objects to the plan on the grounds that the expenses of keeping the rental property are not necessary in accordance with </w:t>
      </w:r>
      <w:r w:rsidRPr="00AC3DC6">
        <w:rPr>
          <w:i/>
        </w:rPr>
        <w:t>In re Gamboa</w:t>
      </w:r>
      <w:r>
        <w:t>, above, can you make a statutory distinction supporting the debtor’s pla</w:t>
      </w:r>
      <w:r w:rsidR="00D01E28">
        <w:t xml:space="preserve">n to keep the rental property? </w:t>
      </w:r>
      <w:r>
        <w:t>Would the result be different if the Lincolns were below median debtors?</w:t>
      </w:r>
    </w:p>
    <w:p w14:paraId="263CED48" w14:textId="3F61B614" w:rsidR="00AB3656" w:rsidRPr="007A5BBC" w:rsidRDefault="00AC3DC6" w:rsidP="00BD448D">
      <w:pPr>
        <w:pStyle w:val="0-NORMAL"/>
      </w:pPr>
      <w:r w:rsidRPr="007F2B85">
        <w:rPr>
          <w:b/>
        </w:rPr>
        <w:t>Problem 3</w:t>
      </w:r>
      <w:r w:rsidR="00E2635A">
        <w:t xml:space="preserve">. </w:t>
      </w:r>
      <w:r w:rsidR="00AB3656" w:rsidRPr="007A5BBC">
        <w:t>Calculate the distribution to unsecured creditors under the Chapter 13 plan that you have developed</w:t>
      </w:r>
      <w:r w:rsidR="005F6A8B">
        <w:t xml:space="preserve">. </w:t>
      </w:r>
      <w:r w:rsidR="00AB3656" w:rsidRPr="007A5BBC">
        <w:t xml:space="preserve">Assume that the Debtors have general unsecured debts totaling $100,000, not counting any of the </w:t>
      </w:r>
      <w:r>
        <w:t xml:space="preserve">secured or priority </w:t>
      </w:r>
      <w:r w:rsidR="00AB3656" w:rsidRPr="007A5BBC">
        <w:t xml:space="preserve">debts listed above. </w:t>
      </w:r>
    </w:p>
    <w:p w14:paraId="5000F815" w14:textId="2AE370FF" w:rsidR="007C4937" w:rsidRDefault="00935DBB" w:rsidP="00BD448D">
      <w:pPr>
        <w:pStyle w:val="0-NORMAL"/>
      </w:pPr>
      <w:r w:rsidRPr="007F2B85">
        <w:rPr>
          <w:b/>
        </w:rPr>
        <w:t xml:space="preserve">Problem </w:t>
      </w:r>
      <w:r w:rsidR="00AC3DC6" w:rsidRPr="007F2B85">
        <w:rPr>
          <w:b/>
        </w:rPr>
        <w:t>4</w:t>
      </w:r>
      <w:r w:rsidR="00E2635A">
        <w:t xml:space="preserve">. </w:t>
      </w:r>
      <w:r w:rsidR="003D337F" w:rsidRPr="00935DBB">
        <w:t xml:space="preserve">Explain how the monthly payment would change </w:t>
      </w:r>
      <w:r w:rsidR="007C4937">
        <w:t xml:space="preserve">under the facts in Problem </w:t>
      </w:r>
      <w:r w:rsidR="006F5C34">
        <w:t>(</w:t>
      </w:r>
      <w:r w:rsidR="007C4937">
        <w:t>1</w:t>
      </w:r>
      <w:r w:rsidR="006F5C34">
        <w:t>)</w:t>
      </w:r>
      <w:r w:rsidR="007C4937">
        <w:t xml:space="preserve"> </w:t>
      </w:r>
      <w:r w:rsidR="003D337F" w:rsidRPr="00935DBB">
        <w:t>if Abraham used the Ford Ranger for work</w:t>
      </w:r>
      <w:r w:rsidR="005F6A8B">
        <w:t xml:space="preserve">. </w:t>
      </w:r>
      <w:r w:rsidR="003D337F" w:rsidRPr="00935DBB">
        <w:t>Do not change your remaining calculations for the plan.</w:t>
      </w:r>
    </w:p>
    <w:p w14:paraId="19FC2A81" w14:textId="37BFA6B9" w:rsidR="005E4BD6" w:rsidRPr="007A5BBC" w:rsidRDefault="00AC3DC6" w:rsidP="00BD448D">
      <w:pPr>
        <w:pStyle w:val="0-NORMAL"/>
      </w:pPr>
      <w:r w:rsidRPr="007F2B85">
        <w:rPr>
          <w:b/>
        </w:rPr>
        <w:t>Problem 5</w:t>
      </w:r>
      <w:r w:rsidR="005F6A8B">
        <w:t xml:space="preserve">. </w:t>
      </w:r>
      <w:bookmarkStart w:id="5943" w:name="OLE_LINK211"/>
      <w:bookmarkStart w:id="5944" w:name="OLE_LINK212"/>
      <w:r w:rsidR="00391B83">
        <w:t>In addition to the above facts, assume that t</w:t>
      </w:r>
      <w:r w:rsidR="003D337F" w:rsidRPr="007A5BBC">
        <w:t xml:space="preserve">he </w:t>
      </w:r>
      <w:r w:rsidR="00391B83">
        <w:t xml:space="preserve">Lincolns own a </w:t>
      </w:r>
      <w:r w:rsidR="003D337F" w:rsidRPr="007A5BBC">
        <w:t xml:space="preserve">20 acre parcel of undeveloped land in Onondaga County </w:t>
      </w:r>
      <w:r w:rsidR="00391B83">
        <w:t>that is free and clear of liens</w:t>
      </w:r>
      <w:r w:rsidR="005F6A8B">
        <w:t xml:space="preserve">. </w:t>
      </w:r>
      <w:r w:rsidR="00391B83" w:rsidRPr="007A5BBC">
        <w:t xml:space="preserve">The </w:t>
      </w:r>
      <w:r w:rsidR="00391B83">
        <w:t xml:space="preserve">Lincolns </w:t>
      </w:r>
      <w:r w:rsidR="00391B83" w:rsidRPr="007A5BBC">
        <w:t>believe that the land may have great value when the western United States runs out of water and those residents migrate back to the Syracuse area</w:t>
      </w:r>
      <w:r w:rsidR="005F6A8B">
        <w:t xml:space="preserve">. </w:t>
      </w:r>
      <w:r w:rsidR="00391B83">
        <w:t xml:space="preserve">The Lincolns claim that the land could be liquidated for </w:t>
      </w:r>
      <w:r w:rsidR="003D337F" w:rsidRPr="007A5BBC">
        <w:t>$39,000</w:t>
      </w:r>
      <w:r w:rsidR="00FC7DFF" w:rsidRPr="007A5BBC">
        <w:t xml:space="preserve"> after sales commissions</w:t>
      </w:r>
      <w:r w:rsidR="005F6A8B">
        <w:t xml:space="preserve">. </w:t>
      </w:r>
      <w:r w:rsidR="00391B83">
        <w:t>A creditor has objected to the plan claiming that the property could be liquidated for $42,000</w:t>
      </w:r>
      <w:r w:rsidR="005F6A8B">
        <w:t xml:space="preserve">. </w:t>
      </w:r>
      <w:r w:rsidR="00391B83">
        <w:t xml:space="preserve">Explain whether confirmation depends on the value of the property? </w:t>
      </w:r>
      <w:r w:rsidR="003D337F" w:rsidRPr="00DA5356">
        <w:rPr>
          <w:i/>
          <w:iCs/>
        </w:rPr>
        <w:t xml:space="preserve">See </w:t>
      </w:r>
      <w:r w:rsidR="003D337F" w:rsidRPr="007A5BBC">
        <w:t>11 U.S.C. § 1325(a)(4).</w:t>
      </w:r>
    </w:p>
    <w:p w14:paraId="2AB222A5" w14:textId="77777777" w:rsidR="0089216B" w:rsidRPr="007A5BBC" w:rsidRDefault="0089216B" w:rsidP="0031499C">
      <w:pPr>
        <w:rPr>
          <w:rFonts w:ascii="Times New Roman" w:hAnsi="Times New Roman"/>
          <w:szCs w:val="24"/>
        </w:rPr>
      </w:pPr>
    </w:p>
    <w:bookmarkEnd w:id="5943"/>
    <w:bookmarkEnd w:id="5944"/>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21D7AFFB" w14:textId="38F84A3C" w:rsidR="007C4937" w:rsidRPr="00E34AF9" w:rsidRDefault="00E34AF9" w:rsidP="008A26C8">
      <w:pPr>
        <w:pStyle w:val="Heading1"/>
        <w:spacing w:line="240" w:lineRule="auto"/>
      </w:pPr>
      <w:bookmarkStart w:id="5945" w:name="_Toc417380917"/>
      <w:r>
        <w:t xml:space="preserve"> </w:t>
      </w:r>
      <w:bookmarkStart w:id="5946" w:name="_Toc79699322"/>
      <w:bookmarkStart w:id="5947" w:name="_Toc79699648"/>
      <w:bookmarkStart w:id="5948" w:name="_Toc79699986"/>
      <w:bookmarkStart w:id="5949" w:name="_Toc79700306"/>
      <w:bookmarkStart w:id="5950" w:name="_Toc79700628"/>
      <w:bookmarkStart w:id="5951" w:name="_Toc87039406"/>
      <w:bookmarkStart w:id="5952" w:name="_Toc90983802"/>
      <w:r w:rsidR="00F55BE5" w:rsidRPr="007A5BBC">
        <w:t xml:space="preserve">Business Reorganizations under Chapter </w:t>
      </w:r>
      <w:bookmarkStart w:id="5953" w:name="_Toc417379049"/>
      <w:bookmarkStart w:id="5954" w:name="_Toc417380918"/>
      <w:bookmarkStart w:id="5955" w:name="_Toc417379050"/>
      <w:bookmarkStart w:id="5956" w:name="_Toc417380919"/>
      <w:bookmarkStart w:id="5957" w:name="_Toc438473354"/>
      <w:bookmarkStart w:id="5958" w:name="_Toc438473670"/>
      <w:bookmarkStart w:id="5959" w:name="_Toc438473986"/>
      <w:bookmarkStart w:id="5960" w:name="_Toc438474302"/>
      <w:bookmarkStart w:id="5961" w:name="_Toc438476763"/>
      <w:bookmarkStart w:id="5962" w:name="_Toc438661516"/>
      <w:bookmarkStart w:id="5963" w:name="_Toc438661845"/>
      <w:bookmarkStart w:id="5964" w:name="_Toc438662240"/>
      <w:bookmarkStart w:id="5965" w:name="_Toc438662572"/>
      <w:bookmarkStart w:id="5966" w:name="_Toc438662910"/>
      <w:bookmarkStart w:id="5967" w:name="_Toc438663242"/>
      <w:bookmarkStart w:id="5968" w:name="_Toc438663569"/>
      <w:bookmarkStart w:id="5969" w:name="_Toc438663896"/>
      <w:bookmarkStart w:id="5970" w:name="_Toc438664221"/>
      <w:bookmarkStart w:id="5971" w:name="_Toc438664548"/>
      <w:bookmarkStart w:id="5972" w:name="_Toc438665293"/>
      <w:bookmarkStart w:id="5973" w:name="_Toc450735238"/>
      <w:bookmarkStart w:id="5974" w:name="_Toc450735567"/>
      <w:bookmarkStart w:id="5975" w:name="_Toc450739963"/>
      <w:bookmarkStart w:id="5976" w:name="_Toc457995783"/>
      <w:bookmarkStart w:id="5977" w:name="_Toc457997612"/>
      <w:bookmarkStart w:id="5978" w:name="_Toc458006844"/>
      <w:bookmarkStart w:id="5979" w:name="_Toc458075156"/>
      <w:bookmarkStart w:id="5980" w:name="_Toc485065690"/>
      <w:bookmarkEnd w:id="5945"/>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r>
        <w:t>11</w:t>
      </w:r>
      <w:bookmarkStart w:id="5981" w:name="_Toc438473355"/>
      <w:bookmarkStart w:id="5982" w:name="_Toc438473671"/>
      <w:bookmarkStart w:id="5983" w:name="_Toc438473987"/>
      <w:bookmarkStart w:id="5984" w:name="_Toc438474303"/>
      <w:bookmarkStart w:id="5985" w:name="_Toc438476764"/>
      <w:bookmarkStart w:id="5986" w:name="_Toc438661517"/>
      <w:bookmarkStart w:id="5987" w:name="_Toc438661846"/>
      <w:bookmarkStart w:id="5988" w:name="_Toc438662241"/>
      <w:bookmarkStart w:id="5989" w:name="_Toc438662573"/>
      <w:bookmarkStart w:id="5990" w:name="_Toc438662911"/>
      <w:bookmarkStart w:id="5991" w:name="_Toc438663243"/>
      <w:bookmarkStart w:id="5992" w:name="_Toc438663570"/>
      <w:bookmarkStart w:id="5993" w:name="_Toc438663897"/>
      <w:bookmarkStart w:id="5994" w:name="_Toc438664222"/>
      <w:bookmarkStart w:id="5995" w:name="_Toc438664549"/>
      <w:bookmarkStart w:id="5996" w:name="_Toc438665294"/>
      <w:bookmarkStart w:id="5997" w:name="_Toc450735239"/>
      <w:bookmarkStart w:id="5998" w:name="_Toc450735568"/>
      <w:bookmarkStart w:id="5999" w:name="_Toc450739964"/>
      <w:bookmarkStart w:id="6000" w:name="_Toc457995784"/>
      <w:bookmarkStart w:id="6001" w:name="_Toc457997613"/>
      <w:bookmarkStart w:id="6002" w:name="_Toc458006845"/>
      <w:bookmarkStart w:id="6003" w:name="_Toc458075157"/>
      <w:bookmarkStart w:id="6004" w:name="_Toc485065691"/>
      <w:bookmarkStart w:id="6005" w:name="_Toc79687539"/>
      <w:bookmarkStart w:id="6006" w:name="_Toc79687863"/>
      <w:bookmarkStart w:id="6007" w:name="_Toc79688230"/>
      <w:bookmarkStart w:id="6008" w:name="_Toc79688559"/>
      <w:bookmarkStart w:id="6009" w:name="_Toc79689495"/>
      <w:bookmarkStart w:id="6010" w:name="_Toc79693180"/>
      <w:bookmarkStart w:id="6011" w:name="_Toc79693500"/>
      <w:bookmarkStart w:id="6012" w:name="_Toc79693820"/>
      <w:bookmarkStart w:id="6013" w:name="_Toc79694137"/>
      <w:bookmarkStart w:id="6014" w:name="_Toc79694455"/>
      <w:bookmarkStart w:id="6015" w:name="_Toc79694775"/>
      <w:bookmarkStart w:id="6016" w:name="_Toc79695089"/>
      <w:bookmarkStart w:id="6017" w:name="_Toc79695405"/>
      <w:bookmarkStart w:id="6018" w:name="_Toc79695721"/>
      <w:bookmarkStart w:id="6019" w:name="_Toc79696037"/>
      <w:bookmarkStart w:id="6020" w:name="_Toc79696353"/>
      <w:bookmarkStart w:id="6021" w:name="_Toc79696669"/>
      <w:bookmarkStart w:id="6022" w:name="_Toc79696990"/>
      <w:bookmarkStart w:id="6023" w:name="_Toc79697322"/>
      <w:bookmarkStart w:id="6024" w:name="_Toc79697651"/>
      <w:bookmarkStart w:id="6025" w:name="_Toc417380920"/>
      <w:bookmarkEnd w:id="5946"/>
      <w:bookmarkEnd w:id="5947"/>
      <w:bookmarkEnd w:id="5948"/>
      <w:bookmarkEnd w:id="5949"/>
      <w:bookmarkEnd w:id="5950"/>
      <w:bookmarkEnd w:id="5951"/>
      <w:bookmarkEnd w:id="5952"/>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r w:rsidR="008A26C8">
        <w:br/>
      </w:r>
    </w:p>
    <w:p w14:paraId="5C9B4CD7" w14:textId="6E58C1A9" w:rsidR="00F278DA" w:rsidRPr="007A5BBC" w:rsidRDefault="00F278DA" w:rsidP="008A26C8">
      <w:pPr>
        <w:pStyle w:val="Heading2"/>
        <w:spacing w:line="240" w:lineRule="auto"/>
      </w:pPr>
      <w:bookmarkStart w:id="6026" w:name="_Toc79699323"/>
      <w:bookmarkStart w:id="6027" w:name="_Toc79699649"/>
      <w:bookmarkStart w:id="6028" w:name="_Toc79699987"/>
      <w:bookmarkStart w:id="6029" w:name="_Toc79700307"/>
      <w:bookmarkStart w:id="6030" w:name="_Toc79700629"/>
      <w:bookmarkStart w:id="6031" w:name="_Toc87039407"/>
      <w:bookmarkStart w:id="6032" w:name="_Toc90983803"/>
      <w:r w:rsidRPr="007A5BBC">
        <w:t xml:space="preserve">Introduction </w:t>
      </w:r>
      <w:r w:rsidR="0095283F" w:rsidRPr="007A5BBC">
        <w:t>to Chapter 11 of the Bankruptcy Code</w:t>
      </w:r>
      <w:bookmarkStart w:id="6033" w:name="_Toc79693181"/>
      <w:bookmarkStart w:id="6034" w:name="_Toc79693501"/>
      <w:bookmarkStart w:id="6035" w:name="_Toc79693821"/>
      <w:bookmarkStart w:id="6036" w:name="_Toc79694138"/>
      <w:bookmarkStart w:id="6037" w:name="_Toc79694776"/>
      <w:bookmarkStart w:id="6038" w:name="_Toc79695406"/>
      <w:bookmarkStart w:id="6039" w:name="_Toc79697652"/>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r w:rsidR="008A26C8">
        <w:br/>
      </w:r>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6C1E3416" w:rsidR="00E64C89"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5DC11FC9" w14:textId="77777777" w:rsidR="00635F37" w:rsidRPr="007A5BBC" w:rsidRDefault="00635F37" w:rsidP="00BA4893">
      <w:pPr>
        <w:ind w:firstLine="720"/>
        <w:jc w:val="both"/>
        <w:rPr>
          <w:rFonts w:ascii="Times New Roman" w:hAnsi="Times New Roman"/>
          <w:szCs w:val="24"/>
        </w:rPr>
      </w:pPr>
    </w:p>
    <w:p w14:paraId="34B1BC92" w14:textId="10031EDB" w:rsidR="00E64C89" w:rsidRPr="007A5BBC" w:rsidRDefault="00E64C89" w:rsidP="00635F37">
      <w:pPr>
        <w:pStyle w:val="Heading2"/>
        <w:spacing w:line="240" w:lineRule="auto"/>
      </w:pPr>
      <w:bookmarkStart w:id="6040" w:name="_Toc417380921"/>
      <w:bookmarkStart w:id="6041" w:name="_Toc79699324"/>
      <w:bookmarkStart w:id="6042" w:name="_Toc79699650"/>
      <w:bookmarkStart w:id="6043" w:name="_Toc79699988"/>
      <w:bookmarkStart w:id="6044" w:name="_Toc79700308"/>
      <w:bookmarkStart w:id="6045" w:name="_Toc79700630"/>
      <w:bookmarkStart w:id="6046" w:name="_Toc87039408"/>
      <w:bookmarkStart w:id="6047" w:name="_Toc90983804"/>
      <w:r w:rsidRPr="007A5BBC">
        <w:t>The Chapter 11 Process</w:t>
      </w:r>
      <w:bookmarkStart w:id="6048" w:name="_Toc79693182"/>
      <w:bookmarkStart w:id="6049" w:name="_Toc79693502"/>
      <w:bookmarkStart w:id="6050" w:name="_Toc79693822"/>
      <w:bookmarkStart w:id="6051" w:name="_Toc79694139"/>
      <w:bookmarkStart w:id="6052" w:name="_Toc79694777"/>
      <w:bookmarkStart w:id="6053" w:name="_Toc79695407"/>
      <w:bookmarkStart w:id="6054" w:name="_Toc79697653"/>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r w:rsidR="00635F37">
        <w:br/>
      </w:r>
    </w:p>
    <w:p w14:paraId="1FF9D669" w14:textId="339D8840"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r w:rsidRPr="007A5BBC">
        <w:rPr>
          <w:rFonts w:ascii="Times New Roman" w:hAnsi="Times New Roman"/>
          <w:szCs w:val="24"/>
        </w:rPr>
        <w:t>11 U.S.C. § 1107(a)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(11 U.S.C. § 1104(a)), but Chapter 11 trustees are the exception not the rule.</w:t>
      </w:r>
    </w:p>
    <w:p w14:paraId="47BCD8E5" w14:textId="4243AE46"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to balance and operate as a check on the powers of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11 U.S.C. § 1102(b)(1)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19732AC3"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A23DF9">
        <w:rPr>
          <w:rFonts w:ascii="Times New Roman" w:hAnsi="Times New Roman"/>
          <w:szCs w:val="24"/>
        </w:rPr>
        <w:t xml:space="preserve"> </w:t>
      </w:r>
      <w:r w:rsidRPr="007A5BBC">
        <w:rPr>
          <w:rFonts w:ascii="Times New Roman" w:hAnsi="Times New Roman"/>
          <w:szCs w:val="24"/>
        </w:rPr>
        <w:t xml:space="preserve">who are </w:t>
      </w:r>
      <w:r w:rsidR="00A23DF9">
        <w:rPr>
          <w:rFonts w:ascii="Times New Roman" w:hAnsi="Times New Roman"/>
          <w:szCs w:val="24"/>
        </w:rPr>
        <w:t xml:space="preserve">entitled to administrative claims against the bankruptcy estate </w:t>
      </w:r>
      <w:r w:rsidRPr="007A5BBC">
        <w:rPr>
          <w:rFonts w:ascii="Times New Roman" w:hAnsi="Times New Roman"/>
          <w:szCs w:val="24"/>
        </w:rPr>
        <w:t xml:space="preserve">for </w:t>
      </w:r>
      <w:r w:rsidR="00A23DF9">
        <w:rPr>
          <w:rFonts w:ascii="Times New Roman" w:hAnsi="Times New Roman"/>
          <w:szCs w:val="24"/>
        </w:rPr>
        <w:t xml:space="preserve">their </w:t>
      </w:r>
      <w:r w:rsidRPr="007A5BBC">
        <w:rPr>
          <w:rFonts w:ascii="Times New Roman" w:hAnsi="Times New Roman"/>
          <w:szCs w:val="24"/>
        </w:rPr>
        <w:t xml:space="preserve">costs and </w:t>
      </w:r>
      <w:r w:rsidR="00A23DF9">
        <w:rPr>
          <w:rFonts w:ascii="Times New Roman" w:hAnsi="Times New Roman"/>
          <w:szCs w:val="24"/>
        </w:rPr>
        <w:t xml:space="preserve">attorney </w:t>
      </w:r>
      <w:r w:rsidRPr="007A5BBC">
        <w:rPr>
          <w:rFonts w:ascii="Times New Roman" w:hAnsi="Times New Roman"/>
          <w:szCs w:val="24"/>
        </w:rPr>
        <w:t xml:space="preserve">fees – to represent other constituents in the case (such as stockholders, bondholders, secured creditors, </w:t>
      </w:r>
      <w:r w:rsidR="005204B1" w:rsidRPr="007A5BBC">
        <w:rPr>
          <w:rFonts w:ascii="Times New Roman" w:hAnsi="Times New Roman"/>
          <w:szCs w:val="24"/>
        </w:rPr>
        <w:t>etc.</w:t>
      </w:r>
      <w:r w:rsidRPr="007A5BBC">
        <w:rPr>
          <w:rFonts w:ascii="Times New Roman" w:hAnsi="Times New Roman"/>
          <w:szCs w:val="24"/>
        </w:rPr>
        <w:t>)</w:t>
      </w:r>
      <w:r w:rsidR="005F6A8B">
        <w:rPr>
          <w:rFonts w:ascii="Times New Roman" w:hAnsi="Times New Roman"/>
          <w:szCs w:val="24"/>
        </w:rPr>
        <w:t xml:space="preserve">. </w:t>
      </w:r>
      <w:r w:rsidR="00A23DF9">
        <w:rPr>
          <w:rFonts w:ascii="Times New Roman" w:hAnsi="Times New Roman"/>
          <w:szCs w:val="24"/>
        </w:rPr>
        <w:t xml:space="preserve">Unofficial </w:t>
      </w:r>
      <w:r w:rsidR="0050377F" w:rsidRPr="007A5BBC">
        <w:rPr>
          <w:rFonts w:ascii="Times New Roman" w:hAnsi="Times New Roman"/>
          <w:szCs w:val="24"/>
        </w:rPr>
        <w:t>committees are often formed by interested groups to act jointly in the case to protect their own interests</w:t>
      </w:r>
      <w:r w:rsidR="005F6A8B">
        <w:rPr>
          <w:rFonts w:ascii="Times New Roman" w:hAnsi="Times New Roman"/>
          <w:szCs w:val="24"/>
        </w:rPr>
        <w:t xml:space="preserve">. </w:t>
      </w:r>
      <w:r w:rsidR="0050377F" w:rsidRPr="007A5BBC">
        <w:rPr>
          <w:rFonts w:ascii="Times New Roman" w:hAnsi="Times New Roman"/>
          <w:szCs w:val="24"/>
        </w:rPr>
        <w:t xml:space="preserve">Unofficial committees must show that they have rendered benefit to the estate in order to recover </w:t>
      </w:r>
      <w:r w:rsidR="00A23DF9">
        <w:rPr>
          <w:rFonts w:ascii="Times New Roman" w:hAnsi="Times New Roman"/>
          <w:szCs w:val="24"/>
        </w:rPr>
        <w:t xml:space="preserve">their </w:t>
      </w:r>
      <w:r w:rsidR="0050377F" w:rsidRPr="007A5BBC">
        <w:rPr>
          <w:rFonts w:ascii="Times New Roman" w:hAnsi="Times New Roman"/>
          <w:szCs w:val="24"/>
        </w:rPr>
        <w:t>costs and</w:t>
      </w:r>
      <w:r w:rsidR="00A23DF9">
        <w:rPr>
          <w:rFonts w:ascii="Times New Roman" w:hAnsi="Times New Roman"/>
          <w:szCs w:val="24"/>
        </w:rPr>
        <w:t xml:space="preserve"> fees from the bankruptcy estate as an administrative expense.</w:t>
      </w:r>
    </w:p>
    <w:p w14:paraId="5007D949" w14:textId="47A10E51"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 in possession</w:t>
      </w:r>
      <w:r w:rsidRPr="007A5BBC">
        <w:rPr>
          <w:rFonts w:ascii="Times New Roman" w:hAnsi="Times New Roman"/>
          <w:szCs w:val="24"/>
        </w:rPr>
        <w:t>’s honesty or competence, 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r w:rsidRPr="007A5BBC">
        <w:rPr>
          <w:rFonts w:ascii="Times New Roman" w:hAnsi="Times New Roman"/>
          <w:szCs w:val="24"/>
        </w:rPr>
        <w:t>11 U.S.C. § 1104(c)</w:t>
      </w:r>
      <w:r w:rsidR="005F6A8B">
        <w:rPr>
          <w:rFonts w:ascii="Times New Roman" w:hAnsi="Times New Roman"/>
          <w:szCs w:val="24"/>
        </w:rPr>
        <w:t xml:space="preserve">. </w:t>
      </w:r>
    </w:p>
    <w:p w14:paraId="67C05FE9" w14:textId="6212FB4D" w:rsidR="00E64C89"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The bankruptcy court has to carefully consider the size and complexity of the case in deciding whether multiple official committees are appropriate.</w:t>
      </w:r>
    </w:p>
    <w:p w14:paraId="0D3FA15A" w14:textId="77777777" w:rsidR="00635F37" w:rsidRPr="007A5BBC" w:rsidRDefault="00635F37" w:rsidP="00BA4893">
      <w:pPr>
        <w:ind w:firstLine="720"/>
        <w:jc w:val="both"/>
        <w:rPr>
          <w:rFonts w:ascii="Times New Roman" w:hAnsi="Times New Roman"/>
          <w:szCs w:val="24"/>
        </w:rPr>
      </w:pPr>
    </w:p>
    <w:p w14:paraId="64D73541" w14:textId="07931FFE" w:rsidR="003D337F" w:rsidRPr="007A5BBC" w:rsidRDefault="0050377F" w:rsidP="00635F37">
      <w:pPr>
        <w:pStyle w:val="Heading2"/>
        <w:spacing w:line="240" w:lineRule="auto"/>
      </w:pPr>
      <w:bookmarkStart w:id="6055" w:name="_Toc417380922"/>
      <w:bookmarkStart w:id="6056" w:name="_Toc79699325"/>
      <w:bookmarkStart w:id="6057" w:name="_Toc79699651"/>
      <w:bookmarkStart w:id="6058" w:name="_Toc79699989"/>
      <w:bookmarkStart w:id="6059" w:name="_Toc79700309"/>
      <w:bookmarkStart w:id="6060" w:name="_Toc79700631"/>
      <w:bookmarkStart w:id="6061" w:name="_Toc87039409"/>
      <w:bookmarkStart w:id="6062" w:name="_Toc90983805"/>
      <w:r w:rsidRPr="007A5BBC">
        <w:t>The Exclusivity Period</w:t>
      </w:r>
      <w:bookmarkStart w:id="6063" w:name="_Toc79693183"/>
      <w:bookmarkStart w:id="6064" w:name="_Toc79693503"/>
      <w:bookmarkStart w:id="6065" w:name="_Toc79693823"/>
      <w:bookmarkStart w:id="6066" w:name="_Toc79694140"/>
      <w:bookmarkStart w:id="6067" w:name="_Toc79694778"/>
      <w:bookmarkStart w:id="6068" w:name="_Toc79695408"/>
      <w:bookmarkStart w:id="6069" w:name="_Toc796976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r w:rsidR="00635F37">
        <w:br/>
      </w:r>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58A2A4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r w:rsidRPr="007A5BBC">
        <w:rPr>
          <w:rFonts w:ascii="Times New Roman" w:hAnsi="Times New Roman"/>
          <w:szCs w:val="24"/>
        </w:rPr>
        <w:t>11 U.S.C. § 1121(b) and (c)</w:t>
      </w:r>
      <w:r w:rsidR="005F6A8B">
        <w:rPr>
          <w:rFonts w:ascii="Times New Roman" w:hAnsi="Times New Roman"/>
          <w:szCs w:val="24"/>
        </w:rPr>
        <w:t xml:space="preserve">. </w:t>
      </w:r>
    </w:p>
    <w:p w14:paraId="1B50EE5F" w14:textId="77458A85"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r w:rsidR="0009671D" w:rsidRPr="007A5BBC">
        <w:rPr>
          <w:rFonts w:ascii="Times New Roman" w:hAnsi="Times New Roman"/>
          <w:szCs w:val="24"/>
        </w:rPr>
        <w:t>11 U.S.C. § 1121(d)(2).</w:t>
      </w:r>
    </w:p>
    <w:p w14:paraId="6596B040" w14:textId="4D301018" w:rsidR="0009671D"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r w:rsidR="00BD78C5" w:rsidRPr="007A5BBC">
        <w:rPr>
          <w:rFonts w:ascii="Times New Roman" w:hAnsi="Times New Roman"/>
          <w:szCs w:val="24"/>
        </w:rPr>
        <w:t>11 U.S.C. § 1121(c)(1).</w:t>
      </w:r>
    </w:p>
    <w:p w14:paraId="47E6536B" w14:textId="77777777" w:rsidR="00635F37" w:rsidRPr="007A5BBC" w:rsidRDefault="00635F37" w:rsidP="00BA4893">
      <w:pPr>
        <w:ind w:firstLine="720"/>
        <w:jc w:val="both"/>
        <w:rPr>
          <w:rFonts w:ascii="Times New Roman" w:hAnsi="Times New Roman"/>
          <w:szCs w:val="24"/>
        </w:rPr>
      </w:pPr>
    </w:p>
    <w:p w14:paraId="10D39C68" w14:textId="02E80BDB" w:rsidR="0009671D" w:rsidRPr="007A5BBC" w:rsidRDefault="0009671D" w:rsidP="00635F37">
      <w:pPr>
        <w:pStyle w:val="Heading2"/>
        <w:spacing w:line="240" w:lineRule="auto"/>
      </w:pPr>
      <w:bookmarkStart w:id="6070" w:name="_Toc417380923"/>
      <w:bookmarkStart w:id="6071" w:name="_Toc79699326"/>
      <w:bookmarkStart w:id="6072" w:name="_Toc79699652"/>
      <w:bookmarkStart w:id="6073" w:name="_Toc79699990"/>
      <w:bookmarkStart w:id="6074" w:name="_Toc79700310"/>
      <w:bookmarkStart w:id="6075" w:name="_Toc79700632"/>
      <w:bookmarkStart w:id="6076" w:name="_Toc87039410"/>
      <w:bookmarkStart w:id="6077" w:name="_Toc90983806"/>
      <w:r w:rsidRPr="007A5BBC">
        <w:t>Negotiating a Plan and the Disclosure Statement</w:t>
      </w:r>
      <w:bookmarkStart w:id="6078" w:name="_Toc79693184"/>
      <w:bookmarkStart w:id="6079" w:name="_Toc79693504"/>
      <w:bookmarkStart w:id="6080" w:name="_Toc79693824"/>
      <w:bookmarkStart w:id="6081" w:name="_Toc79694141"/>
      <w:bookmarkStart w:id="6082" w:name="_Toc79694779"/>
      <w:bookmarkStart w:id="6083" w:name="_Toc79695409"/>
      <w:bookmarkStart w:id="6084" w:name="_Toc79697655"/>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r w:rsidR="00635F37">
        <w:br/>
      </w:r>
    </w:p>
    <w:p w14:paraId="36C9F8CA" w14:textId="6A30EF26"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r w:rsidRPr="007A5BBC">
        <w:rPr>
          <w:rFonts w:ascii="Times New Roman" w:hAnsi="Times New Roman"/>
          <w:szCs w:val="24"/>
        </w:rPr>
        <w:t>11 U.S.C. § 1125(b)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As long as a formal vote is not being solicited, a plan proponent may have general discussions about plan terms with 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6E7E5AC8"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The disclosure statement is like a security prospectus – it must contain “adequate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8370C1" w:rsidRPr="00DA5356">
        <w:rPr>
          <w:rFonts w:ascii="Times New Roman" w:hAnsi="Times New Roman"/>
          <w:i/>
          <w:iCs/>
          <w:szCs w:val="24"/>
        </w:rPr>
        <w:t xml:space="preserve">See </w:t>
      </w:r>
      <w:r w:rsidR="008370C1" w:rsidRPr="007A5BBC">
        <w:rPr>
          <w:rFonts w:ascii="Times New Roman" w:hAnsi="Times New Roman"/>
          <w:szCs w:val="24"/>
        </w:rPr>
        <w:t>11 U.S.C. § 1125(e).</w:t>
      </w:r>
    </w:p>
    <w:p w14:paraId="761401BE" w14:textId="5EA09EA1"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Bankruptcy Rule 3017.</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0E566DCA"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Some judges accept an offer of proof and confirm the plan if the requirements are met and there is no 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Confirmation is governed by Section 1129 of the Bankruptcy Code, which we will review in some detail.</w:t>
      </w:r>
    </w:p>
    <w:p w14:paraId="3C7EA2C3" w14:textId="0F95321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1141(d)(5).</w:t>
      </w:r>
    </w:p>
    <w:p w14:paraId="1306EF09" w14:textId="22866687"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r w:rsidR="008845BB" w:rsidRPr="007A5BBC">
        <w:rPr>
          <w:rFonts w:ascii="Times New Roman" w:hAnsi="Times New Roman"/>
          <w:szCs w:val="24"/>
        </w:rPr>
        <w:t>11 U.S.C. § 2002(b)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B950594"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One popular method for minimizing the time in bankruptcy is the pre-packaged plan of reorganization, permitted by Section 1125(g) of the Bankruptcy Code</w:t>
      </w:r>
    </w:p>
    <w:p w14:paraId="4E29FC25" w14:textId="4CD57878" w:rsidR="002D6770"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1125(g)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the Bankruptcy Code’s disclosure statement requirements (and complied with applicable non-bankruptcy law – 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p>
    <w:p w14:paraId="347B6557" w14:textId="77777777" w:rsidR="00635F37" w:rsidRPr="007A5BBC" w:rsidRDefault="00635F37" w:rsidP="00BA4893">
      <w:pPr>
        <w:ind w:firstLine="720"/>
        <w:jc w:val="both"/>
        <w:rPr>
          <w:rFonts w:ascii="Times New Roman" w:hAnsi="Times New Roman"/>
          <w:szCs w:val="24"/>
        </w:rPr>
      </w:pPr>
    </w:p>
    <w:p w14:paraId="5E20B4D6" w14:textId="00A6B721" w:rsidR="00BD78C5" w:rsidRPr="007A5BBC" w:rsidRDefault="008A2DC0" w:rsidP="00635F37">
      <w:pPr>
        <w:pStyle w:val="Heading2"/>
        <w:spacing w:line="240" w:lineRule="auto"/>
      </w:pPr>
      <w:bookmarkStart w:id="6085" w:name="_Toc417380924"/>
      <w:bookmarkStart w:id="6086" w:name="_Toc79699327"/>
      <w:bookmarkStart w:id="6087" w:name="_Toc79699653"/>
      <w:bookmarkStart w:id="6088" w:name="_Toc79699991"/>
      <w:bookmarkStart w:id="6089" w:name="_Toc79700311"/>
      <w:bookmarkStart w:id="6090" w:name="_Toc79700633"/>
      <w:bookmarkStart w:id="6091" w:name="_Toc87039411"/>
      <w:bookmarkStart w:id="6092" w:name="_Toc90983807"/>
      <w:r w:rsidRPr="007A5BBC">
        <w:t>Classification</w:t>
      </w:r>
      <w:bookmarkStart w:id="6093" w:name="_Toc79693185"/>
      <w:bookmarkStart w:id="6094" w:name="_Toc79693505"/>
      <w:bookmarkStart w:id="6095" w:name="_Toc79693825"/>
      <w:bookmarkStart w:id="6096" w:name="_Toc79694142"/>
      <w:bookmarkStart w:id="6097" w:name="_Toc79694780"/>
      <w:bookmarkStart w:id="6098" w:name="_Toc79695410"/>
      <w:bookmarkStart w:id="6099" w:name="_Toc79697656"/>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r w:rsidR="00635F37">
        <w:br/>
      </w:r>
    </w:p>
    <w:p w14:paraId="474D827E" w14:textId="376F78CE"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DA5356">
        <w:rPr>
          <w:rFonts w:ascii="Times New Roman" w:hAnsi="Times New Roman"/>
          <w:i/>
          <w:iCs/>
          <w:szCs w:val="24"/>
        </w:rPr>
        <w:t xml:space="preserve">See </w:t>
      </w:r>
      <w:r w:rsidR="00366979" w:rsidRPr="007A5BBC">
        <w:rPr>
          <w:rFonts w:ascii="Times New Roman" w:hAnsi="Times New Roman"/>
          <w:szCs w:val="24"/>
        </w:rPr>
        <w:t>11 U.S.C. § 1129(a)(8), (b)(1).</w:t>
      </w:r>
    </w:p>
    <w:p w14:paraId="472C6162" w14:textId="5B83028F"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Section 1122 contains the main rule on classification</w:t>
      </w:r>
      <w:r w:rsidR="005F6A8B">
        <w:rPr>
          <w:rFonts w:ascii="Times New Roman" w:hAnsi="Times New Roman"/>
          <w:szCs w:val="24"/>
        </w:rPr>
        <w:t xml:space="preserve">. </w:t>
      </w:r>
      <w:r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Pr="007A5BBC">
        <w:rPr>
          <w:rFonts w:ascii="Times New Roman" w:hAnsi="Times New Roman"/>
          <w:szCs w:val="24"/>
        </w:rPr>
        <w:t xml:space="preserve">Thus, secured claims must be </w:t>
      </w:r>
      <w:r w:rsidR="00D2628A">
        <w:rPr>
          <w:rFonts w:ascii="Times New Roman" w:hAnsi="Times New Roman"/>
          <w:szCs w:val="24"/>
        </w:rPr>
        <w:t xml:space="preserve">put in their own separate classes, </w:t>
      </w:r>
      <w:r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5960EA71"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DA5356">
        <w:rPr>
          <w:rFonts w:ascii="Times New Roman" w:hAnsi="Times New Roman"/>
          <w:i/>
          <w:iCs/>
          <w:szCs w:val="24"/>
        </w:rPr>
        <w:t xml:space="preserve">See </w:t>
      </w:r>
      <w:r w:rsidRPr="007A5BBC">
        <w:rPr>
          <w:rFonts w:ascii="Times New Roman" w:hAnsi="Times New Roman"/>
          <w:szCs w:val="24"/>
        </w:rPr>
        <w:t>11 U.S.C. § 1123(a)(1)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5A9E5C69"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t>The Bankruptcy Code allows the creation of a small claims class for administrative convenience</w:t>
      </w:r>
      <w:r w:rsidR="005F6A8B">
        <w:rPr>
          <w:rFonts w:ascii="Times New Roman" w:hAnsi="Times New Roman"/>
          <w:szCs w:val="24"/>
        </w:rPr>
        <w:t xml:space="preserve">. </w:t>
      </w:r>
      <w:r w:rsidRPr="007A5BBC">
        <w:rPr>
          <w:rFonts w:ascii="Times New Roman" w:hAnsi="Times New Roman"/>
          <w:szCs w:val="24"/>
        </w:rPr>
        <w:t>11 U.S.C. § 1122(b)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23A8536A" w:rsidR="0049285A"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r w:rsidRPr="007A5BBC">
        <w:rPr>
          <w:rFonts w:ascii="Times New Roman" w:hAnsi="Times New Roman"/>
          <w:szCs w:val="24"/>
        </w:rPr>
        <w:t>Section 1122 of the Bankruptcy Code requires separate 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The common law has restricted the separate classification of similar claims made for strategic purposes (usually to meet the confirmation requirement in Section 1129(a)(10)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506(a)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0B94D8A3" w14:textId="77777777" w:rsidR="00635F37" w:rsidRPr="007A5BBC" w:rsidRDefault="00635F37" w:rsidP="00BA4893">
      <w:pPr>
        <w:ind w:firstLine="720"/>
        <w:jc w:val="both"/>
        <w:rPr>
          <w:rFonts w:ascii="Times New Roman" w:hAnsi="Times New Roman"/>
          <w:szCs w:val="24"/>
        </w:rPr>
      </w:pPr>
    </w:p>
    <w:p w14:paraId="61C616EF" w14:textId="2000D2B1" w:rsidR="0049285A" w:rsidRPr="007A5BBC" w:rsidRDefault="0049285A" w:rsidP="00635F37">
      <w:pPr>
        <w:pStyle w:val="Heading2"/>
        <w:spacing w:line="240" w:lineRule="auto"/>
      </w:pPr>
      <w:bookmarkStart w:id="6100" w:name="_Toc417380925"/>
      <w:bookmarkStart w:id="6101" w:name="_Toc79699328"/>
      <w:bookmarkStart w:id="6102" w:name="_Toc79699654"/>
      <w:bookmarkStart w:id="6103" w:name="_Toc79699992"/>
      <w:bookmarkStart w:id="6104" w:name="_Toc79700312"/>
      <w:bookmarkStart w:id="6105" w:name="_Toc79700634"/>
      <w:bookmarkStart w:id="6106" w:name="_Toc87039412"/>
      <w:bookmarkStart w:id="6107" w:name="_Toc90983808"/>
      <w:r w:rsidRPr="007A5BBC">
        <w:t>Voting and Impairment</w:t>
      </w:r>
      <w:bookmarkStart w:id="6108" w:name="_Toc79693186"/>
      <w:bookmarkStart w:id="6109" w:name="_Toc79693506"/>
      <w:bookmarkStart w:id="6110" w:name="_Toc79693826"/>
      <w:bookmarkStart w:id="6111" w:name="_Toc79694143"/>
      <w:bookmarkStart w:id="6112" w:name="_Toc79694781"/>
      <w:bookmarkStart w:id="6113" w:name="_Toc79695411"/>
      <w:bookmarkStart w:id="6114" w:name="_Toc79697657"/>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r w:rsidR="00635F37">
        <w:br/>
      </w:r>
    </w:p>
    <w:p w14:paraId="076AA7D8" w14:textId="4EC54454"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r w:rsidRPr="007A5BBC">
        <w:rPr>
          <w:rFonts w:ascii="Times New Roman" w:hAnsi="Times New Roman"/>
          <w:szCs w:val="24"/>
        </w:rPr>
        <w:t>11 U.S.C. § 1126(c)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r w:rsidRPr="007A5BBC">
        <w:rPr>
          <w:rFonts w:ascii="Times New Roman" w:hAnsi="Times New Roman"/>
          <w:szCs w:val="24"/>
        </w:rPr>
        <w:t>11 U.S.C. § 1126(d)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r w:rsidRPr="007A5BBC">
        <w:rPr>
          <w:rFonts w:ascii="Times New Roman" w:hAnsi="Times New Roman"/>
          <w:szCs w:val="24"/>
        </w:rPr>
        <w:t xml:space="preserve">11 U.S.C. § 1126(e). </w:t>
      </w:r>
    </w:p>
    <w:p w14:paraId="21B5B4DB" w14:textId="38226B98" w:rsidR="0049285A"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r w:rsidRPr="007A5BBC">
        <w:rPr>
          <w:rFonts w:ascii="Times New Roman" w:hAnsi="Times New Roman"/>
          <w:szCs w:val="24"/>
        </w:rPr>
        <w:t>11 U.S.C. § 1126(f),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r w:rsidRPr="007A5BBC">
        <w:rPr>
          <w:rFonts w:ascii="Times New Roman" w:hAnsi="Times New Roman"/>
          <w:szCs w:val="24"/>
        </w:rPr>
        <w:t>11 U.S.C. § 1124(1)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r w:rsidRPr="007A5BBC">
        <w:rPr>
          <w:rFonts w:ascii="Times New Roman" w:hAnsi="Times New Roman"/>
          <w:szCs w:val="24"/>
        </w:rPr>
        <w:t>11 U.S.C. § 1124(2).</w:t>
      </w:r>
    </w:p>
    <w:p w14:paraId="69942A35" w14:textId="77777777" w:rsidR="000D7676" w:rsidRPr="007A5BBC" w:rsidRDefault="000D7676" w:rsidP="00BA4893">
      <w:pPr>
        <w:ind w:firstLine="720"/>
        <w:jc w:val="both"/>
        <w:rPr>
          <w:rFonts w:ascii="Times New Roman" w:hAnsi="Times New Roman"/>
          <w:szCs w:val="24"/>
        </w:rPr>
      </w:pPr>
    </w:p>
    <w:p w14:paraId="52E7EF8D" w14:textId="702AEFB8" w:rsidR="0049285A" w:rsidRPr="007A5BBC" w:rsidRDefault="0049285A" w:rsidP="00635F37">
      <w:pPr>
        <w:pStyle w:val="Heading2"/>
        <w:spacing w:line="240" w:lineRule="auto"/>
      </w:pPr>
      <w:bookmarkStart w:id="6115" w:name="_Toc417380926"/>
      <w:bookmarkStart w:id="6116" w:name="_Toc79699329"/>
      <w:bookmarkStart w:id="6117" w:name="_Toc79699655"/>
      <w:bookmarkStart w:id="6118" w:name="_Toc79699993"/>
      <w:bookmarkStart w:id="6119" w:name="_Toc79700313"/>
      <w:bookmarkStart w:id="6120" w:name="_Toc79700635"/>
      <w:bookmarkStart w:id="6121" w:name="_Toc87039413"/>
      <w:bookmarkStart w:id="6122" w:name="_Toc90983809"/>
      <w:r w:rsidRPr="007A5BBC">
        <w:t>Non-Recourse Debt and the 1111(b) Election</w:t>
      </w:r>
      <w:bookmarkStart w:id="6123" w:name="_Toc79693187"/>
      <w:bookmarkStart w:id="6124" w:name="_Toc79693507"/>
      <w:bookmarkStart w:id="6125" w:name="_Toc79693827"/>
      <w:bookmarkStart w:id="6126" w:name="_Toc79694144"/>
      <w:bookmarkStart w:id="6127" w:name="_Toc79694782"/>
      <w:bookmarkStart w:id="6128" w:name="_Toc79695412"/>
      <w:bookmarkStart w:id="6129" w:name="_Toc79697658"/>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r w:rsidR="00635F37">
        <w:br/>
      </w:r>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In essence, the creditor has agreed to look only to the property for payment and has waived the right to recover a deficiency judgment against the borrower if the 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77777777"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One of the most strategically complex bankruptcy provisions is contained in Section 1111 of the Bankruptcy Code.</w:t>
      </w:r>
    </w:p>
    <w:p w14:paraId="401E126B" w14:textId="59A3EFCF"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Section 1111(b)(</w:t>
      </w:r>
      <w:r w:rsidR="001E4353">
        <w:rPr>
          <w:rFonts w:ascii="Times New Roman" w:hAnsi="Times New Roman"/>
          <w:szCs w:val="24"/>
        </w:rPr>
        <w:t>1) of the Bankruptcy Code automatically turns</w:t>
      </w:r>
      <w:r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Pr="007A5BBC">
        <w:rPr>
          <w:rFonts w:ascii="Times New Roman" w:hAnsi="Times New Roman"/>
          <w:szCs w:val="24"/>
        </w:rPr>
        <w:t xml:space="preserve"> debt </w:t>
      </w:r>
      <w:r w:rsidR="001E4353">
        <w:rPr>
          <w:rFonts w:ascii="Times New Roman" w:hAnsi="Times New Roman"/>
          <w:szCs w:val="24"/>
        </w:rPr>
        <w:t xml:space="preserve">in Chapter 11 </w:t>
      </w:r>
      <w:r w:rsidRPr="007A5BBC">
        <w:rPr>
          <w:rFonts w:ascii="Times New Roman" w:hAnsi="Times New Roman"/>
          <w:szCs w:val="24"/>
        </w:rPr>
        <w:t>if th</w:t>
      </w:r>
      <w:r w:rsidR="001E4353">
        <w:rPr>
          <w:rFonts w:ascii="Times New Roman" w:hAnsi="Times New Roman"/>
          <w:szCs w:val="24"/>
        </w:rPr>
        <w:t>e debtor is keeping the collateral</w:t>
      </w:r>
      <w:r w:rsidRPr="007A5BBC">
        <w:rPr>
          <w:rFonts w:ascii="Times New Roman" w:hAnsi="Times New Roman"/>
          <w:szCs w:val="24"/>
        </w:rPr>
        <w:t>, unless the debtor makes the 1111(b)(2) election</w:t>
      </w:r>
      <w:r w:rsidR="005F6A8B">
        <w:rPr>
          <w:rFonts w:ascii="Times New Roman" w:hAnsi="Times New Roman"/>
          <w:szCs w:val="24"/>
        </w:rPr>
        <w:t xml:space="preserve">. </w:t>
      </w:r>
      <w:r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Pr="007A5BBC">
        <w:rPr>
          <w:rFonts w:ascii="Times New Roman" w:hAnsi="Times New Roman"/>
          <w:szCs w:val="24"/>
        </w:rPr>
        <w:t xml:space="preserve">down under Section 506(a), the </w:t>
      </w:r>
      <w:r w:rsidR="001E4353">
        <w:rPr>
          <w:rFonts w:ascii="Times New Roman" w:hAnsi="Times New Roman"/>
          <w:szCs w:val="24"/>
        </w:rPr>
        <w:t xml:space="preserve">nonrecourse </w:t>
      </w:r>
      <w:r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Pr="007A5BBC">
        <w:rPr>
          <w:rFonts w:ascii="Times New Roman" w:hAnsi="Times New Roman"/>
          <w:szCs w:val="24"/>
        </w:rPr>
        <w:t>unless the creditor makes the 1111(b)(2) election</w:t>
      </w:r>
      <w:r w:rsidR="004C57E8">
        <w:rPr>
          <w:rFonts w:ascii="Times New Roman" w:hAnsi="Times New Roman"/>
          <w:szCs w:val="24"/>
        </w:rPr>
        <w:t>, discussed below</w:t>
      </w:r>
      <w:r w:rsidR="001E4353">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On the other hand, if the </w:t>
      </w:r>
      <w:r w:rsidR="004C57E8">
        <w:rPr>
          <w:rFonts w:ascii="Times New Roman" w:hAnsi="Times New Roman"/>
          <w:szCs w:val="24"/>
        </w:rPr>
        <w:t>debtor proposes to sell the collateral, the creditor</w:t>
      </w:r>
      <w:r w:rsidRPr="007A5BBC">
        <w:rPr>
          <w:rFonts w:ascii="Times New Roman" w:hAnsi="Times New Roman"/>
          <w:szCs w:val="24"/>
        </w:rPr>
        <w:t xml:space="preserve"> must live with the non-recourse deal that was originally made.</w:t>
      </w:r>
    </w:p>
    <w:p w14:paraId="5CB55F26" w14:textId="2E0DAC7A"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Section 1111(b)(2) of the Bankruptcy Code allows a secured creditor to elect to be treated as </w:t>
      </w:r>
      <w:r w:rsidRPr="007A5BBC">
        <w:rPr>
          <w:rFonts w:ascii="Times New Roman" w:hAnsi="Times New Roman"/>
          <w:b/>
          <w:szCs w:val="24"/>
        </w:rPr>
        <w:t>fully secured</w:t>
      </w:r>
      <w:r w:rsidR="001E4353">
        <w:rPr>
          <w:rFonts w:ascii="Times New Roman" w:hAnsi="Times New Roman"/>
          <w:szCs w:val="24"/>
        </w:rPr>
        <w:t xml:space="preserve"> by giving up its Section 506(a) </w:t>
      </w:r>
      <w:r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Pr="007A5BBC">
        <w:rPr>
          <w:rFonts w:ascii="Times New Roman" w:hAnsi="Times New Roman"/>
          <w:szCs w:val="24"/>
        </w:rPr>
        <w:t xml:space="preserve">wo types of creditors cannot </w:t>
      </w:r>
      <w:r w:rsidR="0083669A">
        <w:rPr>
          <w:rFonts w:ascii="Times New Roman" w:hAnsi="Times New Roman"/>
          <w:szCs w:val="24"/>
        </w:rPr>
        <w:t>elect under Section 1111(b)(2):</w:t>
      </w:r>
      <w:r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Pr="007A5BBC">
        <w:rPr>
          <w:rFonts w:ascii="Times New Roman" w:hAnsi="Times New Roman"/>
          <w:szCs w:val="24"/>
        </w:rPr>
        <w:t xml:space="preserve">whose collateral is being sold </w:t>
      </w:r>
      <w:r w:rsidR="001E4353">
        <w:rPr>
          <w:rFonts w:ascii="Times New Roman" w:hAnsi="Times New Roman"/>
          <w:szCs w:val="24"/>
        </w:rPr>
        <w:t>under Section 363 or in the plan. T</w:t>
      </w:r>
      <w:r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w:t>
      </w:r>
      <w:r w:rsidR="001E4353" w:rsidRPr="00DA5356">
        <w:rPr>
          <w:rFonts w:ascii="Times New Roman" w:hAnsi="Times New Roman"/>
          <w:i/>
          <w:iCs/>
          <w:szCs w:val="24"/>
        </w:rPr>
        <w:t xml:space="preserve">See </w:t>
      </w:r>
      <w:r w:rsidR="001E4353">
        <w:rPr>
          <w:rFonts w:ascii="Times New Roman" w:hAnsi="Times New Roman"/>
          <w:szCs w:val="24"/>
        </w:rPr>
        <w:t xml:space="preserve">11 U.S.C. § 363(k). </w:t>
      </w:r>
      <w:r w:rsidR="000E019C">
        <w:rPr>
          <w:rFonts w:ascii="Times New Roman" w:hAnsi="Times New Roman"/>
          <w:szCs w:val="24"/>
        </w:rPr>
        <w:t>Recourse c</w:t>
      </w:r>
      <w:r w:rsidR="00BF6B8D">
        <w:rPr>
          <w:rFonts w:ascii="Times New Roman" w:hAnsi="Times New Roman"/>
          <w:szCs w:val="24"/>
        </w:rPr>
        <w:t xml:space="preserve">reditors who elect under 1111(b)(2) </w:t>
      </w:r>
      <w:r w:rsidR="000E019C">
        <w:rPr>
          <w:rFonts w:ascii="Times New Roman" w:hAnsi="Times New Roman"/>
          <w:szCs w:val="24"/>
        </w:rPr>
        <w:t xml:space="preserve">when property is being sold </w:t>
      </w:r>
      <w:r w:rsidRPr="007A5BBC">
        <w:rPr>
          <w:rFonts w:ascii="Times New Roman" w:hAnsi="Times New Roman"/>
          <w:szCs w:val="24"/>
        </w:rPr>
        <w:t>would be giving up their deficiency claim</w:t>
      </w:r>
      <w:r w:rsidR="00BF6B8D">
        <w:rPr>
          <w:rFonts w:ascii="Times New Roman" w:hAnsi="Times New Roman"/>
          <w:szCs w:val="24"/>
        </w:rPr>
        <w:t>s</w:t>
      </w:r>
      <w:r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4D99F726" w:rsidR="0049285A"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ability to prevent the debtor from stripping down a secured claim by making the 1111(b)(2) election would seem like a tremendous secured creditor benefit, but as we will see creditors who make the 1111(b)(2) election do not really have fully secured claims</w:t>
      </w:r>
      <w:r w:rsidR="005F6A8B">
        <w:rPr>
          <w:rFonts w:ascii="Times New Roman" w:hAnsi="Times New Roman"/>
          <w:szCs w:val="24"/>
        </w:rPr>
        <w:t xml:space="preserve">. </w:t>
      </w:r>
      <w:r w:rsidRPr="007A5BBC">
        <w:rPr>
          <w:rFonts w:ascii="Times New Roman" w:hAnsi="Times New Roman"/>
          <w:szCs w:val="24"/>
        </w:rPr>
        <w:t>Under the cramdown rules, these creditors are not entitled to full payment 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1111(b)(2) election.</w:t>
      </w:r>
    </w:p>
    <w:p w14:paraId="26AB4D77" w14:textId="77777777" w:rsidR="00635F37" w:rsidRPr="007A5BBC" w:rsidRDefault="00635F37" w:rsidP="00BA4893">
      <w:pPr>
        <w:ind w:firstLine="720"/>
        <w:jc w:val="both"/>
        <w:rPr>
          <w:rFonts w:ascii="Times New Roman" w:hAnsi="Times New Roman"/>
          <w:szCs w:val="24"/>
        </w:rPr>
      </w:pPr>
    </w:p>
    <w:p w14:paraId="399FC31E" w14:textId="5513F42E" w:rsidR="00A341A5" w:rsidRPr="007A5BBC" w:rsidRDefault="00646EC9" w:rsidP="00635F37">
      <w:pPr>
        <w:pStyle w:val="Heading2"/>
        <w:spacing w:line="240" w:lineRule="auto"/>
      </w:pPr>
      <w:bookmarkStart w:id="6130" w:name="_Toc79699330"/>
      <w:bookmarkStart w:id="6131" w:name="_Toc79699656"/>
      <w:bookmarkStart w:id="6132" w:name="_Toc79699994"/>
      <w:bookmarkStart w:id="6133" w:name="_Toc79700314"/>
      <w:bookmarkStart w:id="6134" w:name="_Toc79700636"/>
      <w:bookmarkStart w:id="6135" w:name="_Toc87039414"/>
      <w:bookmarkStart w:id="6136" w:name="_Toc90983810"/>
      <w:r>
        <w:t xml:space="preserve">Cases on Classifying Claims in </w:t>
      </w:r>
      <w:r w:rsidR="0095283F" w:rsidRPr="007A5BBC">
        <w:t xml:space="preserve">Chapter 11 </w:t>
      </w:r>
      <w:r>
        <w:t>Reorganizations</w:t>
      </w:r>
      <w:bookmarkStart w:id="6137" w:name="_Toc417380927"/>
      <w:bookmarkEnd w:id="6130"/>
      <w:bookmarkEnd w:id="6131"/>
      <w:bookmarkEnd w:id="6132"/>
      <w:bookmarkEnd w:id="6133"/>
      <w:bookmarkEnd w:id="6134"/>
      <w:bookmarkEnd w:id="6135"/>
      <w:bookmarkEnd w:id="6136"/>
      <w:r>
        <w:t xml:space="preserve"> </w:t>
      </w:r>
      <w:bookmarkStart w:id="6138" w:name="_Toc79693188"/>
      <w:bookmarkStart w:id="6139" w:name="_Toc79693508"/>
      <w:bookmarkStart w:id="6140" w:name="_Toc79693828"/>
      <w:bookmarkStart w:id="6141" w:name="_Toc79694145"/>
      <w:bookmarkStart w:id="6142" w:name="_Toc79694783"/>
      <w:bookmarkStart w:id="6143" w:name="_Toc79695413"/>
      <w:bookmarkStart w:id="6144" w:name="_Toc79697659"/>
      <w:bookmarkEnd w:id="6137"/>
      <w:bookmarkEnd w:id="6138"/>
      <w:bookmarkEnd w:id="6139"/>
      <w:bookmarkEnd w:id="6140"/>
      <w:bookmarkEnd w:id="6141"/>
      <w:bookmarkEnd w:id="6142"/>
      <w:bookmarkEnd w:id="6143"/>
      <w:bookmarkEnd w:id="6144"/>
      <w:r w:rsidR="00635F37">
        <w:br/>
      </w:r>
    </w:p>
    <w:p w14:paraId="5088B85E" w14:textId="15E1ECFD" w:rsidR="00A341A5" w:rsidRPr="00635F37" w:rsidRDefault="007C1024" w:rsidP="00635F37">
      <w:pPr>
        <w:pStyle w:val="Heading3"/>
        <w:rPr>
          <w:u w:val="single"/>
        </w:rPr>
      </w:pPr>
      <w:hyperlink r:id="rId316" w:history="1">
        <w:bookmarkStart w:id="6145" w:name="_Toc87039415"/>
        <w:bookmarkStart w:id="6146" w:name="_Toc90983811"/>
        <w:r w:rsidR="00A341A5" w:rsidRPr="00635F37">
          <w:rPr>
            <w:rStyle w:val="Hyperlink"/>
          </w:rPr>
          <w:t>I</w:t>
        </w:r>
        <w:r w:rsidR="007C4937" w:rsidRPr="00635F37">
          <w:rPr>
            <w:rStyle w:val="Hyperlink"/>
          </w:rPr>
          <w:t xml:space="preserve">N RE </w:t>
        </w:r>
        <w:bookmarkStart w:id="6147" w:name="CASEUsTruck"/>
        <w:r w:rsidR="00A341A5" w:rsidRPr="00635F37">
          <w:rPr>
            <w:rStyle w:val="Hyperlink"/>
          </w:rPr>
          <w:t>US T</w:t>
        </w:r>
        <w:r w:rsidR="007C4937" w:rsidRPr="00635F37">
          <w:rPr>
            <w:rStyle w:val="Hyperlink"/>
          </w:rPr>
          <w:t xml:space="preserve">RUCK CO., </w:t>
        </w:r>
        <w:bookmarkEnd w:id="6147"/>
        <w:r w:rsidR="00A341A5" w:rsidRPr="00635F37">
          <w:rPr>
            <w:rStyle w:val="Hyperlink"/>
          </w:rPr>
          <w:t>800 F</w:t>
        </w:r>
        <w:r w:rsidR="00B91739" w:rsidRPr="00635F37">
          <w:rPr>
            <w:rStyle w:val="Hyperlink"/>
          </w:rPr>
          <w:t>.</w:t>
        </w:r>
        <w:r w:rsidR="00A341A5" w:rsidRPr="00635F37">
          <w:rPr>
            <w:rStyle w:val="Hyperlink"/>
          </w:rPr>
          <w:t>2d 581 (6th Cir. 1986)</w:t>
        </w:r>
        <w:bookmarkEnd w:id="6145"/>
        <w:bookmarkEnd w:id="6146"/>
      </w:hyperlink>
      <w:bookmarkStart w:id="6148" w:name="_Toc79693189"/>
      <w:bookmarkStart w:id="6149" w:name="_Toc79693509"/>
      <w:bookmarkStart w:id="6150" w:name="_Toc79693829"/>
      <w:bookmarkStart w:id="6151" w:name="_Toc79694146"/>
      <w:bookmarkStart w:id="6152" w:name="_Toc79694464"/>
      <w:bookmarkStart w:id="6153" w:name="_Toc79694784"/>
      <w:bookmarkStart w:id="6154" w:name="_Toc79695098"/>
      <w:bookmarkStart w:id="6155" w:name="_Toc79695414"/>
      <w:bookmarkStart w:id="6156" w:name="_Toc79695730"/>
      <w:bookmarkStart w:id="6157" w:name="_Toc79696046"/>
      <w:bookmarkStart w:id="6158" w:name="_Toc79696362"/>
      <w:bookmarkStart w:id="6159" w:name="_Toc79696678"/>
      <w:bookmarkStart w:id="6160" w:name="_Toc79696999"/>
      <w:bookmarkStart w:id="6161" w:name="_Toc79697331"/>
      <w:bookmarkStart w:id="6162" w:name="_Toc79697660"/>
      <w:bookmarkStart w:id="6163" w:name="_Toc79699331"/>
      <w:bookmarkStart w:id="6164" w:name="_Toc79699657"/>
      <w:bookmarkStart w:id="6165" w:name="_Toc79699995"/>
      <w:bookmarkStart w:id="6166" w:name="_Toc79700315"/>
      <w:bookmarkStart w:id="6167" w:name="_Toc79700637"/>
      <w:bookmarkStart w:id="6168" w:name="_Toc79700959"/>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r w:rsidR="00635F37" w:rsidRPr="00635F37">
        <w:rPr>
          <w:rStyle w:val="Hyperlink"/>
        </w:rPr>
        <w:br/>
      </w:r>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After filing its petition for relief under Chapter 11, U.S. Truck rejected the collective bargaining agreement [with the Union]. New agreements have been negotiated to the satisfaction of each participating local union. Such agreements have been implemented over the lone dissent 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7D95D934"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Committee's first objection is that the plan does not meet the requirement that at least one class of impaired claims accept the plan, see 11 U.S.C. § 1129(a)(10),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2B5761F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permits such action here because of the following circumstances: (1) the employees represented by the Teamsters Committee have a unique continued interest in the ongoing business of the debtor; (2) the mechanics of the Teamsters Committee's claim differ substantially from those of 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11 U.S.C. § 1122</w:t>
      </w:r>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fair and equitable with respect to the Teamsters Committee's claim. In fact, the Teamsters Committee invokes those requirements, but as we note in the following sections, the plan does not violate them.</w:t>
      </w:r>
    </w:p>
    <w:p w14:paraId="561E53D9" w14:textId="174D503F" w:rsidR="00A341A5"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0C0C4C6B" w14:textId="77777777" w:rsidR="00635F37" w:rsidRPr="007A5BBC" w:rsidRDefault="00635F37" w:rsidP="00BA4893">
      <w:pPr>
        <w:ind w:firstLine="720"/>
        <w:jc w:val="both"/>
        <w:rPr>
          <w:rFonts w:ascii="Times New Roman" w:hAnsi="Times New Roman"/>
          <w:szCs w:val="24"/>
        </w:rPr>
      </w:pPr>
    </w:p>
    <w:p w14:paraId="285D9E9C" w14:textId="4EDC5BF1" w:rsidR="00A341A5" w:rsidRPr="00635F37" w:rsidRDefault="007C1024" w:rsidP="00D95675">
      <w:pPr>
        <w:pStyle w:val="Heading3"/>
        <w:rPr>
          <w:u w:val="single"/>
        </w:rPr>
      </w:pPr>
      <w:hyperlink r:id="rId317" w:history="1">
        <w:bookmarkStart w:id="6169" w:name="_Toc87039416"/>
        <w:bookmarkStart w:id="6170" w:name="_Toc90983812"/>
        <w:r w:rsidR="00A341A5" w:rsidRPr="00635F37">
          <w:rPr>
            <w:rStyle w:val="Hyperlink"/>
          </w:rPr>
          <w:t>I</w:t>
        </w:r>
        <w:r w:rsidR="007C4937" w:rsidRPr="00635F37">
          <w:rPr>
            <w:rStyle w:val="Hyperlink"/>
          </w:rPr>
          <w:t xml:space="preserve">N RE BERNHARD STEINER PIANOS USA, INC., </w:t>
        </w:r>
        <w:r w:rsidR="00A341A5" w:rsidRPr="00635F37">
          <w:rPr>
            <w:rStyle w:val="Hyperlink"/>
          </w:rPr>
          <w:t>292 B.R. 109 (Bankr. N</w:t>
        </w:r>
        <w:r w:rsidR="00D01E28" w:rsidRPr="00635F37">
          <w:rPr>
            <w:rStyle w:val="Hyperlink"/>
          </w:rPr>
          <w:t>.</w:t>
        </w:r>
        <w:r w:rsidR="00A341A5" w:rsidRPr="00635F37">
          <w:rPr>
            <w:rStyle w:val="Hyperlink"/>
          </w:rPr>
          <w:t>D</w:t>
        </w:r>
        <w:r w:rsidR="00D01E28" w:rsidRPr="00635F37">
          <w:rPr>
            <w:rStyle w:val="Hyperlink"/>
          </w:rPr>
          <w:t>.</w:t>
        </w:r>
        <w:r w:rsidR="00A341A5" w:rsidRPr="00635F37">
          <w:rPr>
            <w:rStyle w:val="Hyperlink"/>
          </w:rPr>
          <w:t xml:space="preserve"> Tex. 2002)</w:t>
        </w:r>
        <w:bookmarkEnd w:id="6169"/>
        <w:bookmarkEnd w:id="6170"/>
      </w:hyperlink>
      <w:bookmarkStart w:id="6171" w:name="_Toc79693190"/>
      <w:bookmarkStart w:id="6172" w:name="_Toc79693510"/>
      <w:bookmarkStart w:id="6173" w:name="_Toc79693830"/>
      <w:bookmarkStart w:id="6174" w:name="_Toc79694147"/>
      <w:bookmarkStart w:id="6175" w:name="_Toc79694465"/>
      <w:bookmarkStart w:id="6176" w:name="_Toc79694785"/>
      <w:bookmarkStart w:id="6177" w:name="_Toc79695099"/>
      <w:bookmarkStart w:id="6178" w:name="_Toc79695415"/>
      <w:bookmarkStart w:id="6179" w:name="_Toc79695731"/>
      <w:bookmarkStart w:id="6180" w:name="_Toc79696047"/>
      <w:bookmarkStart w:id="6181" w:name="_Toc79696363"/>
      <w:bookmarkStart w:id="6182" w:name="_Toc79696679"/>
      <w:bookmarkStart w:id="6183" w:name="_Toc79697000"/>
      <w:bookmarkStart w:id="6184" w:name="_Toc79697332"/>
      <w:bookmarkStart w:id="6185" w:name="_Toc79697661"/>
      <w:bookmarkStart w:id="6186" w:name="_Toc79699332"/>
      <w:bookmarkStart w:id="6187" w:name="_Toc79699658"/>
      <w:bookmarkStart w:id="6188" w:name="_Toc79699996"/>
      <w:bookmarkStart w:id="6189" w:name="_Toc79700316"/>
      <w:bookmarkStart w:id="6190" w:name="_Toc79700638"/>
      <w:bookmarkStart w:id="6191" w:name="_Toc7970096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r w:rsidR="00635F37" w:rsidRPr="00635F37">
        <w:rPr>
          <w:rStyle w:val="Hyperlink"/>
        </w:rPr>
        <w:br/>
      </w:r>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order to free up some capital to pursue the Nigerian funds, the Debtor began to finance some of its pianos. The Debtor found financing through the Objecting Creditors, who provided pianos to the company on a floor plan basis, i.e., the pianos were brought into the store and once 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617892E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(6th Cir.1986)</w:t>
        </w:r>
      </w:hyperlink>
      <w:r w:rsidRPr="007A5BBC">
        <w:rPr>
          <w:rFonts w:ascii="Times New Roman" w:hAnsi="Times New Roman"/>
          <w:szCs w:val="24"/>
        </w:rPr>
        <w:t xml:space="preserve">. Separate classification of some unsecured claims is allowed if the classification scheme is reasonable. </w:t>
      </w:r>
    </w:p>
    <w:p w14:paraId="6E109A5C" w14:textId="69A895C3"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(5th 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76C019CB" w:rsidR="00B1721F" w:rsidRDefault="00A341A5" w:rsidP="0095283F">
      <w:pPr>
        <w:ind w:firstLine="720"/>
        <w:jc w:val="both"/>
        <w:rPr>
          <w:rFonts w:ascii="Times New Roman" w:hAnsi="Times New Roman"/>
          <w:szCs w:val="24"/>
        </w:rPr>
      </w:pPr>
      <w:r w:rsidRPr="007A5BBC">
        <w:rPr>
          <w:rFonts w:ascii="Times New Roman" w:hAnsi="Times New Roman"/>
          <w:szCs w:val="24"/>
        </w:rPr>
        <w:t>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consignment creditors in Class 4 from the claims of the general unsecured creditors; therefore, the Court overrules the classification objection.</w:t>
      </w:r>
    </w:p>
    <w:p w14:paraId="42AA7A81" w14:textId="77777777" w:rsidR="00635F37" w:rsidRPr="007A5BBC" w:rsidRDefault="00635F37" w:rsidP="0095283F">
      <w:pPr>
        <w:ind w:firstLine="720"/>
        <w:jc w:val="both"/>
        <w:rPr>
          <w:rFonts w:ascii="Times New Roman" w:hAnsi="Times New Roman"/>
          <w:szCs w:val="24"/>
        </w:rPr>
      </w:pPr>
    </w:p>
    <w:p w14:paraId="39D602E6" w14:textId="212A8726" w:rsidR="00AF0CC2" w:rsidRPr="00635F37" w:rsidRDefault="007C1024" w:rsidP="00D95675">
      <w:pPr>
        <w:pStyle w:val="Heading3"/>
        <w:rPr>
          <w:u w:val="single"/>
        </w:rPr>
      </w:pPr>
      <w:hyperlink r:id="rId318" w:history="1">
        <w:bookmarkStart w:id="6192" w:name="_Toc87039417"/>
        <w:bookmarkStart w:id="6193" w:name="_Toc90983813"/>
        <w:r w:rsidR="00AF0CC2" w:rsidRPr="00635F37">
          <w:rPr>
            <w:rStyle w:val="Hyperlink"/>
          </w:rPr>
          <w:t>P</w:t>
        </w:r>
        <w:r w:rsidR="007C4937" w:rsidRPr="00635F37">
          <w:rPr>
            <w:rStyle w:val="Hyperlink"/>
          </w:rPr>
          <w:t>HOENIX MUT</w:t>
        </w:r>
        <w:r w:rsidR="00850A70" w:rsidRPr="00635F37">
          <w:rPr>
            <w:rStyle w:val="Hyperlink"/>
          </w:rPr>
          <w:t>.</w:t>
        </w:r>
        <w:r w:rsidR="007C4937" w:rsidRPr="00635F37">
          <w:rPr>
            <w:rStyle w:val="Hyperlink"/>
          </w:rPr>
          <w:t xml:space="preserve"> LIFE </w:t>
        </w:r>
        <w:r w:rsidR="00AF0CC2" w:rsidRPr="00635F37">
          <w:rPr>
            <w:rStyle w:val="Hyperlink"/>
          </w:rPr>
          <w:t xml:space="preserve">v. </w:t>
        </w:r>
        <w:bookmarkStart w:id="6194" w:name="CASEGreystone"/>
        <w:r w:rsidR="00AF0CC2" w:rsidRPr="00635F37">
          <w:rPr>
            <w:rStyle w:val="Hyperlink"/>
          </w:rPr>
          <w:t>G</w:t>
        </w:r>
        <w:r w:rsidR="007C4937" w:rsidRPr="00635F37">
          <w:rPr>
            <w:rStyle w:val="Hyperlink"/>
          </w:rPr>
          <w:t xml:space="preserve">REYSTONE III JOINT VENTURE, </w:t>
        </w:r>
        <w:bookmarkEnd w:id="6194"/>
        <w:r w:rsidR="00AF0CC2" w:rsidRPr="00635F37">
          <w:rPr>
            <w:rStyle w:val="Hyperlink"/>
          </w:rPr>
          <w:t>995 F.2d 1274 (5th Cir. 1991)</w:t>
        </w:r>
        <w:bookmarkEnd w:id="6192"/>
        <w:bookmarkEnd w:id="6193"/>
      </w:hyperlink>
      <w:bookmarkStart w:id="6195" w:name="_Toc79693191"/>
      <w:bookmarkStart w:id="6196" w:name="_Toc79693511"/>
      <w:bookmarkStart w:id="6197" w:name="_Toc79693831"/>
      <w:bookmarkStart w:id="6198" w:name="_Toc79694148"/>
      <w:bookmarkStart w:id="6199" w:name="_Toc79694466"/>
      <w:bookmarkStart w:id="6200" w:name="_Toc79694786"/>
      <w:bookmarkStart w:id="6201" w:name="_Toc79695100"/>
      <w:bookmarkStart w:id="6202" w:name="_Toc79695416"/>
      <w:bookmarkStart w:id="6203" w:name="_Toc79695732"/>
      <w:bookmarkStart w:id="6204" w:name="_Toc79696048"/>
      <w:bookmarkStart w:id="6205" w:name="_Toc79696364"/>
      <w:bookmarkStart w:id="6206" w:name="_Toc79696680"/>
      <w:bookmarkStart w:id="6207" w:name="_Toc79697001"/>
      <w:bookmarkStart w:id="6208" w:name="_Toc79697333"/>
      <w:bookmarkStart w:id="6209" w:name="_Toc79697662"/>
      <w:bookmarkStart w:id="6210" w:name="_Toc79699333"/>
      <w:bookmarkStart w:id="6211" w:name="_Toc79699659"/>
      <w:bookmarkStart w:id="6212" w:name="_Toc79699997"/>
      <w:bookmarkStart w:id="6213" w:name="_Toc79700317"/>
      <w:bookmarkStart w:id="6214" w:name="_Toc79700639"/>
      <w:bookmarkStart w:id="6215" w:name="_Toc79700961"/>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r w:rsidR="00635F37" w:rsidRPr="00635F37">
        <w:rPr>
          <w:rStyle w:val="Hyperlink"/>
        </w:rPr>
        <w:br/>
      </w:r>
    </w:p>
    <w:p w14:paraId="6239FCB5" w14:textId="77777777" w:rsidR="00AF0CC2" w:rsidRPr="007A5BBC" w:rsidRDefault="00AF0CC2" w:rsidP="00AF0CC2">
      <w:pPr>
        <w:ind w:firstLine="720"/>
        <w:rPr>
          <w:rFonts w:ascii="Times New Roman" w:hAnsi="Times New Roman"/>
          <w:szCs w:val="24"/>
        </w:rPr>
      </w:pPr>
      <w:r w:rsidRPr="007A5BBC">
        <w:rPr>
          <w:rFonts w:ascii="Times New Roman" w:hAnsi="Times New Roman"/>
          <w:szCs w:val="24"/>
        </w:rPr>
        <w:t>EDITH H. JONES,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Appellant Phoenix Mutual Life Insurance Corporation lent $8,800,000, evidenced by a non-recourse promissory note secured by a first lien, to Greystone to purchase the venture's office building. When Greystone defaulted on the loan, missing four payments, Phoenix posted the 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a separate class, the Plan further provided for security deposit "claims" held by existing tenants of the office building. These claimants were promised, notwithstanding the debtor's eventual assumption of their leases, 11 U.S.C. § 365,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0DF653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court then discusses the requirement that one impaired class of creditors vote for the plan under § 1129(a)(10)]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In this case, Greystone's plan classified the Phoenix claim in separate secured and unsecured classes, a dual status afforded by 11 U.S.C. § 1111(b)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contends that Greystone misapplied § 1122 by classifying its unsecured claim separately from those of trade creditors. The lower courts rejected Phoenix's argument in three steps. First, they held that § 1122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We observe from this language that the lower courts' suggestion that § 1122 does not prevent classification of like claims in separate classes is oversimplified. It is true that § 1122(a) in terms only governs permissible inclusions of claims in a class rather requiring that all similar claims be grouped together. One cannot conclude categorically that § 1122(a) prohibits the formation of different classes from similar types of claims. But if § 1122(a) is wholly permissive regarding the creation of such classes, there would be no need for § 1122(b) specifically to authorize a class of smaller unsecured claims, a common feature of plans in reorganization cases past and present. The broad interpretation of § 1122(a) adopted by the lower courts would render § 1122(b) superfluous, a result that is anathema to elementary principles of statutory construction.</w:t>
      </w:r>
    </w:p>
    <w:p w14:paraId="00F6B99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Section 1122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Section 1122(b)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 1122 by going on to justify Greystone's segregation of the Phoenix claim. Put otherwise, the lower courts essentially found that Phoenix's unsecured deficiency claim is not "substantially similar" to those of the trade creditors.</w:t>
      </w:r>
    </w:p>
    <w:p w14:paraId="1439FD4B" w14:textId="22151E63"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 1122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against the debtor personally. However, state law is irrelevant where, as here, the Code has eliminated the legal distinction between non-recourse deficiency claims and other unsecured claims. </w:t>
      </w:r>
    </w:p>
    <w:p w14:paraId="7686177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The purpose of § 1111(b)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 1111(b)(2) in the hope that the value of the collateral would increase after the case is closed. Thus, the election under § 1111(b) would be essentially meaningless. We believe Congress did not intend this result.</w:t>
      </w:r>
    </w:p>
    <w:p w14:paraId="113F037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As the bankruptcy court viewed this issue, the debtor's ability to achieve a cramdown plan should be preferred over the creditor's § 1111(b)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 1122, by gerrymandering the plan vote, for the sake of allegedly effectuating a § 1129(b) cramdown. "Policy" considerations do not justify preferring one section of the Code, much less elevating its implicit "policies" over other sections, where the statutory language draws no such distinctions. Second, as shown, it virtually eliminates the § 1111(b)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Nor is there any evidence that Greystone would be unable to obtain any of the trade services if the trade creditors did not receive preferential treatment under the Plan. Thus, the bankruptcy court's finding that there were good business reasons for separate classification is without support in the record and must be set aside as clearly erroneous.</w:t>
      </w:r>
    </w:p>
    <w:p w14:paraId="0CF0A181" w14:textId="778F7FF0" w:rsidR="00AF0CC2" w:rsidRDefault="00AF0CC2" w:rsidP="00BA4893">
      <w:pPr>
        <w:ind w:firstLine="720"/>
        <w:jc w:val="both"/>
        <w:rPr>
          <w:rFonts w:ascii="Times New Roman" w:hAnsi="Times New Roman"/>
          <w:szCs w:val="24"/>
        </w:rPr>
      </w:pPr>
      <w:r w:rsidRPr="007A5BBC">
        <w:rPr>
          <w:rFonts w:ascii="Times New Roman" w:hAnsi="Times New Roman"/>
          <w:szCs w:val="24"/>
        </w:rPr>
        <w:t>Phoenix's unsecured deficiency claim approximates $3,500,000, while the claims of the unsecured trade creditors who voted to accept the Plan total less than $10,000. Greystone's classification scheme, which effectively disenfranchised Phoenix's Code-created deficiency claim, is sanctioned neither by the Code nor by caselaw. The lower courts erred in approving it.</w:t>
      </w:r>
    </w:p>
    <w:p w14:paraId="572C10CC" w14:textId="77777777" w:rsidR="00635F37" w:rsidRPr="007A5BBC" w:rsidRDefault="00635F37" w:rsidP="00BA4893">
      <w:pPr>
        <w:ind w:firstLine="720"/>
        <w:jc w:val="both"/>
        <w:rPr>
          <w:rFonts w:ascii="Times New Roman" w:hAnsi="Times New Roman"/>
          <w:szCs w:val="24"/>
        </w:rPr>
      </w:pPr>
    </w:p>
    <w:p w14:paraId="16782D85" w14:textId="508D50A1" w:rsidR="00A97612" w:rsidRPr="00635F37" w:rsidRDefault="007C1024" w:rsidP="00D95675">
      <w:pPr>
        <w:pStyle w:val="Heading3"/>
        <w:rPr>
          <w:u w:val="single"/>
        </w:rPr>
      </w:pPr>
      <w:hyperlink r:id="rId319" w:history="1">
        <w:bookmarkStart w:id="6216" w:name="_Toc87039418"/>
        <w:bookmarkStart w:id="6217" w:name="_Toc90983814"/>
        <w:r w:rsidR="00A97612" w:rsidRPr="00635F37">
          <w:rPr>
            <w:rStyle w:val="Hyperlink"/>
          </w:rPr>
          <w:t>I</w:t>
        </w:r>
        <w:r w:rsidR="007C4937" w:rsidRPr="00635F37">
          <w:rPr>
            <w:rStyle w:val="Hyperlink"/>
          </w:rPr>
          <w:t xml:space="preserve">N RE SM 104 </w:t>
        </w:r>
        <w:r w:rsidR="00A97612" w:rsidRPr="00635F37">
          <w:rPr>
            <w:rStyle w:val="Hyperlink"/>
          </w:rPr>
          <w:t>LIMITED</w:t>
        </w:r>
        <w:r w:rsidR="00C9256F" w:rsidRPr="00635F37">
          <w:rPr>
            <w:rStyle w:val="Hyperlink"/>
          </w:rPr>
          <w:t>,</w:t>
        </w:r>
        <w:r w:rsidR="007C4937" w:rsidRPr="00635F37">
          <w:rPr>
            <w:rStyle w:val="Hyperlink"/>
          </w:rPr>
          <w:t xml:space="preserve"> </w:t>
        </w:r>
        <w:r w:rsidR="00A97612" w:rsidRPr="00635F37">
          <w:rPr>
            <w:rStyle w:val="Hyperlink"/>
          </w:rPr>
          <w:t>160 B.R. 202 (Bankr. S.D. Fla. 1993)</w:t>
        </w:r>
        <w:bookmarkEnd w:id="6216"/>
        <w:bookmarkEnd w:id="6217"/>
      </w:hyperlink>
      <w:bookmarkStart w:id="6218" w:name="_Toc79693192"/>
      <w:bookmarkStart w:id="6219" w:name="_Toc79693512"/>
      <w:bookmarkStart w:id="6220" w:name="_Toc79693832"/>
      <w:bookmarkStart w:id="6221" w:name="_Toc79694149"/>
      <w:bookmarkStart w:id="6222" w:name="_Toc79694467"/>
      <w:bookmarkStart w:id="6223" w:name="_Toc79694787"/>
      <w:bookmarkStart w:id="6224" w:name="_Toc79695101"/>
      <w:bookmarkStart w:id="6225" w:name="_Toc79695417"/>
      <w:bookmarkStart w:id="6226" w:name="_Toc79695733"/>
      <w:bookmarkStart w:id="6227" w:name="_Toc79696049"/>
      <w:bookmarkStart w:id="6228" w:name="_Toc79696365"/>
      <w:bookmarkStart w:id="6229" w:name="_Toc79696681"/>
      <w:bookmarkStart w:id="6230" w:name="_Toc79697002"/>
      <w:bookmarkStart w:id="6231" w:name="_Toc79697334"/>
      <w:bookmarkStart w:id="6232" w:name="_Toc79697663"/>
      <w:bookmarkStart w:id="6233" w:name="_Toc79699334"/>
      <w:bookmarkStart w:id="6234" w:name="_Toc79699660"/>
      <w:bookmarkStart w:id="6235" w:name="_Toc79699998"/>
      <w:bookmarkStart w:id="6236" w:name="_Toc79700318"/>
      <w:bookmarkStart w:id="6237" w:name="_Toc79700640"/>
      <w:bookmarkStart w:id="6238" w:name="_Toc79700962"/>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r w:rsidR="00635F37" w:rsidRPr="00635F37">
        <w:rPr>
          <w:rStyle w:val="Hyperlink"/>
        </w:rPr>
        <w:br/>
      </w:r>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7AC3CF6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vote</w:t>
      </w:r>
      <w:r w:rsidR="005F6A8B">
        <w:rPr>
          <w:rFonts w:ascii="Times New Roman" w:hAnsi="Times New Roman"/>
          <w:szCs w:val="24"/>
        </w:rPr>
        <w:t xml:space="preserve">. </w:t>
      </w:r>
      <w:r w:rsidRPr="007A5BBC">
        <w:rPr>
          <w:rFonts w:ascii="Times New Roman" w:hAnsi="Times New Roman"/>
          <w:szCs w:val="24"/>
        </w:rPr>
        <w:t>Class 5, the trade creditors' claims, voted to accept the plan. Classes 6 and 7, the claims of insider creditors and interests of existing equity holders, are wiped out by the plan and thus are deemed to reject it. See 11 U.S.C. § 1126(g).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is no doubt that EquiVest's claim is undersecured. EquiVest's total claim is approximately $5.5 million. The parties agree that the value of EquiVest's collateral, the Cypress Creek property, does not exceed $2.7 million. Section 506(a) provides that an undersecured claim is to be bifurcated into two claims, secured and unsecured. In determining the amount of an undersecured creditor's secured claim under § 506(a), property is to be valued "in light of the purpose of the valuation and of the proposed disposition or use of such property." 11 U.S.C. § 506(a). Where a debtor's plan proposes to retain and use the property, it is appropriate to value the property at its fair market value.</w:t>
      </w:r>
    </w:p>
    <w:p w14:paraId="6A0D4FA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 506(a),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Section 1129(a)(10) of the Bankruptcy Code provides that before a plan can be crammed down over the objections of a creditor class, at least one impaired class of creditor claims must vote to accept the plan, without regard to any insider votes. 11 U.S.C. § 1129(a)(10). Thus, the Debtor, to get its plan confirmed over EquiVest's objections, must come up with one impaired creditor class that accepts the plan, without regard to any insider votes in that class.</w:t>
      </w:r>
    </w:p>
    <w:p w14:paraId="6E0F6C71"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Debtor has placed EquiVest's § 1111(b) — created deficiency claim in a separate class by itself, Class 3. This court has previously held EquiVest's unsecured claim is $3.23 million. The other unsecured creditors' claims are placed by the Debtor's plan in Class 5, and total $175,000. Given the size of EquiVest's § 1111(b) unsecured deficiency claim relative to the other unsecured claims and EquiVest's opposition to the plan, it is obvious the reason the Debtor seeks to separately classify EquiVest's § 1111(b) deficiency claim from the claims of other unsecured creditors is to satisfy the requirements of § 1129(a)(10); i.e., to get one impaired class to accept the plan.</w:t>
      </w:r>
    </w:p>
    <w:p w14:paraId="60C00E7B"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 1129(a)(10). The Debtor also argues that such separate classification, whether or not done solely to gerrymander to create an accepting impaired class, is perfectly consistent with the Bankruptcy Code.</w:t>
      </w:r>
    </w:p>
    <w:p w14:paraId="42F86005" w14:textId="0754FA8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r w:rsidRPr="007A5BBC">
        <w:rPr>
          <w:rFonts w:ascii="Times New Roman" w:hAnsi="Times New Roman"/>
          <w:szCs w:val="24"/>
        </w:rPr>
        <w:t>Section 1122(a)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 1122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the Fifth Circuit held that "one clear rule" has emerged from the otherwise muddled § 1122 case law: "thou shalt not classify similar claims differently in order to gerrymander an affirmative vote on a reorganization plan."</w:t>
      </w:r>
    </w:p>
    <w:p w14:paraId="4D8889C4" w14:textId="72FFE98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 1122, they have turned more on notions of basic fairness and good faith. Indeed, most courts seem to base their rulings less on the language of § 1122 than on their view that separate classification is usually done to manipulate the voting to insure that at least one impaired class of creditors accepts the plan, and thus that the plan meets the requirements of § 1129(a)(10)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 1111(b) are substantially similar to general unsecured claims. Indeed, if the claims are not substantially similar, § 1122(a) would bar them from being put in the same class. However, a few lower courts have rejected this conclusion and held that unsecured deficiency claims created by § 1111(b)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 1111(b) are legally distinct because the former are recourse claims cognizable under state law, while the latter exist only within the Chapter 11 bankruptcy case and are not cognizable under state law. The circuit courts have largely rejected this argument, holding that § 1111(b) has largely eliminated the legal distinction between non-recourse deficiency claims for purposes of Chapter 11.</w:t>
      </w:r>
    </w:p>
    <w:p w14:paraId="21480846" w14:textId="642A55A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 1111(b)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20"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the treatment of its secured claim by defeating confirmation of any plan" if classified with other unsecured creditors. </w:t>
      </w:r>
      <w:hyperlink r:id="rId321"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Such a rationale is highly persuasive when viewed in light of the logic underlying § 1129(a)(10). Section 1129(a)(10) was intended not to give the real estate lobby a veto power, but merely to require "some indicia of creditor support" for confirmation of a proposed Chapter 11 plan.”</w:t>
      </w:r>
    </w:p>
    <w:p w14:paraId="63723779"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Section 1122(a) allows joint classification of claims only if the claims are substantially similar in terms of their legal rights. There are, however, significant differences between the legal rights of a general unsecured claim and an unsecured deficiency claim created for the nonrecourse lender by § 1111(b). Thus, an unsecured deficiency claim created by § 1111(b) is not substantially similar to general unsecured claims, and, under § 1122(a),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One area in which the distinction between the rights of holders of general unsecured claims and the rights of § 1111(b) deficiency claimants can be seen clearly is in the application of the "best interests" test of § 1129(a)(7). [T]he majority in a class can never force the minority in that class to take less in present value terms than the minority would receive in a Chapter 7 liquidation case involving the debtor.</w:t>
      </w:r>
    </w:p>
    <w:p w14:paraId="041E266D" w14:textId="288D2B2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 application of this standard to a class consisting of both general unsecured claims and § 1111(b) deficiency claims can lead to anomalous results. A simple example shows why. Suppose that an unsecured deficiency claim created by § 1111(b)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This would be true even if a majority in number and two-thirds in amount of the claims in the class that voted on the plan voted to accept. On the other hand, the plan would propose to give the unsecured deficiency claim created by § 1111(b) more than it would receive in a hypothetical Chapter 7 liquidation: in a Chapter 7 case, the unsecured deficiency claim created by § 1111(b) would not exist and would not be paid at all.</w:t>
      </w:r>
    </w:p>
    <w:p w14:paraId="13B4CADD" w14:textId="59CE62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All that is ever required to satisfy the best interests test as to a § 1111(b)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Nevertheless, as long as joint classification is utilized, the holder of a § 1111(b)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 1123(a)(4) requires a plan to provide for the same treatment of all claims in a class, unless the holder of a claim agrees to less favorable treatment. 11 U.S.C. § 1123(a)(4). Thus, in the hypothetical above, if the plan were amended to satisfy the best interests of the creditors test by giving the holders of general unsecured claims a 35% dividend, the holder of the § 1111(b) nonrecourse deficiency claim could, as long as the claims are jointly classified, insist on the same 35% dividend, or block confirmation of the plan. It would be hard to believe that the drafters of the Bankruptcy Code intended such an absurd result.</w:t>
      </w:r>
    </w:p>
    <w:p w14:paraId="19D73AA8"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There are other significant disparities between the legal rights of the holder of a general unsecured claim and the holder of a § 1111(b)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 1111(b) nonrecourse deficiency claim could pursue such relief, since the nonrecourse lender is confined to its collateral as a source of payment in Chapter 7. It has no deficiency claim against either the estate or the general partners.</w:t>
      </w:r>
    </w:p>
    <w:p w14:paraId="59B6E746" w14:textId="0A7A6EFC" w:rsidR="000D7676" w:rsidRDefault="00A97612" w:rsidP="00BC225C">
      <w:pPr>
        <w:ind w:firstLine="720"/>
        <w:jc w:val="both"/>
        <w:rPr>
          <w:rFonts w:ascii="Times New Roman" w:hAnsi="Times New Roman"/>
          <w:szCs w:val="24"/>
        </w:rPr>
      </w:pPr>
      <w:r w:rsidRPr="007A5BBC">
        <w:rPr>
          <w:rFonts w:ascii="Times New Roman" w:hAnsi="Times New Roman"/>
          <w:szCs w:val="24"/>
        </w:rPr>
        <w:t>It is clear that the legal rights of creditors holding unsecured deficiency claims created by § 1111(b) and general unsecured creditors are, for classification purposes, substantially dissimilar. Therefore, separate classification of unsecured deficiency claims created by § 1111(b)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Thus, this court rules that the Debtor's separate classification of EquiVest's Class 3 unsecured deficiency claim and the claims of the Class 5 general unsecured creditors is permissible. Indeed, such separate classification is required by § 1122(a).</w:t>
      </w:r>
    </w:p>
    <w:p w14:paraId="37322F7E" w14:textId="77777777" w:rsidR="00635F37" w:rsidRPr="007A5BBC" w:rsidRDefault="00635F37" w:rsidP="00BA4893">
      <w:pPr>
        <w:ind w:firstLine="720"/>
        <w:jc w:val="both"/>
        <w:rPr>
          <w:rFonts w:ascii="Times New Roman" w:hAnsi="Times New Roman"/>
          <w:szCs w:val="24"/>
        </w:rPr>
      </w:pPr>
    </w:p>
    <w:p w14:paraId="6466DF54" w14:textId="09A24898" w:rsidR="000E750F" w:rsidRPr="007A5BBC" w:rsidRDefault="00C60FEF" w:rsidP="00D95675">
      <w:pPr>
        <w:pStyle w:val="Heading3"/>
      </w:pPr>
      <w:bookmarkStart w:id="6239" w:name="_Toc417380928"/>
      <w:bookmarkStart w:id="6240" w:name="_Toc87039419"/>
      <w:bookmarkStart w:id="6241" w:name="_Toc90983815"/>
      <w:r>
        <w:t>Practice Problems</w:t>
      </w:r>
      <w:r w:rsidR="000E750F" w:rsidRPr="007A5BBC">
        <w:t xml:space="preserve">: </w:t>
      </w:r>
      <w:r w:rsidR="0049285A" w:rsidRPr="007A5BBC">
        <w:t xml:space="preserve">Classification, </w:t>
      </w:r>
      <w:r w:rsidR="000E750F" w:rsidRPr="007A5BBC">
        <w:t>Voting and Impairment</w:t>
      </w:r>
      <w:bookmarkStart w:id="6242" w:name="_Toc79693193"/>
      <w:bookmarkStart w:id="6243" w:name="_Toc79693513"/>
      <w:bookmarkStart w:id="6244" w:name="_Toc79693833"/>
      <w:bookmarkStart w:id="6245" w:name="_Toc79694150"/>
      <w:bookmarkStart w:id="6246" w:name="_Toc79694468"/>
      <w:bookmarkStart w:id="6247" w:name="_Toc79694788"/>
      <w:bookmarkStart w:id="6248" w:name="_Toc79695102"/>
      <w:bookmarkStart w:id="6249" w:name="_Toc79695418"/>
      <w:bookmarkStart w:id="6250" w:name="_Toc79695734"/>
      <w:bookmarkStart w:id="6251" w:name="_Toc79696050"/>
      <w:bookmarkStart w:id="6252" w:name="_Toc79696366"/>
      <w:bookmarkStart w:id="6253" w:name="_Toc79696682"/>
      <w:bookmarkStart w:id="6254" w:name="_Toc79697003"/>
      <w:bookmarkStart w:id="6255" w:name="_Toc79697335"/>
      <w:bookmarkStart w:id="6256" w:name="_Toc79697664"/>
      <w:bookmarkStart w:id="6257" w:name="_Toc79699335"/>
      <w:bookmarkStart w:id="6258" w:name="_Toc79699661"/>
      <w:bookmarkStart w:id="6259" w:name="_Toc79699999"/>
      <w:bookmarkStart w:id="6260" w:name="_Toc79700319"/>
      <w:bookmarkStart w:id="6261" w:name="_Toc79700641"/>
      <w:bookmarkStart w:id="6262" w:name="_Toc79700963"/>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r w:rsidR="00635F37">
        <w:br/>
      </w:r>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50073DE" w:rsidR="00723DBE" w:rsidRPr="007F2B85" w:rsidRDefault="007F2B85" w:rsidP="007F2B85">
      <w:pPr>
        <w:pStyle w:val="0-NORMAL"/>
      </w:pPr>
      <w:r w:rsidRPr="007F2B85">
        <w:rPr>
          <w:b/>
        </w:rPr>
        <w:t>Problem 1</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7C1024" w:rsidP="000D7676">
      <w:pPr>
        <w:rPr>
          <w:rFonts w:ascii="Times New Roman" w:hAnsi="Times New Roman"/>
          <w:szCs w:val="24"/>
        </w:rPr>
      </w:pPr>
      <w:r>
        <w:rPr>
          <w:rFonts w:ascii="Times New Roman" w:hAnsi="Times New Roman"/>
          <w:noProof/>
          <w:szCs w:val="24"/>
        </w:rPr>
        <w:object w:dxaOrig="1440" w:dyaOrig="1440" w14:anchorId="0CC762DF">
          <v:shape id="_x0000_s2054" type="#_x0000_t75" style="position:absolute;margin-left:29.75pt;margin-top:3.45pt;width:407.95pt;height:108.85pt;z-index:251657728" wrapcoords="-32 0 -32 21337 21600 21337 21600 0 -32 0">
            <v:imagedata r:id="rId322" o:title=""/>
            <w10:wrap type="tight"/>
          </v:shape>
          <o:OLEObject Type="Embed" ProgID="Excel.Sheet.12" ShapeID="_x0000_s2054" DrawAspect="Content" ObjectID="_1702891103" r:id="rId323"/>
        </w:object>
      </w:r>
    </w:p>
    <w:p w14:paraId="26FC83D4" w14:textId="77777777" w:rsidR="00F33204" w:rsidRPr="00F33204" w:rsidRDefault="00F33204" w:rsidP="00AB3EFD">
      <w:pPr>
        <w:ind w:left="1495" w:hanging="360"/>
      </w:pPr>
    </w:p>
    <w:p w14:paraId="4071064D" w14:textId="3393BA20" w:rsidR="003C0931" w:rsidRPr="007A5BBC" w:rsidRDefault="007F2B85" w:rsidP="007F2B85">
      <w:pPr>
        <w:pStyle w:val="0-NORMAL"/>
      </w:pPr>
      <w:r w:rsidRPr="007F2B85">
        <w:rPr>
          <w:b/>
        </w:rPr>
        <w:t>Problem 2</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r w:rsidR="00344FD0">
        <w:t>11 U.S.C. §§ 1124, 1126(f).</w:t>
      </w:r>
    </w:p>
    <w:p w14:paraId="182FC18E" w14:textId="364BB89E" w:rsidR="003C0931" w:rsidRPr="007A5BBC" w:rsidRDefault="007F2B85" w:rsidP="007F2B85">
      <w:pPr>
        <w:pStyle w:val="0-NORMAL"/>
      </w:pPr>
      <w:r w:rsidRPr="007F2B85">
        <w:rPr>
          <w:b/>
        </w:rPr>
        <w:t>Problem 3</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r w:rsidR="00344FD0">
        <w:t>11 U.S.C. § 1124.</w:t>
      </w:r>
    </w:p>
    <w:p w14:paraId="5C344BB4" w14:textId="252DE656" w:rsidR="003C0931" w:rsidRPr="007A5BBC" w:rsidRDefault="007F2B85" w:rsidP="007F2B85">
      <w:pPr>
        <w:pStyle w:val="0-NORMAL"/>
      </w:pPr>
      <w:r w:rsidRPr="007F2B85">
        <w:rPr>
          <w:b/>
        </w:rPr>
        <w:t>Problem 4</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Debtor’s lease contains a “going dark” clause that provides that the tenant who ceases to operate the store at any time during the shopping center’s business hours 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w:t>
      </w:r>
      <w:r w:rsidR="00083725" w:rsidRPr="007A5BBC">
        <w:t xml:space="preserve">? </w:t>
      </w:r>
      <w:r w:rsidR="003C0931" w:rsidRPr="007A5BBC">
        <w:t>To avoid</w:t>
      </w:r>
      <w:r w:rsidR="001E4353">
        <w:t xml:space="preserve"> the landlord’s vote, must D</w:t>
      </w:r>
      <w:r w:rsidR="003C0931" w:rsidRPr="007A5BBC">
        <w:t>ebtor compensate the landlord for lost percentage rent during the days that the store was closed?</w:t>
      </w:r>
      <w:r w:rsidR="00D01E28">
        <w:t xml:space="preserve"> </w:t>
      </w:r>
      <w:r w:rsidR="00344FD0">
        <w:t>11 U.S.C. § 1124.</w:t>
      </w:r>
    </w:p>
    <w:p w14:paraId="7591DFD8" w14:textId="50DA4F6A" w:rsidR="003C0931" w:rsidRPr="007A5BBC" w:rsidRDefault="007F2B85" w:rsidP="007F2B85">
      <w:pPr>
        <w:pStyle w:val="0-NORMAL"/>
      </w:pPr>
      <w:r w:rsidRPr="007F2B85">
        <w:rPr>
          <w:b/>
        </w:rPr>
        <w:t>Problem 5</w:t>
      </w:r>
      <w:r w:rsidR="005F6A8B">
        <w:t xml:space="preserve">. </w:t>
      </w:r>
      <w:r w:rsidR="003C0931" w:rsidRPr="007A5BBC">
        <w:t>Debtor needs one class of creditors to vote for the plan</w:t>
      </w:r>
      <w:r w:rsidR="005F6A8B">
        <w:t xml:space="preserve">. </w:t>
      </w:r>
      <w:r w:rsidR="00344FD0">
        <w:t>11 U.S.C. § 1129(a)(10)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r w:rsidR="00344FD0">
        <w:t>11 U.S.C. § 1122, 1124.</w:t>
      </w:r>
    </w:p>
    <w:p w14:paraId="60F6A111" w14:textId="071C8034" w:rsidR="00D01E28" w:rsidRDefault="007F2B85" w:rsidP="0024226B">
      <w:pPr>
        <w:pStyle w:val="0-NORMAL"/>
      </w:pPr>
      <w:r w:rsidRPr="007F2B85">
        <w:rPr>
          <w:b/>
        </w:rPr>
        <w:t>Problem 6</w:t>
      </w:r>
      <w:r w:rsidR="005F6A8B">
        <w:t xml:space="preserve">. </w:t>
      </w:r>
      <w:r w:rsidR="0049285A" w:rsidRPr="007A5BBC">
        <w:t>In order to confirm i</w:t>
      </w:r>
      <w:r w:rsidR="001E4353">
        <w:t>ts plan of reorganization, D</w:t>
      </w:r>
      <w:r w:rsidR="0049285A" w:rsidRPr="007A5BBC">
        <w:t xml:space="preserve">ebtor must classify the </w:t>
      </w:r>
      <w:r w:rsidR="00075FCC">
        <w:t xml:space="preserve">Section 506(a)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6B6F0209" w14:textId="77777777" w:rsidR="00142C55" w:rsidRDefault="00142C55" w:rsidP="0024226B">
      <w:pPr>
        <w:pStyle w:val="0-NORMAL"/>
      </w:pPr>
    </w:p>
    <w:p w14:paraId="15DB5CBD" w14:textId="3889A9FC" w:rsidR="000E750F" w:rsidRPr="007A5BBC" w:rsidRDefault="000E750F" w:rsidP="00142C55">
      <w:pPr>
        <w:pStyle w:val="Heading2"/>
        <w:spacing w:line="240" w:lineRule="auto"/>
      </w:pPr>
      <w:bookmarkStart w:id="6263" w:name="_Toc417380929"/>
      <w:bookmarkStart w:id="6264" w:name="_Toc79699336"/>
      <w:bookmarkStart w:id="6265" w:name="_Toc79699662"/>
      <w:bookmarkStart w:id="6266" w:name="_Toc79700000"/>
      <w:bookmarkStart w:id="6267" w:name="_Toc79700320"/>
      <w:bookmarkStart w:id="6268" w:name="_Toc79700642"/>
      <w:bookmarkStart w:id="6269" w:name="_Toc87039420"/>
      <w:bookmarkStart w:id="6270" w:name="_Toc90983816"/>
      <w:r w:rsidRPr="007A5BBC">
        <w:t>Confirmation Requirements</w:t>
      </w:r>
      <w:r w:rsidR="00AA14F5" w:rsidRPr="007A5BBC">
        <w:t xml:space="preserve"> under</w:t>
      </w:r>
      <w:r w:rsidR="0095283F" w:rsidRPr="007A5BBC">
        <w:t xml:space="preserve"> 11 U.S.C. § </w:t>
      </w:r>
      <w:r w:rsidR="00AA14F5" w:rsidRPr="007A5BBC">
        <w:t>1129(a)</w:t>
      </w:r>
      <w:bookmarkStart w:id="6271" w:name="_Toc79693194"/>
      <w:bookmarkStart w:id="6272" w:name="_Toc79693514"/>
      <w:bookmarkStart w:id="6273" w:name="_Toc79693834"/>
      <w:bookmarkStart w:id="6274" w:name="_Toc79694151"/>
      <w:bookmarkStart w:id="6275" w:name="_Toc79694789"/>
      <w:bookmarkStart w:id="6276" w:name="_Toc79695419"/>
      <w:bookmarkStart w:id="6277" w:name="_Toc79697665"/>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r w:rsidR="00142C55">
        <w:br/>
      </w:r>
    </w:p>
    <w:p w14:paraId="1B818A31" w14:textId="6FCB363A" w:rsidR="000E750F" w:rsidRPr="007A5BBC" w:rsidRDefault="000E750F" w:rsidP="00F33204">
      <w:pPr>
        <w:keepNext/>
        <w:ind w:firstLine="720"/>
        <w:jc w:val="both"/>
        <w:rPr>
          <w:rFonts w:ascii="Times New Roman" w:hAnsi="Times New Roman"/>
          <w:szCs w:val="24"/>
        </w:rPr>
      </w:pPr>
      <w:r w:rsidRPr="007A5BBC">
        <w:rPr>
          <w:rFonts w:ascii="Times New Roman" w:hAnsi="Times New Roman"/>
          <w:szCs w:val="24"/>
        </w:rPr>
        <w:t>Section 1129(a) contains a long string of confirmation requirements</w:t>
      </w:r>
      <w:r w:rsidR="005F6A8B">
        <w:rPr>
          <w:rFonts w:ascii="Times New Roman" w:hAnsi="Times New Roman"/>
          <w:szCs w:val="24"/>
        </w:rPr>
        <w:t xml:space="preserve">. </w:t>
      </w:r>
      <w:r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Pr="007A5BBC">
        <w:rPr>
          <w:rFonts w:ascii="Times New Roman" w:hAnsi="Times New Roman"/>
          <w:szCs w:val="24"/>
        </w:rPr>
        <w:t>known as the “cramdown,</w:t>
      </w:r>
      <w:r w:rsidR="006F3818" w:rsidRPr="007A5BBC">
        <w:rPr>
          <w:rFonts w:ascii="Times New Roman" w:hAnsi="Times New Roman"/>
          <w:szCs w:val="24"/>
        </w:rPr>
        <w:t>”</w:t>
      </w:r>
      <w:r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76A07D7D" w:rsidR="007C4937" w:rsidRPr="005B13ED" w:rsidRDefault="006F3818" w:rsidP="007F3399">
      <w:pPr>
        <w:pStyle w:val="ListParagraph"/>
        <w:numPr>
          <w:ilvl w:val="0"/>
          <w:numId w:val="9"/>
        </w:numPr>
        <w:rPr>
          <w:b/>
          <w:bCs/>
        </w:rPr>
      </w:pPr>
      <w:r w:rsidRPr="005B13ED">
        <w:rPr>
          <w:b/>
          <w:bCs/>
        </w:rPr>
        <w:t>The Best Interests of Creditors Test</w:t>
      </w:r>
      <w:r w:rsidR="005F6A8B" w:rsidRPr="005B13ED">
        <w:rPr>
          <w:b/>
          <w:bCs/>
        </w:rPr>
        <w:t xml:space="preserve">. </w:t>
      </w:r>
      <w:r w:rsidRPr="005B13ED">
        <w:rPr>
          <w:b/>
          <w:bCs/>
        </w:rPr>
        <w:t>11 U.S.C. § 1129(a)(7)</w:t>
      </w:r>
      <w:r w:rsidR="005F6A8B" w:rsidRPr="005B13ED">
        <w:rPr>
          <w:b/>
          <w:bCs/>
        </w:rPr>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7D57F7C0" w:rsidR="007C4937" w:rsidRPr="005B13ED" w:rsidRDefault="006F3818" w:rsidP="007F3399">
      <w:pPr>
        <w:pStyle w:val="ListParagraph"/>
        <w:numPr>
          <w:ilvl w:val="0"/>
          <w:numId w:val="9"/>
        </w:numPr>
        <w:rPr>
          <w:b/>
          <w:bCs/>
        </w:rPr>
      </w:pPr>
      <w:r w:rsidRPr="005B13ED">
        <w:rPr>
          <w:b/>
          <w:bCs/>
        </w:rPr>
        <w:t xml:space="preserve">Acceptance by Every </w:t>
      </w:r>
      <w:r w:rsidR="005B13ED">
        <w:rPr>
          <w:b/>
          <w:bCs/>
        </w:rPr>
        <w:t>C</w:t>
      </w:r>
      <w:r w:rsidRPr="005B13ED">
        <w:rPr>
          <w:b/>
          <w:bCs/>
        </w:rPr>
        <w:t>lass</w:t>
      </w:r>
      <w:r w:rsidR="005F6A8B" w:rsidRPr="005B13ED">
        <w:rPr>
          <w:b/>
          <w:bCs/>
        </w:rPr>
        <w:t xml:space="preserve">. </w:t>
      </w:r>
      <w:r w:rsidRPr="005B13ED">
        <w:rPr>
          <w:b/>
          <w:bCs/>
        </w:rPr>
        <w:t>11 U.S.C. § 1129(a)(8)</w:t>
      </w:r>
      <w:r w:rsidR="005F6A8B" w:rsidRPr="005B13ED">
        <w:rPr>
          <w:b/>
          <w:bCs/>
        </w:rPr>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220323E8" w:rsidR="007C4937" w:rsidRPr="005B13ED" w:rsidRDefault="006F3818" w:rsidP="007F3399">
      <w:pPr>
        <w:pStyle w:val="ListParagraph"/>
        <w:numPr>
          <w:ilvl w:val="0"/>
          <w:numId w:val="9"/>
        </w:numPr>
        <w:rPr>
          <w:b/>
          <w:bCs/>
        </w:rPr>
      </w:pPr>
      <w:r w:rsidRPr="005B13ED">
        <w:rPr>
          <w:b/>
          <w:bCs/>
        </w:rPr>
        <w:t>Priority Claim Treatment</w:t>
      </w:r>
      <w:r w:rsidR="005F6A8B" w:rsidRPr="005B13ED">
        <w:rPr>
          <w:b/>
          <w:bCs/>
        </w:rPr>
        <w:t xml:space="preserve">. </w:t>
      </w:r>
      <w:r w:rsidR="00075FCC" w:rsidRPr="005B13ED">
        <w:rPr>
          <w:b/>
          <w:bCs/>
        </w:rPr>
        <w:t>11 U.S.C. § 1129(a)(8).</w:t>
      </w:r>
    </w:p>
    <w:p w14:paraId="07B855B9" w14:textId="2BCF5E16"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r w:rsidR="006F3818" w:rsidRPr="007A5BBC">
        <w:rPr>
          <w:rFonts w:ascii="Times New Roman" w:hAnsi="Times New Roman"/>
          <w:szCs w:val="24"/>
        </w:rPr>
        <w:t>11 U.S.C. § 1129(a)(9)(A)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r w:rsidR="006F3818" w:rsidRPr="007A5BBC">
        <w:rPr>
          <w:rFonts w:ascii="Times New Roman" w:hAnsi="Times New Roman"/>
          <w:szCs w:val="24"/>
        </w:rPr>
        <w:t>1129(a)(9)(C)</w:t>
      </w:r>
      <w:r w:rsidRPr="007A5BBC">
        <w:rPr>
          <w:rFonts w:ascii="Times New Roman" w:hAnsi="Times New Roman"/>
          <w:szCs w:val="24"/>
        </w:rPr>
        <w:t>); and m</w:t>
      </w:r>
      <w:r w:rsidR="006F3818" w:rsidRPr="007A5BBC">
        <w:rPr>
          <w:rFonts w:ascii="Times New Roman" w:hAnsi="Times New Roman"/>
          <w:szCs w:val="24"/>
        </w:rPr>
        <w:t>ost other priority claims must be paid in cash on the effective date unless the class votes to accept full payments over time with interest</w:t>
      </w:r>
      <w:r w:rsidR="005F6A8B">
        <w:rPr>
          <w:rFonts w:ascii="Times New Roman" w:hAnsi="Times New Roman"/>
          <w:szCs w:val="24"/>
        </w:rPr>
        <w:t xml:space="preserve">. </w:t>
      </w:r>
    </w:p>
    <w:p w14:paraId="739EAE37" w14:textId="528D1F5A" w:rsidR="007C4937" w:rsidRPr="005B13ED" w:rsidRDefault="00C63DDA" w:rsidP="007F3399">
      <w:pPr>
        <w:pStyle w:val="ListParagraph"/>
        <w:numPr>
          <w:ilvl w:val="0"/>
          <w:numId w:val="9"/>
        </w:numPr>
        <w:rPr>
          <w:b/>
          <w:bCs/>
        </w:rPr>
      </w:pPr>
      <w:r w:rsidRPr="005B13ED">
        <w:rPr>
          <w:b/>
          <w:bCs/>
        </w:rPr>
        <w:t>One Accepting Impaired Class. 11 U.S.C. § 1129(a)(10)</w:t>
      </w:r>
      <w:r w:rsidR="005B13ED">
        <w:rPr>
          <w:b/>
          <w:bCs/>
        </w:rPr>
        <w:t>.</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3941226E" w:rsidR="007C4937" w:rsidRPr="005B13ED" w:rsidRDefault="00C63DDA" w:rsidP="007F3399">
      <w:pPr>
        <w:pStyle w:val="ListParagraph"/>
        <w:numPr>
          <w:ilvl w:val="0"/>
          <w:numId w:val="9"/>
        </w:numPr>
        <w:rPr>
          <w:b/>
        </w:rPr>
      </w:pPr>
      <w:r w:rsidRPr="005B13ED">
        <w:rPr>
          <w:b/>
        </w:rPr>
        <w:t>Feasibility</w:t>
      </w:r>
      <w:r w:rsidR="005F6A8B" w:rsidRPr="005B13ED">
        <w:rPr>
          <w:b/>
        </w:rPr>
        <w:t xml:space="preserve">. </w:t>
      </w:r>
      <w:r w:rsidRPr="005B13ED">
        <w:rPr>
          <w:b/>
        </w:rPr>
        <w:t>11 U.S.C. § 1129(a)(11)</w:t>
      </w:r>
      <w:r w:rsidR="005F6A8B" w:rsidRPr="005B13ED">
        <w:rPr>
          <w:b/>
        </w:rPr>
        <w:t xml:space="preserve">. </w:t>
      </w:r>
    </w:p>
    <w:p w14:paraId="23DF3403" w14:textId="3E9139B0"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The Debtor must show that the plan can be completed without the need for further financial reorganization.</w:t>
      </w:r>
    </w:p>
    <w:p w14:paraId="645EF66B" w14:textId="08EB95DF" w:rsidR="007C4937" w:rsidRPr="005B13ED" w:rsidRDefault="00C63DDA" w:rsidP="007F3399">
      <w:pPr>
        <w:pStyle w:val="ListParagraph"/>
        <w:numPr>
          <w:ilvl w:val="0"/>
          <w:numId w:val="9"/>
        </w:numPr>
        <w:rPr>
          <w:b/>
          <w:bCs/>
        </w:rPr>
      </w:pPr>
      <w:r w:rsidRPr="005B13ED">
        <w:rPr>
          <w:b/>
          <w:bCs/>
        </w:rPr>
        <w:t>Projected Disposable Income Test for Individual Debtors</w:t>
      </w:r>
      <w:r w:rsidR="005F6A8B" w:rsidRPr="005B13ED">
        <w:rPr>
          <w:b/>
          <w:bCs/>
        </w:rPr>
        <w:t xml:space="preserve">. </w:t>
      </w:r>
      <w:r w:rsidRPr="005B13ED">
        <w:rPr>
          <w:b/>
          <w:bCs/>
        </w:rPr>
        <w:t>11 U.S.C. § 1129(a)(15)</w:t>
      </w:r>
      <w:r w:rsidR="005F6A8B" w:rsidRPr="005B13ED">
        <w:rPr>
          <w:b/>
          <w:bCs/>
        </w:rPr>
        <w:t xml:space="preserve">. </w:t>
      </w:r>
    </w:p>
    <w:p w14:paraId="39C04C0A" w14:textId="4DF06954" w:rsidR="00B1721F"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(11 U.S.C. § 1325(b)(2)), except it requires a five year plan even for below median debtors.</w:t>
      </w:r>
    </w:p>
    <w:p w14:paraId="1B05A9BD" w14:textId="77777777" w:rsidR="00142C55" w:rsidRPr="007A5BBC" w:rsidRDefault="00142C55" w:rsidP="00142C55">
      <w:pPr>
        <w:ind w:firstLine="720"/>
        <w:jc w:val="both"/>
        <w:rPr>
          <w:rFonts w:ascii="Times New Roman" w:hAnsi="Times New Roman"/>
          <w:szCs w:val="24"/>
        </w:rPr>
      </w:pPr>
    </w:p>
    <w:p w14:paraId="0CD7DAFE" w14:textId="5465457F" w:rsidR="00AA14F5" w:rsidRPr="007A5BBC" w:rsidRDefault="00AA14F5" w:rsidP="00142C55">
      <w:pPr>
        <w:pStyle w:val="Heading2"/>
        <w:spacing w:line="240" w:lineRule="auto"/>
      </w:pPr>
      <w:bookmarkStart w:id="6278" w:name="_Toc417380930"/>
      <w:bookmarkStart w:id="6279" w:name="_Toc79699337"/>
      <w:bookmarkStart w:id="6280" w:name="_Toc79699663"/>
      <w:bookmarkStart w:id="6281" w:name="_Toc79700001"/>
      <w:bookmarkStart w:id="6282" w:name="_Toc79700321"/>
      <w:bookmarkStart w:id="6283" w:name="_Toc79700643"/>
      <w:bookmarkStart w:id="6284" w:name="_Toc87039421"/>
      <w:bookmarkStart w:id="6285" w:name="_Toc90983817"/>
      <w:r w:rsidRPr="007A5BBC">
        <w:t>The Cramdown</w:t>
      </w:r>
      <w:r w:rsidR="00CB723B">
        <w:t xml:space="preserve"> – </w:t>
      </w:r>
      <w:r w:rsidRPr="007A5BBC">
        <w:t>11 U.S.C. §1129(b)</w:t>
      </w:r>
      <w:bookmarkStart w:id="6286" w:name="_Toc79693195"/>
      <w:bookmarkStart w:id="6287" w:name="_Toc79693515"/>
      <w:bookmarkStart w:id="6288" w:name="_Toc79693835"/>
      <w:bookmarkStart w:id="6289" w:name="_Toc79694152"/>
      <w:bookmarkStart w:id="6290" w:name="_Toc79694790"/>
      <w:bookmarkStart w:id="6291" w:name="_Toc79695420"/>
      <w:bookmarkStart w:id="6292" w:name="_Toc79697666"/>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r w:rsidR="00142C55">
        <w:br/>
      </w:r>
    </w:p>
    <w:p w14:paraId="0AEF831D" w14:textId="41E00CA9" w:rsidR="00EA14FF"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section 1129(a)(8)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section 1129(b)</w:t>
      </w:r>
      <w:r w:rsidR="005F6A8B">
        <w:rPr>
          <w:rFonts w:ascii="Times New Roman" w:hAnsi="Times New Roman"/>
          <w:szCs w:val="24"/>
        </w:rPr>
        <w:t xml:space="preserve">. </w:t>
      </w:r>
      <w:r w:rsidR="00EA14FF" w:rsidRPr="007A5BBC">
        <w:rPr>
          <w:rFonts w:ascii="Times New Roman" w:hAnsi="Times New Roman"/>
          <w:szCs w:val="24"/>
        </w:rPr>
        <w:t>Section 1129(b)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The primary focus is on the “fair and equitable requirement” which is defined to include three sets of rules: (1) Section 1129(b)(2)(A) for cramming down secured classes, (2) Section 1129(b)(2)(B) for cramming down unsecured classes, and (3) section 1129(b)(2)(C) for cramming down equity interest classes</w:t>
      </w:r>
      <w:r w:rsidR="005F6A8B">
        <w:rPr>
          <w:rFonts w:ascii="Times New Roman" w:hAnsi="Times New Roman"/>
          <w:szCs w:val="24"/>
        </w:rPr>
        <w:t xml:space="preserve">. </w:t>
      </w:r>
    </w:p>
    <w:p w14:paraId="06B724CE" w14:textId="77777777" w:rsidR="00142C55" w:rsidRPr="007A5BBC" w:rsidRDefault="00142C55" w:rsidP="00BA4893">
      <w:pPr>
        <w:ind w:firstLine="720"/>
        <w:jc w:val="both"/>
        <w:rPr>
          <w:rFonts w:ascii="Times New Roman" w:hAnsi="Times New Roman"/>
          <w:szCs w:val="24"/>
        </w:rPr>
      </w:pPr>
    </w:p>
    <w:p w14:paraId="0C3E3DF6" w14:textId="0092A8A8" w:rsidR="007C4937" w:rsidRPr="00D01E28" w:rsidRDefault="007966EE" w:rsidP="00D95675">
      <w:pPr>
        <w:pStyle w:val="Heading3"/>
      </w:pPr>
      <w:bookmarkStart w:id="6293" w:name="_Toc87039422"/>
      <w:bookmarkStart w:id="6294" w:name="_Toc90983818"/>
      <w:r w:rsidRPr="00D01E28">
        <w:t>Cramdown of Secured Claims</w:t>
      </w:r>
      <w:bookmarkEnd w:id="6293"/>
      <w:bookmarkEnd w:id="6294"/>
      <w:r w:rsidR="005F6A8B" w:rsidRPr="00D01E28">
        <w:t xml:space="preserve"> </w:t>
      </w:r>
      <w:bookmarkStart w:id="6295" w:name="_Toc79693196"/>
      <w:bookmarkStart w:id="6296" w:name="_Toc79693516"/>
      <w:bookmarkStart w:id="6297" w:name="_Toc79693836"/>
      <w:bookmarkStart w:id="6298" w:name="_Toc79694153"/>
      <w:bookmarkStart w:id="6299" w:name="_Toc79694471"/>
      <w:bookmarkStart w:id="6300" w:name="_Toc79694791"/>
      <w:bookmarkStart w:id="6301" w:name="_Toc79695105"/>
      <w:bookmarkStart w:id="6302" w:name="_Toc79695421"/>
      <w:bookmarkStart w:id="6303" w:name="_Toc79695737"/>
      <w:bookmarkStart w:id="6304" w:name="_Toc79696053"/>
      <w:bookmarkStart w:id="6305" w:name="_Toc79696369"/>
      <w:bookmarkStart w:id="6306" w:name="_Toc79696685"/>
      <w:bookmarkStart w:id="6307" w:name="_Toc79697006"/>
      <w:bookmarkStart w:id="6308" w:name="_Toc79697338"/>
      <w:bookmarkStart w:id="6309" w:name="_Toc79697667"/>
      <w:bookmarkStart w:id="6310" w:name="_Toc79699338"/>
      <w:bookmarkStart w:id="6311" w:name="_Toc79699664"/>
      <w:bookmarkStart w:id="6312" w:name="_Toc79700002"/>
      <w:bookmarkStart w:id="6313" w:name="_Toc79700322"/>
      <w:bookmarkStart w:id="6314" w:name="_Toc79700644"/>
      <w:bookmarkStart w:id="6315" w:name="_Toc79700966"/>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r w:rsidR="00142C55">
        <w:br/>
      </w:r>
    </w:p>
    <w:p w14:paraId="1F4D8600" w14:textId="727A7FDE"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Section 1129(b)(2)(A)(i), the collateral can be sold and the creditor paid the proceeds of sale (with the right to credit bid) under Section 1129(b)(2)(A)(ii),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Section 1129(b)(2)(A)(iii)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506(a) secured claim</w:t>
      </w:r>
      <w:r w:rsidR="00DD19A5" w:rsidRPr="007A5BBC">
        <w:rPr>
          <w:rFonts w:ascii="Times New Roman" w:hAnsi="Times New Roman"/>
          <w:szCs w:val="24"/>
        </w:rPr>
        <w:t>.</w:t>
      </w:r>
      <w:r w:rsidR="00075FCC">
        <w:rPr>
          <w:rFonts w:ascii="Times New Roman" w:hAnsi="Times New Roman"/>
          <w:szCs w:val="24"/>
        </w:rPr>
        <w:t xml:space="preserve"> </w:t>
      </w:r>
      <w:r w:rsidR="00EB70D6">
        <w:rPr>
          <w:rFonts w:ascii="Times New Roman" w:hAnsi="Times New Roman"/>
          <w:szCs w:val="24"/>
        </w:rPr>
        <w:t>To maintain present value, the payment stream must include interest at the “Till”</w:t>
      </w:r>
      <w:r w:rsidR="00592816">
        <w:rPr>
          <w:rFonts w:ascii="Times New Roman" w:hAnsi="Times New Roman"/>
          <w:szCs w:val="24"/>
        </w:rPr>
        <w:t xml:space="preserve"> rate on the value of the property, but not on the claim amount</w:t>
      </w:r>
      <w:r w:rsidR="00083725">
        <w:rPr>
          <w:rFonts w:ascii="Times New Roman" w:hAnsi="Times New Roman"/>
          <w:szCs w:val="24"/>
        </w:rPr>
        <w:t xml:space="preserve">. </w:t>
      </w:r>
      <w:r w:rsidR="00592816">
        <w:rPr>
          <w:rFonts w:ascii="Times New Roman" w:hAnsi="Times New Roman"/>
          <w:szCs w:val="24"/>
        </w:rPr>
        <w:t>Indeed, the claim amount can be paid without any interest at all, if the present value of the stream will exceed the value of the property.</w:t>
      </w:r>
    </w:p>
    <w:p w14:paraId="18D2104B" w14:textId="0C7D7DBC"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What is the relationship between the 1111(b)(2) election and the cramdown formula</w:t>
      </w:r>
      <w:r w:rsidR="00083725" w:rsidRPr="007A5BBC">
        <w:rPr>
          <w:rFonts w:ascii="Times New Roman" w:hAnsi="Times New Roman"/>
          <w:szCs w:val="24"/>
        </w:rPr>
        <w:t xml:space="preserve">? </w:t>
      </w:r>
      <w:r w:rsidRPr="007A5BBC">
        <w:rPr>
          <w:rFonts w:ascii="Times New Roman" w:hAnsi="Times New Roman"/>
          <w:szCs w:val="24"/>
        </w:rPr>
        <w:t>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Under Section 506(a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t>But if the creditor made the 1111(b)(2)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But the discounted present value of those payments would be only $61,445.67</w:t>
      </w:r>
      <w:r w:rsidR="005F6A8B">
        <w:rPr>
          <w:rFonts w:ascii="Times New Roman" w:hAnsi="Times New Roman"/>
          <w:szCs w:val="24"/>
        </w:rPr>
        <w:t xml:space="preserve">. </w:t>
      </w:r>
      <w:r w:rsidR="00DD19A5" w:rsidRPr="007A5BBC">
        <w:rPr>
          <w:rFonts w:ascii="Times New Roman" w:hAnsi="Times New Roman"/>
          <w:szCs w:val="24"/>
        </w:rPr>
        <w:t>If the creditor makes the 1111(b)</w:t>
      </w:r>
      <w:r w:rsidR="00592816">
        <w:rPr>
          <w:rFonts w:ascii="Times New Roman" w:hAnsi="Times New Roman"/>
          <w:szCs w:val="24"/>
        </w:rPr>
        <w:t>(2)</w:t>
      </w:r>
      <w:r w:rsidR="00DD19A5" w:rsidRPr="007A5BBC">
        <w:rPr>
          <w:rFonts w:ascii="Times New Roman" w:hAnsi="Times New Roman"/>
          <w:szCs w:val="24"/>
        </w:rPr>
        <w:t xml:space="preserve"> election, the debtor may simply propose </w:t>
      </w:r>
      <w:r w:rsidR="00AB3EFD">
        <w:rPr>
          <w:rFonts w:ascii="Times New Roman" w:hAnsi="Times New Roman"/>
          <w:szCs w:val="24"/>
        </w:rPr>
        <w:t xml:space="preserve">to </w:t>
      </w:r>
      <w:r w:rsidR="00DD19A5" w:rsidRPr="007A5BBC">
        <w:rPr>
          <w:rFonts w:ascii="Times New Roman" w:hAnsi="Times New Roman"/>
          <w:szCs w:val="24"/>
        </w:rPr>
        <w:t>pay the claim without</w:t>
      </w:r>
      <w:r w:rsidR="00592816">
        <w:rPr>
          <w:rFonts w:ascii="Times New Roman" w:hAnsi="Times New Roman"/>
          <w:szCs w:val="24"/>
        </w:rPr>
        <w:t xml:space="preserve"> interest (or with below market rate interest if necessary to maintain the present value of the collateral)</w:t>
      </w:r>
      <w:r w:rsidR="00083725">
        <w:rPr>
          <w:rFonts w:ascii="Times New Roman" w:hAnsi="Times New Roman"/>
          <w:szCs w:val="24"/>
        </w:rPr>
        <w:t xml:space="preserve">. </w:t>
      </w:r>
      <w:r w:rsidR="00592816">
        <w:rPr>
          <w:rFonts w:ascii="Times New Roman" w:hAnsi="Times New Roman"/>
          <w:szCs w:val="24"/>
        </w:rPr>
        <w:t>Under the statutory test, t</w:t>
      </w:r>
      <w:r w:rsidR="00DD19A5" w:rsidRPr="007A5BBC">
        <w:rPr>
          <w:rFonts w:ascii="Times New Roman" w:hAnsi="Times New Roman"/>
          <w:szCs w:val="24"/>
        </w:rPr>
        <w:t xml:space="preserve">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592816">
        <w:rPr>
          <w:rFonts w:ascii="Times New Roman" w:hAnsi="Times New Roman"/>
          <w:szCs w:val="24"/>
        </w:rPr>
        <w:t>The receipt of the total secured claim, without (or with below market) interest, will not generally be of importance to a financially sophisticated creditor</w:t>
      </w:r>
      <w:r w:rsidR="00083725">
        <w:rPr>
          <w:rFonts w:ascii="Times New Roman" w:hAnsi="Times New Roman"/>
          <w:szCs w:val="24"/>
        </w:rPr>
        <w:t xml:space="preserve">. </w:t>
      </w:r>
      <w:r w:rsidR="00DD19A5" w:rsidRPr="007A5BBC">
        <w:rPr>
          <w:rFonts w:ascii="Times New Roman" w:hAnsi="Times New Roman"/>
          <w:szCs w:val="24"/>
        </w:rPr>
        <w:t>If the debtor makes the proposed payments, the creditor is worse off in real present value terms than if the cre</w:t>
      </w:r>
      <w:r w:rsidR="00592816">
        <w:rPr>
          <w:rFonts w:ascii="Times New Roman" w:hAnsi="Times New Roman"/>
          <w:szCs w:val="24"/>
        </w:rPr>
        <w:t xml:space="preserve">ditor did not make the election, because the non-electing creditor would receive the same present value of its secured claim, plus would receive </w:t>
      </w:r>
      <w:r w:rsidR="00DD19A5" w:rsidRPr="007A5BBC">
        <w:rPr>
          <w:rFonts w:ascii="Times New Roman" w:hAnsi="Times New Roman"/>
          <w:szCs w:val="24"/>
        </w:rPr>
        <w:t>some distribution on its unsecured claim</w:t>
      </w:r>
      <w:r w:rsidR="00083725" w:rsidRPr="007A5BBC">
        <w:rPr>
          <w:rFonts w:ascii="Times New Roman" w:hAnsi="Times New Roman"/>
          <w:szCs w:val="24"/>
        </w:rPr>
        <w:t>.</w:t>
      </w:r>
      <w:r w:rsidR="00083725">
        <w:rPr>
          <w:rFonts w:ascii="Times New Roman" w:hAnsi="Times New Roman"/>
          <w:szCs w:val="24"/>
        </w:rPr>
        <w:t xml:space="preserve"> </w:t>
      </w:r>
      <w:r w:rsidR="00592816">
        <w:rPr>
          <w:rFonts w:ascii="Times New Roman" w:hAnsi="Times New Roman"/>
          <w:szCs w:val="24"/>
        </w:rPr>
        <w:t>The creditor may receive no “value” to in return fo</w:t>
      </w:r>
      <w:r w:rsidR="004D4B96">
        <w:rPr>
          <w:rFonts w:ascii="Times New Roman" w:hAnsi="Times New Roman"/>
          <w:szCs w:val="24"/>
        </w:rPr>
        <w:t>r giving up its unsecured claim.</w:t>
      </w:r>
    </w:p>
    <w:p w14:paraId="77A96792" w14:textId="4BA43DF4" w:rsidR="008F31E3" w:rsidRDefault="008F31E3" w:rsidP="00BA4893">
      <w:pPr>
        <w:ind w:firstLine="720"/>
        <w:jc w:val="both"/>
        <w:rPr>
          <w:rFonts w:ascii="Times New Roman" w:hAnsi="Times New Roman"/>
          <w:szCs w:val="24"/>
        </w:rPr>
      </w:pPr>
      <w:r w:rsidRPr="007A5BBC">
        <w:rPr>
          <w:rFonts w:ascii="Times New Roman" w:hAnsi="Times New Roman"/>
          <w:szCs w:val="24"/>
        </w:rPr>
        <w:t xml:space="preserve">The </w:t>
      </w:r>
      <w:r w:rsidR="00592816">
        <w:rPr>
          <w:rFonts w:ascii="Times New Roman" w:hAnsi="Times New Roman"/>
          <w:szCs w:val="24"/>
        </w:rPr>
        <w:t xml:space="preserve">alternative </w:t>
      </w:r>
      <w:r w:rsidRPr="007A5BBC">
        <w:rPr>
          <w:rFonts w:ascii="Times New Roman" w:hAnsi="Times New Roman"/>
          <w:szCs w:val="24"/>
        </w:rPr>
        <w:t xml:space="preserve">“indubitable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00592816">
        <w:rPr>
          <w:rFonts w:ascii="Times New Roman" w:hAnsi="Times New Roman"/>
          <w:szCs w:val="24"/>
        </w:rPr>
        <w:t>based on the bankruptcy court’s valuation of the property</w:t>
      </w:r>
      <w:r w:rsidR="00083725">
        <w:rPr>
          <w:rFonts w:ascii="Times New Roman" w:hAnsi="Times New Roman"/>
          <w:szCs w:val="24"/>
        </w:rPr>
        <w:t xml:space="preserve">. </w:t>
      </w:r>
      <w:r w:rsidRPr="007A5BBC">
        <w:rPr>
          <w:rFonts w:ascii="Times New Roman" w:hAnsi="Times New Roman"/>
          <w:szCs w:val="24"/>
        </w:rPr>
        <w:t xml:space="preserve">The </w:t>
      </w:r>
      <w:r w:rsidR="00592816">
        <w:rPr>
          <w:rFonts w:ascii="Times New Roman" w:hAnsi="Times New Roman"/>
          <w:szCs w:val="24"/>
        </w:rPr>
        <w:t>Ninth Circuit C</w:t>
      </w:r>
      <w:r w:rsidRPr="007A5BBC">
        <w:rPr>
          <w:rFonts w:ascii="Times New Roman" w:hAnsi="Times New Roman"/>
          <w:szCs w:val="24"/>
        </w:rPr>
        <w:t xml:space="preserve">ourt </w:t>
      </w:r>
      <w:r w:rsidR="00592816">
        <w:rPr>
          <w:rFonts w:ascii="Times New Roman" w:hAnsi="Times New Roman"/>
          <w:szCs w:val="24"/>
        </w:rPr>
        <w:t xml:space="preserve">of Appeals </w:t>
      </w:r>
      <w:r w:rsidRPr="007A5BBC">
        <w:rPr>
          <w:rFonts w:ascii="Times New Roman" w:hAnsi="Times New Roman"/>
          <w:szCs w:val="24"/>
        </w:rPr>
        <w:t>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76E9A3A9" w14:textId="77777777" w:rsidR="00142C55" w:rsidRPr="007A5BBC" w:rsidRDefault="00142C55" w:rsidP="00BA4893">
      <w:pPr>
        <w:ind w:firstLine="720"/>
        <w:jc w:val="both"/>
        <w:rPr>
          <w:rFonts w:ascii="Times New Roman" w:hAnsi="Times New Roman"/>
          <w:color w:val="000000"/>
          <w:szCs w:val="24"/>
        </w:rPr>
      </w:pPr>
    </w:p>
    <w:p w14:paraId="6DDC5DF4" w14:textId="091A6C48" w:rsidR="007C4937" w:rsidRPr="00D01E28" w:rsidRDefault="00DD19A5" w:rsidP="00D95675">
      <w:pPr>
        <w:pStyle w:val="Heading3"/>
      </w:pPr>
      <w:bookmarkStart w:id="6316" w:name="_Toc87039423"/>
      <w:bookmarkStart w:id="6317" w:name="_Toc90983819"/>
      <w:r w:rsidRPr="00D01E28">
        <w:t>Cramdown of Unsecured Claims</w:t>
      </w:r>
      <w:bookmarkEnd w:id="6316"/>
      <w:bookmarkEnd w:id="6317"/>
      <w:r w:rsidR="005F6A8B" w:rsidRPr="00D01E28">
        <w:t xml:space="preserve"> </w:t>
      </w:r>
      <w:bookmarkStart w:id="6318" w:name="_Toc79693197"/>
      <w:bookmarkStart w:id="6319" w:name="_Toc79693517"/>
      <w:bookmarkStart w:id="6320" w:name="_Toc79693837"/>
      <w:bookmarkStart w:id="6321" w:name="_Toc79694154"/>
      <w:bookmarkStart w:id="6322" w:name="_Toc79694472"/>
      <w:bookmarkStart w:id="6323" w:name="_Toc79694792"/>
      <w:bookmarkStart w:id="6324" w:name="_Toc79695106"/>
      <w:bookmarkStart w:id="6325" w:name="_Toc79695422"/>
      <w:bookmarkStart w:id="6326" w:name="_Toc79695738"/>
      <w:bookmarkStart w:id="6327" w:name="_Toc79696054"/>
      <w:bookmarkStart w:id="6328" w:name="_Toc79696370"/>
      <w:bookmarkStart w:id="6329" w:name="_Toc79696686"/>
      <w:bookmarkStart w:id="6330" w:name="_Toc79697007"/>
      <w:bookmarkStart w:id="6331" w:name="_Toc79697339"/>
      <w:bookmarkStart w:id="6332" w:name="_Toc79697668"/>
      <w:bookmarkStart w:id="6333" w:name="_Toc79699339"/>
      <w:bookmarkStart w:id="6334" w:name="_Toc79699665"/>
      <w:bookmarkStart w:id="6335" w:name="_Toc79700003"/>
      <w:bookmarkStart w:id="6336" w:name="_Toc79700323"/>
      <w:bookmarkStart w:id="6337" w:name="_Toc79700645"/>
      <w:bookmarkStart w:id="6338" w:name="_Toc7970096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r w:rsidR="00142C55">
        <w:br/>
      </w:r>
    </w:p>
    <w:p w14:paraId="20F642CE" w14:textId="38501C23"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This is the absolute priority 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For example, corporate business plans can easily be 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4723BD6E"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24"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 xml:space="preserve">whether </w:t>
      </w:r>
      <w:r w:rsidR="004D4B96">
        <w:rPr>
          <w:rFonts w:ascii="Times New Roman" w:hAnsi="Times New Roman"/>
          <w:szCs w:val="24"/>
        </w:rPr>
        <w:t xml:space="preserve">a </w:t>
      </w:r>
      <w:r w:rsidRPr="007A5BBC">
        <w:rPr>
          <w:rFonts w:ascii="Times New Roman" w:hAnsi="Times New Roman"/>
          <w:szCs w:val="24"/>
        </w:rPr>
        <w:t xml:space="preserve">new value corollary </w:t>
      </w:r>
      <w:r w:rsidR="004D4B96">
        <w:rPr>
          <w:rFonts w:ascii="Times New Roman" w:hAnsi="Times New Roman"/>
          <w:szCs w:val="24"/>
        </w:rPr>
        <w:t xml:space="preserve">exists or </w:t>
      </w:r>
      <w:r w:rsidRPr="007A5BBC">
        <w:rPr>
          <w:rFonts w:ascii="Times New Roman" w:hAnsi="Times New Roman"/>
          <w:szCs w:val="24"/>
        </w:rPr>
        <w:t>not, but ru</w:t>
      </w:r>
      <w:r w:rsidR="004D4B96">
        <w:rPr>
          <w:rFonts w:ascii="Times New Roman" w:hAnsi="Times New Roman"/>
          <w:szCs w:val="24"/>
        </w:rPr>
        <w:t xml:space="preserve">led that, if it exists, </w:t>
      </w:r>
      <w:r w:rsidRPr="007A5BBC">
        <w:rPr>
          <w:rFonts w:ascii="Times New Roman" w:hAnsi="Times New Roman"/>
          <w:szCs w:val="24"/>
        </w:rPr>
        <w:t xml:space="preserve">the new value </w:t>
      </w:r>
      <w:r w:rsidR="004D4B96">
        <w:rPr>
          <w:rFonts w:ascii="Times New Roman" w:hAnsi="Times New Roman"/>
          <w:szCs w:val="24"/>
        </w:rPr>
        <w:t xml:space="preserve">must be </w:t>
      </w:r>
      <w:r w:rsidRPr="007A5BBC">
        <w:rPr>
          <w:rFonts w:ascii="Times New Roman" w:hAnsi="Times New Roman"/>
          <w:szCs w:val="24"/>
        </w:rPr>
        <w:t>“money or money’s worth,” not the promise of future services.</w:t>
      </w:r>
    </w:p>
    <w:p w14:paraId="176594F4" w14:textId="74544C0B" w:rsidR="002B4C8F" w:rsidRDefault="004D4B96" w:rsidP="00BA4893">
      <w:pPr>
        <w:ind w:firstLine="720"/>
        <w:jc w:val="both"/>
        <w:rPr>
          <w:rFonts w:ascii="Times New Roman" w:hAnsi="Times New Roman"/>
          <w:szCs w:val="24"/>
        </w:rPr>
      </w:pPr>
      <w:r>
        <w:rPr>
          <w:rFonts w:ascii="Times New Roman" w:hAnsi="Times New Roman"/>
          <w:szCs w:val="24"/>
        </w:rPr>
        <w:t>While not answering the ultimate question of whether the new value corollary exists, t</w:t>
      </w:r>
      <w:r w:rsidR="008F31E3" w:rsidRPr="007A5BBC">
        <w:rPr>
          <w:rFonts w:ascii="Times New Roman" w:hAnsi="Times New Roman"/>
          <w:szCs w:val="24"/>
        </w:rPr>
        <w:t xml:space="preserve">he </w:t>
      </w:r>
      <w:r>
        <w:rPr>
          <w:rFonts w:ascii="Times New Roman" w:hAnsi="Times New Roman"/>
          <w:szCs w:val="24"/>
        </w:rPr>
        <w:t xml:space="preserve">Court </w:t>
      </w:r>
      <w:r w:rsidR="008F31E3" w:rsidRPr="007A5BBC">
        <w:rPr>
          <w:rFonts w:ascii="Times New Roman" w:hAnsi="Times New Roman"/>
          <w:szCs w:val="24"/>
        </w:rPr>
        <w:t>in</w:t>
      </w:r>
      <w:r w:rsidR="002F0728"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w:t>
      </w:r>
      <w:r>
        <w:rPr>
          <w:rFonts w:ascii="Times New Roman" w:hAnsi="Times New Roman"/>
          <w:szCs w:val="24"/>
        </w:rPr>
        <w:t>made clear that it is, at best, a very narrow exception to the absolute priority rule</w:t>
      </w:r>
      <w:r w:rsidR="00083725">
        <w:rPr>
          <w:rFonts w:ascii="Times New Roman" w:hAnsi="Times New Roman"/>
          <w:szCs w:val="24"/>
        </w:rPr>
        <w:t xml:space="preserve">. </w:t>
      </w:r>
      <w:r>
        <w:rPr>
          <w:rFonts w:ascii="Times New Roman" w:hAnsi="Times New Roman"/>
          <w:szCs w:val="24"/>
        </w:rPr>
        <w:t>The Court left the door open slightly for debtors to maintain their equity interests without paying dissenting creditors in full, but in most cases and for all practical purposes the door will be closed.</w:t>
      </w:r>
    </w:p>
    <w:p w14:paraId="60F64053" w14:textId="77777777" w:rsidR="00142C55" w:rsidRPr="007A5BBC" w:rsidRDefault="00142C55" w:rsidP="00BA4893">
      <w:pPr>
        <w:ind w:firstLine="720"/>
        <w:jc w:val="both"/>
        <w:rPr>
          <w:rFonts w:ascii="Times New Roman" w:hAnsi="Times New Roman"/>
          <w:szCs w:val="24"/>
        </w:rPr>
      </w:pPr>
    </w:p>
    <w:p w14:paraId="6E43B1A4" w14:textId="20679CDF" w:rsidR="00195984" w:rsidRPr="007A5BBC" w:rsidRDefault="00646EC9" w:rsidP="00142C55">
      <w:pPr>
        <w:pStyle w:val="Heading3"/>
      </w:pPr>
      <w:bookmarkStart w:id="6339" w:name="_Toc87039424"/>
      <w:bookmarkStart w:id="6340" w:name="_Toc90983820"/>
      <w:r>
        <w:t xml:space="preserve">Cases on </w:t>
      </w:r>
      <w:r w:rsidR="002F0728" w:rsidRPr="007A5BBC">
        <w:t>Cram</w:t>
      </w:r>
      <w:r>
        <w:t>ming Down Secured Claims in a Chapter 11 Plan of Reorganization</w:t>
      </w:r>
      <w:bookmarkStart w:id="6341" w:name="_Toc417380931"/>
      <w:bookmarkEnd w:id="6339"/>
      <w:bookmarkEnd w:id="6340"/>
      <w:r>
        <w:t xml:space="preserve"> </w:t>
      </w:r>
      <w:bookmarkStart w:id="6342" w:name="_Toc79693198"/>
      <w:bookmarkStart w:id="6343" w:name="_Toc79693518"/>
      <w:bookmarkStart w:id="6344" w:name="_Toc79693838"/>
      <w:bookmarkStart w:id="6345" w:name="_Toc79694155"/>
      <w:bookmarkStart w:id="6346" w:name="_Toc79694473"/>
      <w:bookmarkStart w:id="6347" w:name="_Toc79694793"/>
      <w:bookmarkStart w:id="6348" w:name="_Toc79695107"/>
      <w:bookmarkStart w:id="6349" w:name="_Toc79695423"/>
      <w:bookmarkStart w:id="6350" w:name="_Toc79695739"/>
      <w:bookmarkStart w:id="6351" w:name="_Toc79696055"/>
      <w:bookmarkStart w:id="6352" w:name="_Toc79696371"/>
      <w:bookmarkStart w:id="6353" w:name="_Toc79696687"/>
      <w:bookmarkStart w:id="6354" w:name="_Toc79697008"/>
      <w:bookmarkStart w:id="6355" w:name="_Toc79697340"/>
      <w:bookmarkStart w:id="6356" w:name="_Toc79697669"/>
      <w:bookmarkStart w:id="6357" w:name="_Toc79699340"/>
      <w:bookmarkStart w:id="6358" w:name="_Toc79699666"/>
      <w:bookmarkStart w:id="6359" w:name="_Toc79700004"/>
      <w:bookmarkStart w:id="6360" w:name="_Toc79700324"/>
      <w:bookmarkStart w:id="6361" w:name="_Toc79700646"/>
      <w:bookmarkStart w:id="6362" w:name="_Toc79700968"/>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r w:rsidR="00142C55">
        <w:br/>
      </w:r>
    </w:p>
    <w:p w14:paraId="2725AE07" w14:textId="64409664" w:rsidR="00195984" w:rsidRPr="00142C55" w:rsidRDefault="007C1024" w:rsidP="00142C55">
      <w:pPr>
        <w:pStyle w:val="Heading4"/>
        <w:rPr>
          <w:u w:val="single"/>
        </w:rPr>
      </w:pPr>
      <w:hyperlink r:id="rId325" w:history="1">
        <w:bookmarkStart w:id="6363" w:name="_Toc87039425"/>
        <w:bookmarkStart w:id="6364" w:name="_Toc90983821"/>
        <w:r w:rsidR="00195984" w:rsidRPr="00142C55">
          <w:rPr>
            <w:rStyle w:val="Hyperlink"/>
          </w:rPr>
          <w:t>I</w:t>
        </w:r>
        <w:r w:rsidR="000555EC" w:rsidRPr="00142C55">
          <w:rPr>
            <w:rStyle w:val="Hyperlink"/>
          </w:rPr>
          <w:t xml:space="preserve">N RE ARNOLD &amp; BAKER FARMS, </w:t>
        </w:r>
        <w:r w:rsidR="00195984" w:rsidRPr="00142C55">
          <w:rPr>
            <w:rStyle w:val="Hyperlink"/>
          </w:rPr>
          <w:t>85 F.3d 1415 (9th Cir. 1996)</w:t>
        </w:r>
        <w:bookmarkEnd w:id="6363"/>
        <w:bookmarkEnd w:id="6364"/>
      </w:hyperlink>
      <w:bookmarkStart w:id="6365" w:name="_Toc79693199"/>
      <w:bookmarkStart w:id="6366" w:name="_Toc79693519"/>
      <w:bookmarkStart w:id="6367" w:name="_Toc79693839"/>
      <w:bookmarkStart w:id="6368" w:name="_Toc79694156"/>
      <w:bookmarkStart w:id="6369" w:name="_Toc79694474"/>
      <w:bookmarkStart w:id="6370" w:name="_Toc79695108"/>
      <w:bookmarkStart w:id="6371" w:name="_Toc79695424"/>
      <w:bookmarkStart w:id="6372" w:name="_Toc79695740"/>
      <w:bookmarkStart w:id="6373" w:name="_Toc79696056"/>
      <w:bookmarkStart w:id="6374" w:name="_Toc79696372"/>
      <w:bookmarkStart w:id="6375" w:name="_Toc79696688"/>
      <w:bookmarkStart w:id="6376" w:name="_Toc79697009"/>
      <w:bookmarkStart w:id="6377" w:name="_Toc79697341"/>
      <w:bookmarkStart w:id="6378" w:name="_Toc79697670"/>
      <w:bookmarkStart w:id="6379" w:name="_Toc79699341"/>
      <w:bookmarkStart w:id="6380" w:name="_Toc79699667"/>
      <w:bookmarkStart w:id="6381" w:name="_Toc79700005"/>
      <w:bookmarkStart w:id="6382" w:name="_Toc79700325"/>
      <w:bookmarkStart w:id="6383" w:name="_Toc79700647"/>
      <w:bookmarkStart w:id="6384" w:name="_Toc79700969"/>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r w:rsidR="00142C55" w:rsidRPr="00142C55">
        <w:rPr>
          <w:rStyle w:val="Hyperlink"/>
        </w:rPr>
        <w:br/>
      </w:r>
    </w:p>
    <w:p w14:paraId="6B91FCD6" w14:textId="77777777" w:rsidR="00195984" w:rsidRPr="007A5BBC" w:rsidRDefault="00195984" w:rsidP="00195984">
      <w:pPr>
        <w:ind w:firstLine="720"/>
        <w:rPr>
          <w:rFonts w:ascii="Times New Roman" w:hAnsi="Times New Roman"/>
          <w:szCs w:val="24"/>
        </w:rPr>
      </w:pPr>
      <w:r w:rsidRPr="007A5BBC">
        <w:rPr>
          <w:rFonts w:ascii="Times New Roman" w:hAnsi="Times New Roman"/>
          <w:szCs w:val="24"/>
        </w:rPr>
        <w:t>WILLIAM A. NORRIS, Circuit Judge:</w:t>
      </w:r>
    </w:p>
    <w:p w14:paraId="5A9D83B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11 U.S.C. § 1129(b). The question presented is whether the plan's proposal to transfer to FmHA a portion of the collateral securing FmHA's claim will provide FmHA with the "indubitable equivalent" of its secured claim, as required by the "cram down" provision. See 11 U.S.C. § 1129(b)(2)(A)(iii).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[FmHA and Western Cotton] financed certain crops for the years 1978 through 1981, and FmHA lent Arnold and Baker sufficient funds to make the annual payments on the installments 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Arnold and Baker’s plan proposed to pay FmHA's $3,837,618 note and Western Cotton's $565,044 note in full. The plan proposed to transfer a proportionate fee simple interest in the 635 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Appellant Arnold and Baker argues that the BAP erred in reversing the confirmation of the plan on the ground that the proposed transfer of 566.5 acres to FmHA would not provide "for the realization by [FmHA] of the indubitable equivalent" of its secured claim, as required by § 1129(b)(2)(A)(iii).[5]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11D5BB75"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26"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evidence at trial demonstrated that the value of the real property was far from certain. The Arnold and Baker appraisal admitted that due to unfavorable market conditions, including the 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assume the risk of receiving less on the sale without being able to look to the remaining undistributed collateral for security. </w:t>
      </w:r>
    </w:p>
    <w:p w14:paraId="2DBC319C" w14:textId="4F85235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27"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(5th 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5C1727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However, this argument misapprehends the indubitable equivalence analysis. Section 1129(b)(2)(A)(iii)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In this case, in contrast, the amount of collateral deemed to be the indubitable equivalent of FmHA's secured claim depends entirely on the court's valuation of the collateral. If the court had found that the land was worth more than $7,300 per acre, FmHA would receive correspondingly less land, and if the court had found that the land was worth less, FmHA would receive correspondingly more. Our holding that this plan does not satisfy the indubitable 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1CD65D50" w:rsidR="00195984"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66C67783" w14:textId="77777777" w:rsidR="00142C55" w:rsidRPr="007A5BBC" w:rsidRDefault="00142C55" w:rsidP="00BA4893">
      <w:pPr>
        <w:ind w:firstLine="720"/>
        <w:jc w:val="both"/>
        <w:rPr>
          <w:rFonts w:ascii="Times New Roman" w:hAnsi="Times New Roman"/>
          <w:szCs w:val="24"/>
        </w:rPr>
      </w:pPr>
    </w:p>
    <w:p w14:paraId="30F1C881" w14:textId="66E3D84B" w:rsidR="00337D2B" w:rsidRPr="00142C55" w:rsidRDefault="007C1024" w:rsidP="00D95675">
      <w:pPr>
        <w:pStyle w:val="Heading4"/>
        <w:rPr>
          <w:u w:val="single"/>
        </w:rPr>
      </w:pPr>
      <w:hyperlink r:id="rId328" w:history="1">
        <w:bookmarkStart w:id="6385" w:name="_Toc87039426"/>
        <w:bookmarkStart w:id="6386" w:name="_Toc90983822"/>
        <w:r w:rsidR="00337D2B" w:rsidRPr="00142C55">
          <w:rPr>
            <w:rStyle w:val="Hyperlink"/>
          </w:rPr>
          <w:t>B</w:t>
        </w:r>
        <w:r w:rsidR="000555EC" w:rsidRPr="00142C55">
          <w:rPr>
            <w:rStyle w:val="Hyperlink"/>
          </w:rPr>
          <w:t>ANK OF AMERICA v. 203 N</w:t>
        </w:r>
        <w:r w:rsidR="00C9256F" w:rsidRPr="00142C55">
          <w:rPr>
            <w:rStyle w:val="Hyperlink"/>
          </w:rPr>
          <w:t>.</w:t>
        </w:r>
        <w:r w:rsidR="000555EC" w:rsidRPr="00142C55">
          <w:rPr>
            <w:rStyle w:val="Hyperlink"/>
          </w:rPr>
          <w:t xml:space="preserve"> LaSALLE STREET P</w:t>
        </w:r>
        <w:r w:rsidR="00C9256F" w:rsidRPr="00142C55">
          <w:rPr>
            <w:rStyle w:val="Hyperlink"/>
          </w:rPr>
          <w:t>’</w:t>
        </w:r>
        <w:r w:rsidR="000555EC" w:rsidRPr="00142C55">
          <w:rPr>
            <w:rStyle w:val="Hyperlink"/>
          </w:rPr>
          <w:t xml:space="preserve">SHIP, </w:t>
        </w:r>
        <w:r w:rsidR="00337D2B" w:rsidRPr="00142C55">
          <w:rPr>
            <w:rStyle w:val="Hyperlink"/>
          </w:rPr>
          <w:t>526 U.S. 434 (1999)</w:t>
        </w:r>
        <w:bookmarkEnd w:id="6385"/>
        <w:bookmarkEnd w:id="6386"/>
      </w:hyperlink>
      <w:bookmarkStart w:id="6387" w:name="_Toc79693200"/>
      <w:bookmarkStart w:id="6388" w:name="_Toc79693520"/>
      <w:bookmarkStart w:id="6389" w:name="_Toc79693840"/>
      <w:bookmarkStart w:id="6390" w:name="_Toc79694157"/>
      <w:bookmarkStart w:id="6391" w:name="_Toc79694475"/>
      <w:bookmarkStart w:id="6392" w:name="_Toc79695109"/>
      <w:bookmarkStart w:id="6393" w:name="_Toc79695425"/>
      <w:bookmarkStart w:id="6394" w:name="_Toc79695741"/>
      <w:bookmarkStart w:id="6395" w:name="_Toc79696057"/>
      <w:bookmarkStart w:id="6396" w:name="_Toc79696373"/>
      <w:bookmarkStart w:id="6397" w:name="_Toc79696689"/>
      <w:bookmarkStart w:id="6398" w:name="_Toc79697010"/>
      <w:bookmarkStart w:id="6399" w:name="_Toc79697342"/>
      <w:bookmarkStart w:id="6400" w:name="_Toc79697671"/>
      <w:bookmarkStart w:id="6401" w:name="_Toc79699342"/>
      <w:bookmarkStart w:id="6402" w:name="_Toc79699668"/>
      <w:bookmarkStart w:id="6403" w:name="_Toc79700006"/>
      <w:bookmarkStart w:id="6404" w:name="_Toc79700326"/>
      <w:bookmarkStart w:id="6405" w:name="_Toc79700648"/>
      <w:bookmarkStart w:id="6406" w:name="_Toc79700970"/>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r w:rsidR="00142C55" w:rsidRPr="00142C55">
        <w:rPr>
          <w:rStyle w:val="Hyperlink"/>
        </w:rPr>
        <w:br/>
      </w:r>
    </w:p>
    <w:p w14:paraId="46A5C4F2" w14:textId="5CB8B55F" w:rsidR="00337D2B" w:rsidRPr="007A5BBC" w:rsidRDefault="00C12065" w:rsidP="00337D2B">
      <w:pPr>
        <w:ind w:firstLine="720"/>
        <w:rPr>
          <w:rFonts w:ascii="Times New Roman" w:hAnsi="Times New Roman"/>
          <w:szCs w:val="24"/>
        </w:rPr>
      </w:pPr>
      <w:r w:rsidRPr="002D53DB">
        <w:rPr>
          <w:rFonts w:ascii="Times New Roman" w:hAnsi="Times New Roman"/>
          <w:szCs w:val="24"/>
        </w:rPr>
        <w:t>JUSTICE SOUTER</w:t>
      </w:r>
      <w:r w:rsidR="00337D2B" w:rsidRPr="007A5BBC">
        <w:rPr>
          <w:rFonts w:ascii="Times New Roman" w:hAnsi="Times New Roman"/>
          <w:szCs w:val="24"/>
        </w:rPr>
        <w:t xml:space="preserve">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08AB29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In March, the Debtor responded with a voluntary petition for relief under Chapter 11 of the Bankruptcy Code, which automatically stayed the foreclosure proceedings. The Debtor's principal 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 1121(d). </w:t>
      </w:r>
    </w:p>
    <w:p w14:paraId="1FDCCD10" w14:textId="58CA94B9"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value of the mortgaged property was less than the balance due the Bank, which elected to divide its undersecured claim into secured and unsecured deficiency claims under § 506(a) and § 1111(b)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last condition was an exclusive eligibility provision: the old equity holders were the only ones who could contribute new capital. </w:t>
      </w:r>
    </w:p>
    <w:p w14:paraId="246CBE9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 1129(b). </w:t>
      </w:r>
    </w:p>
    <w:p w14:paraId="7AD82A60" w14:textId="3320BFD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As to a dissenting class of impaired unsecured creditors, such a plan may be found to be "fair and equitable" only if the allowed value of the claim is to be paid in full, § 1129(b)(2)(B)(i), or, in the alternative, if "the holder of any claim or interest that is junior to the claims of such [impaired unsecured] class will not receive or retain under the plan on account of such junior claim or interest any property," § 1129(b)(2)(B)(ii).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absolute priority rule was the basis for the Bank's position that the plan could not be confirmed as a cramdown. As the Bank read the rule, the plan was open to objection simply because certain old equity holders in the Debtor Partnership would receive property even though the Bank's unsecured deficiency claim would not be paid in full. The Bankruptcy Court approved the plan nonetheless, and the District Court affirmed, as did the Court of Appeals.</w:t>
      </w:r>
    </w:p>
    <w:p w14:paraId="62C680BC" w14:textId="1E556A1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29"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4DD435D2"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30"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It is, of course, clear that there are circumstances under which stockholders may participate in a plan of reorganization of an insolvent debtor. . . . Where th[e] necessity [for new capital] exists and the old stockholders make a fresh contribution and receive in return a participation reasonably equivalent to their contribution, no objection can be made. . . . [W]e believe that to accord `the creditor his full right of priority against the corporate assets' where the debtor is insolvent, the stockholder's participation must be based on a contribution in money or in money's worth, reasonably equivalent in view of all the circumstances to the participation of the stockholder.</w:t>
      </w:r>
    </w:p>
    <w:p w14:paraId="77E6164D" w14:textId="612192F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31"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For the purpose of plumbing the meaning of subsection (b)(2)(B)(ii) in search of a possible statutory new value exception, the lesson of this drafting history is equivocal. Although hornbook 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upshot is that this history does nothing to disparage the possibility apparent in the statutory text, that the absolute priority rule now on the books as subsection (b)(2)(B)(ii) may carry a new value corollary. Although there is no literal reference to "new value" in the phrase "on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causation; when old equity, and not someone on the street, gets property the reason is res ipsa 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by its provision for 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 1121(b)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holder. This opportunity should, first of all, be treated as an item of property in its own right. While 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1B7E788C" w:rsidR="002F0728" w:rsidRDefault="00337D2B" w:rsidP="00BA4893">
      <w:pPr>
        <w:ind w:firstLine="720"/>
        <w:jc w:val="both"/>
        <w:rPr>
          <w:rFonts w:ascii="Times New Roman" w:hAnsi="Times New Roman"/>
          <w:szCs w:val="24"/>
        </w:rPr>
      </w:pPr>
      <w:r w:rsidRPr="007A5BBC">
        <w:rPr>
          <w:rFonts w:ascii="Times New Roman" w:hAnsi="Times New Roman"/>
          <w:szCs w:val="24"/>
        </w:rPr>
        <w:t>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 1129(b)(2)(B)(ii).</w:t>
      </w:r>
    </w:p>
    <w:p w14:paraId="5DE35B17" w14:textId="77777777" w:rsidR="00142C55" w:rsidRPr="007A5BBC" w:rsidRDefault="00142C55" w:rsidP="00BA4893">
      <w:pPr>
        <w:ind w:firstLine="720"/>
        <w:jc w:val="both"/>
        <w:rPr>
          <w:rFonts w:ascii="Times New Roman" w:hAnsi="Times New Roman"/>
          <w:szCs w:val="24"/>
        </w:rPr>
      </w:pPr>
    </w:p>
    <w:p w14:paraId="2FE043AE" w14:textId="40FD411E" w:rsidR="006F3818" w:rsidRPr="007A5BBC" w:rsidRDefault="007C2D4F" w:rsidP="00D95675">
      <w:pPr>
        <w:pStyle w:val="Heading3"/>
      </w:pPr>
      <w:bookmarkStart w:id="6407" w:name="_Toc417380932"/>
      <w:bookmarkStart w:id="6408" w:name="_Toc87039427"/>
      <w:bookmarkStart w:id="6409" w:name="_Toc90983823"/>
      <w:r w:rsidRPr="007A5BBC">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 xml:space="preserve">(11 </w:t>
      </w:r>
      <w:r w:rsidR="0095283F" w:rsidRPr="007A5BBC">
        <w:t>U.S.C. § 1129</w:t>
      </w:r>
      <w:bookmarkEnd w:id="6407"/>
      <w:r w:rsidR="00F83BB4">
        <w:t>)</w:t>
      </w:r>
      <w:bookmarkStart w:id="6410" w:name="_Toc79693201"/>
      <w:bookmarkStart w:id="6411" w:name="_Toc79693521"/>
      <w:bookmarkStart w:id="6412" w:name="_Toc79693841"/>
      <w:bookmarkStart w:id="6413" w:name="_Toc79694158"/>
      <w:bookmarkStart w:id="6414" w:name="_Toc79694476"/>
      <w:bookmarkStart w:id="6415" w:name="_Toc79694794"/>
      <w:bookmarkStart w:id="6416" w:name="_Toc79695110"/>
      <w:bookmarkStart w:id="6417" w:name="_Toc79695426"/>
      <w:bookmarkStart w:id="6418" w:name="_Toc79695742"/>
      <w:bookmarkStart w:id="6419" w:name="_Toc79696058"/>
      <w:bookmarkStart w:id="6420" w:name="_Toc79696374"/>
      <w:bookmarkStart w:id="6421" w:name="_Toc79696690"/>
      <w:bookmarkStart w:id="6422" w:name="_Toc79697011"/>
      <w:bookmarkStart w:id="6423" w:name="_Toc79697343"/>
      <w:bookmarkStart w:id="6424" w:name="_Toc79697672"/>
      <w:bookmarkStart w:id="6425" w:name="_Toc79699343"/>
      <w:bookmarkStart w:id="6426" w:name="_Toc79699669"/>
      <w:bookmarkStart w:id="6427" w:name="_Toc79700007"/>
      <w:bookmarkStart w:id="6428" w:name="_Toc79700327"/>
      <w:bookmarkStart w:id="6429" w:name="_Toc79700649"/>
      <w:bookmarkStart w:id="6430" w:name="_Toc79700971"/>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r w:rsidR="00142C55">
        <w:br/>
      </w:r>
    </w:p>
    <w:p w14:paraId="006C0222" w14:textId="77CD56B5" w:rsidR="00F11101" w:rsidRDefault="000555EC" w:rsidP="00CB019F">
      <w:pPr>
        <w:pStyle w:val="0-NORMAL"/>
      </w:pPr>
      <w:r w:rsidRPr="00F11101">
        <w:rPr>
          <w:b/>
        </w:rPr>
        <w:t>Problem 1</w:t>
      </w:r>
      <w:r w:rsidR="00083725">
        <w:t xml:space="preserve">. </w:t>
      </w:r>
      <w:r w:rsidR="00CA06D5" w:rsidRPr="007A5BBC">
        <w:t>Is there a new value exception/corollary to the absolute priority rule? If so, how must the plan be structured to qualify under the exception/corollary</w:t>
      </w:r>
      <w:r w:rsidR="00083725" w:rsidRPr="007A5BBC">
        <w:t xml:space="preserve">? </w:t>
      </w:r>
    </w:p>
    <w:p w14:paraId="03275767" w14:textId="4E2BE5FA" w:rsidR="00F11101" w:rsidRDefault="00F11101" w:rsidP="00CB019F">
      <w:pPr>
        <w:pStyle w:val="0-NORMAL"/>
      </w:pPr>
      <w:r w:rsidRPr="00F11101">
        <w:rPr>
          <w:b/>
        </w:rPr>
        <w:t>Problem 2</w:t>
      </w:r>
      <w:r w:rsidR="005F6A8B">
        <w:t xml:space="preserve">. </w:t>
      </w:r>
      <w:r w:rsidR="00CA06D5" w:rsidRPr="007A5BBC">
        <w:t xml:space="preserve">Debtor wishes to propose a Chapter 11 plan that pays unsecured creditors in full over 5 years with post-confirmation interest at the </w:t>
      </w:r>
      <w:r w:rsidR="00CA06D5" w:rsidRPr="007A5BBC">
        <w:rPr>
          <w:i/>
        </w:rPr>
        <w:t>Till</w:t>
      </w:r>
      <w:r w:rsidR="00CA06D5" w:rsidRPr="007A5BBC">
        <w:t xml:space="preserve"> rate</w:t>
      </w:r>
      <w:r w:rsidR="005F6A8B">
        <w:t xml:space="preserve">. </w:t>
      </w:r>
      <w:r w:rsidR="00CA06D5" w:rsidRPr="007A5BBC">
        <w:t>Debtor expects unsecured creditors to vote against the plan</w:t>
      </w:r>
      <w:r w:rsidR="005F6A8B">
        <w:t xml:space="preserve">. </w:t>
      </w:r>
      <w:r w:rsidR="00CA06D5" w:rsidRPr="007A5BBC">
        <w:t xml:space="preserve">Assuming that unsecured creditors would be paid in full </w:t>
      </w:r>
      <w:r w:rsidR="00A651FA">
        <w:t xml:space="preserve">right away </w:t>
      </w:r>
      <w:r w:rsidR="00CA06D5" w:rsidRPr="007A5BBC">
        <w:t>in a Chapter 7 liquidation, can the plan be confirmed over the</w:t>
      </w:r>
      <w:r w:rsidR="00A651FA">
        <w:t xml:space="preserve"> unsecured creditors’ </w:t>
      </w:r>
      <w:r w:rsidR="00CA06D5" w:rsidRPr="007A5BBC">
        <w:t>objection</w:t>
      </w:r>
      <w:r w:rsidR="00A651FA">
        <w:t>s</w:t>
      </w:r>
      <w:r w:rsidR="00CA06D5" w:rsidRPr="007A5BBC">
        <w:t xml:space="preserve"> if the equity holders are keeping their stock?</w:t>
      </w:r>
    </w:p>
    <w:p w14:paraId="4BBCB22C" w14:textId="3D0A54B9" w:rsidR="00F11101" w:rsidRDefault="00F11101" w:rsidP="00CB019F">
      <w:pPr>
        <w:pStyle w:val="0-NORMAL"/>
      </w:pPr>
      <w:r w:rsidRPr="00F11101">
        <w:rPr>
          <w:b/>
        </w:rPr>
        <w:t>Problem 3</w:t>
      </w:r>
      <w:r w:rsidR="005F6A8B">
        <w:t xml:space="preserve">. </w:t>
      </w:r>
      <w:r w:rsidR="003D5C55" w:rsidRPr="007A5BBC">
        <w:t>Debtor owes BigBank a total of $12 million</w:t>
      </w:r>
      <w:r w:rsidR="005F6A8B">
        <w:t xml:space="preserve">. </w:t>
      </w:r>
      <w:r w:rsidR="003D5C55" w:rsidRPr="007A5BBC">
        <w:t>The loan is secured by a first priority mortgage on the Debtor’s 10-story office building</w:t>
      </w:r>
      <w:r w:rsidR="00083725">
        <w:t xml:space="preserve">. </w:t>
      </w:r>
      <w:r w:rsidR="003D5C55" w:rsidRPr="007A5BBC">
        <w:t>The Court has determined that the current fair market value of the office building is $9 million</w:t>
      </w:r>
      <w:r w:rsidR="005F6A8B">
        <w:t xml:space="preserve">. </w:t>
      </w:r>
      <w:r w:rsidR="003D5C55" w:rsidRPr="007A5BBC">
        <w:t>The prime rate is currently 7%, and the Court will require the payment of 3% over prime under Till</w:t>
      </w:r>
      <w:r w:rsidR="005F6A8B">
        <w:t xml:space="preserve">. </w:t>
      </w:r>
      <w:r w:rsidR="003D5C55" w:rsidRPr="007A5BBC">
        <w:t>The Court will also not permit a plan term to exceed 20 years</w:t>
      </w:r>
      <w:r w:rsidR="005F6A8B">
        <w:t xml:space="preserve">. </w:t>
      </w:r>
      <w:r w:rsidR="003D5C55" w:rsidRPr="007A5BBC">
        <w:t>C</w:t>
      </w:r>
      <w:r w:rsidR="00F4330C" w:rsidRPr="007A5BBC">
        <w:t>a</w:t>
      </w:r>
      <w:r w:rsidR="003D5C55" w:rsidRPr="007A5BBC">
        <w:t xml:space="preserve">lculate a monthly payment to be made over a 20 year term that will allow the Debtor to confirm the plan over BigBank’s objection if </w:t>
      </w:r>
      <w:r w:rsidR="00F4330C" w:rsidRPr="007A5BBC">
        <w:t xml:space="preserve">BigBank </w:t>
      </w:r>
      <w:r w:rsidR="003D5C55" w:rsidRPr="007A5BBC">
        <w:t>makes the 1111(b)(2) election, and will also minimize the debtor’s interest expense</w:t>
      </w:r>
      <w:r w:rsidR="005F6A8B">
        <w:t xml:space="preserve">. </w:t>
      </w:r>
      <w:r w:rsidR="003D5C55" w:rsidRPr="007A5BBC">
        <w:t>Note that the courts have interpreted the Bankruptcy Code to require equal monthly payments over the term</w:t>
      </w:r>
      <w:r w:rsidR="005F6A8B">
        <w:t xml:space="preserve">. </w:t>
      </w:r>
    </w:p>
    <w:p w14:paraId="100F05EA" w14:textId="38509270" w:rsidR="00F11101" w:rsidRDefault="00F11101" w:rsidP="00CB019F">
      <w:pPr>
        <w:pStyle w:val="0-NORMAL"/>
      </w:pPr>
      <w:r w:rsidRPr="00F11101">
        <w:rPr>
          <w:b/>
        </w:rPr>
        <w:t>Problem 4</w:t>
      </w:r>
      <w:r w:rsidR="005F6A8B">
        <w:t xml:space="preserve">. </w:t>
      </w:r>
      <w:r w:rsidR="003D5C55" w:rsidRPr="007A5BBC">
        <w:t>Could the Debtor in Problem (</w:t>
      </w:r>
      <w:r>
        <w:t>3</w:t>
      </w:r>
      <w:r w:rsidR="003D5C55" w:rsidRPr="007A5BBC">
        <w:t>) confirm the plan while making a lower monthly payment for the same term to BigBank if BigBank did not make the 1111(b)(2) election</w:t>
      </w:r>
      <w:r w:rsidR="00083725" w:rsidRPr="007A5BBC">
        <w:t xml:space="preserve">? </w:t>
      </w:r>
    </w:p>
    <w:p w14:paraId="56777AA5" w14:textId="4D059398" w:rsidR="003D5C55" w:rsidRDefault="00F11101" w:rsidP="00CB019F">
      <w:pPr>
        <w:pStyle w:val="0-NORMAL"/>
      </w:pPr>
      <w:r w:rsidRPr="00F11101">
        <w:rPr>
          <w:b/>
        </w:rPr>
        <w:t>Problem 5</w:t>
      </w:r>
      <w:r w:rsidR="005F6A8B">
        <w:t xml:space="preserve">. </w:t>
      </w:r>
      <w:r w:rsidR="003D5C55" w:rsidRPr="007A5BBC">
        <w:t>Given your analysis in Problems (</w:t>
      </w:r>
      <w:r>
        <w:t>3</w:t>
      </w:r>
      <w:r w:rsidR="003D5C55" w:rsidRPr="007A5BBC">
        <w:t>) and (</w:t>
      </w:r>
      <w:r>
        <w:t>4</w:t>
      </w:r>
      <w:r w:rsidR="003D5C55" w:rsidRPr="007A5BBC">
        <w:t xml:space="preserve">), when would it be advisable for an undersecured creditor </w:t>
      </w:r>
      <w:r w:rsidR="002D53DB">
        <w:t xml:space="preserve">to </w:t>
      </w:r>
      <w:r w:rsidR="003D5C55" w:rsidRPr="007A5BBC">
        <w:t>make the 1111(b)(2) election?</w:t>
      </w:r>
    </w:p>
    <w:p w14:paraId="69FC1DDC" w14:textId="77777777" w:rsidR="00142C55" w:rsidRPr="007A5BBC" w:rsidRDefault="00142C55" w:rsidP="00CB019F">
      <w:pPr>
        <w:pStyle w:val="0-NORMAL"/>
      </w:pPr>
    </w:p>
    <w:p w14:paraId="249CDC9D" w14:textId="70656F87" w:rsidR="00F4330C" w:rsidRPr="007A5BBC" w:rsidRDefault="00F4330C" w:rsidP="00142C55">
      <w:pPr>
        <w:pStyle w:val="Heading2"/>
        <w:spacing w:line="240" w:lineRule="auto"/>
      </w:pPr>
      <w:bookmarkStart w:id="6431" w:name="_Toc417380933"/>
      <w:bookmarkStart w:id="6432" w:name="_Toc79699344"/>
      <w:bookmarkStart w:id="6433" w:name="_Toc79699670"/>
      <w:bookmarkStart w:id="6434" w:name="_Toc79700008"/>
      <w:bookmarkStart w:id="6435" w:name="_Toc79700328"/>
      <w:bookmarkStart w:id="6436" w:name="_Toc79700650"/>
      <w:bookmarkStart w:id="6437" w:name="_Toc87039428"/>
      <w:bookmarkStart w:id="6438" w:name="_Toc90983824"/>
      <w:r w:rsidRPr="007A5BBC">
        <w:t xml:space="preserve">The Chapter 11 </w:t>
      </w:r>
      <w:r w:rsidRPr="00AB338E">
        <w:t>D</w:t>
      </w:r>
      <w:r w:rsidR="009D5055" w:rsidRPr="00AB338E">
        <w:t>ischarge</w:t>
      </w:r>
      <w:r w:rsidR="00142C55">
        <w:t xml:space="preserve"> – </w:t>
      </w:r>
      <w:r w:rsidRPr="007A5BBC">
        <w:t>11 U.S.C. § 1141</w:t>
      </w:r>
      <w:bookmarkStart w:id="6439" w:name="_Toc79693202"/>
      <w:bookmarkStart w:id="6440" w:name="_Toc79693522"/>
      <w:bookmarkStart w:id="6441" w:name="_Toc79693842"/>
      <w:bookmarkStart w:id="6442" w:name="_Toc79694159"/>
      <w:bookmarkStart w:id="6443" w:name="_Toc79694795"/>
      <w:bookmarkStart w:id="6444" w:name="_Toc79695427"/>
      <w:bookmarkStart w:id="6445" w:name="_Toc79697673"/>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r w:rsidR="00142C55">
        <w:br/>
      </w:r>
    </w:p>
    <w:p w14:paraId="03421A6F" w14:textId="705078F6" w:rsidR="0095283F" w:rsidRDefault="00AE101A" w:rsidP="0095283F">
      <w:pPr>
        <w:ind w:firstLine="720"/>
        <w:jc w:val="both"/>
        <w:rPr>
          <w:rFonts w:ascii="Times New Roman" w:hAnsi="Times New Roman"/>
          <w:szCs w:val="24"/>
        </w:rPr>
      </w:pPr>
      <w:r w:rsidRPr="007A5BBC">
        <w:rPr>
          <w:rFonts w:ascii="Times New Roman" w:hAnsi="Times New Roman"/>
          <w:szCs w:val="24"/>
        </w:rPr>
        <w:t>Section 1141 contains two discharges – one for entities and one for individuals</w:t>
      </w:r>
      <w:r w:rsidR="005F6A8B">
        <w:rPr>
          <w:rFonts w:ascii="Times New Roman" w:hAnsi="Times New Roman"/>
          <w:szCs w:val="24"/>
        </w:rPr>
        <w:t xml:space="preserve">. </w:t>
      </w:r>
      <w:r w:rsidRPr="007A5BBC">
        <w:rPr>
          <w:rFonts w:ascii="Times New Roman" w:hAnsi="Times New Roman"/>
          <w:szCs w:val="24"/>
        </w:rPr>
        <w:t>Entities are discharged from all debts provided for in the plan upon confirmation</w:t>
      </w:r>
      <w:r w:rsidR="005F6A8B">
        <w:rPr>
          <w:rFonts w:ascii="Times New Roman" w:hAnsi="Times New Roman"/>
          <w:szCs w:val="24"/>
        </w:rPr>
        <w:t xml:space="preserve">. </w:t>
      </w:r>
      <w:r w:rsidRPr="007A5BBC">
        <w:rPr>
          <w:rFonts w:ascii="Times New Roman" w:hAnsi="Times New Roman"/>
          <w:szCs w:val="24"/>
        </w:rPr>
        <w:t>11 U.S.C. § 1141(d)(1)</w:t>
      </w:r>
      <w:r w:rsidR="005F6A8B">
        <w:rPr>
          <w:rFonts w:ascii="Times New Roman" w:hAnsi="Times New Roman"/>
          <w:szCs w:val="24"/>
        </w:rPr>
        <w:t xml:space="preserve">. </w:t>
      </w:r>
      <w:r w:rsidRPr="007A5BBC">
        <w:rPr>
          <w:rFonts w:ascii="Times New Roman" w:hAnsi="Times New Roman"/>
          <w:szCs w:val="24"/>
        </w:rPr>
        <w:t>Individuals do not receive a discharge until the plan is completed (11 U.S.C. § 1141(d)(5)(A)), and are not discharged from those debts excepted from discharge under Section 523 (11 U.S.C. § 1141(d)(2))</w:t>
      </w:r>
      <w:r w:rsidR="005F6A8B">
        <w:rPr>
          <w:rFonts w:ascii="Times New Roman" w:hAnsi="Times New Roman"/>
          <w:szCs w:val="24"/>
        </w:rPr>
        <w:t xml:space="preserve">. </w:t>
      </w:r>
      <w:r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r w:rsidRPr="007A5BBC">
        <w:rPr>
          <w:rFonts w:ascii="Times New Roman" w:hAnsi="Times New Roman"/>
          <w:szCs w:val="24"/>
        </w:rPr>
        <w:t>11 U.S.C. § 1141(d)(5)(B).</w:t>
      </w:r>
    </w:p>
    <w:p w14:paraId="5A3D654F" w14:textId="77777777" w:rsidR="00142C55" w:rsidRDefault="00142C55" w:rsidP="0095283F">
      <w:pPr>
        <w:ind w:firstLine="720"/>
        <w:jc w:val="both"/>
        <w:rPr>
          <w:rFonts w:ascii="Times New Roman" w:hAnsi="Times New Roman"/>
          <w:szCs w:val="24"/>
        </w:rPr>
      </w:pPr>
    </w:p>
    <w:p w14:paraId="34BDC58D" w14:textId="1AD2EFDD" w:rsidR="00BB7A83" w:rsidRDefault="00BB7A83" w:rsidP="00142C55">
      <w:pPr>
        <w:pStyle w:val="Heading2"/>
        <w:spacing w:line="240" w:lineRule="auto"/>
      </w:pPr>
      <w:bookmarkStart w:id="6446" w:name="_Toc87039429"/>
      <w:bookmarkStart w:id="6447" w:name="_Toc90983825"/>
      <w:r>
        <w:t>Non-Debtor Discharges</w:t>
      </w:r>
      <w:r w:rsidR="006B67B0">
        <w:t>, Releases and Injunctions</w:t>
      </w:r>
      <w:bookmarkEnd w:id="6446"/>
      <w:bookmarkEnd w:id="6447"/>
      <w:r w:rsidR="00142C55">
        <w:br/>
      </w:r>
    </w:p>
    <w:p w14:paraId="59FAA45E" w14:textId="552E65ED" w:rsidR="006B67B0" w:rsidRDefault="00BB7A83" w:rsidP="00BB7A83">
      <w:pPr>
        <w:pStyle w:val="0-NORMAL"/>
      </w:pPr>
      <w:r>
        <w:t>Section 1141 provides only for the discharge of the debtor’s liabilities, and does not provide for the discharge of non-debtor third part</w:t>
      </w:r>
      <w:r w:rsidR="006B67B0">
        <w:t>y liabilities</w:t>
      </w:r>
      <w:r>
        <w:t xml:space="preserve">. </w:t>
      </w:r>
      <w:r w:rsidR="006B67B0">
        <w:t xml:space="preserve">Moreover, 524(e) of the </w:t>
      </w:r>
      <w:r w:rsidR="002D53DB">
        <w:t>B</w:t>
      </w:r>
      <w:r w:rsidR="006B67B0">
        <w:t xml:space="preserve">ankruptcy </w:t>
      </w:r>
      <w:r w:rsidR="002D53DB">
        <w:t>C</w:t>
      </w:r>
      <w:r w:rsidR="006B67B0">
        <w:t>ode provides that the discharge “</w:t>
      </w:r>
      <w:r w:rsidR="006B67B0" w:rsidRPr="006B67B0">
        <w:t>does not affect the liability of any other entity on, or the property of any other entity for, such debt”</w:t>
      </w:r>
      <w:r w:rsidR="006B67B0">
        <w:t xml:space="preserve">  </w:t>
      </w:r>
      <w:r w:rsidR="006B67B0" w:rsidRPr="006B67B0">
        <w:rPr>
          <w:i/>
          <w:iCs/>
        </w:rPr>
        <w:t>Id</w:t>
      </w:r>
      <w:r w:rsidR="006B67B0">
        <w:t xml:space="preserve">.  </w:t>
      </w:r>
    </w:p>
    <w:p w14:paraId="004FF9D8" w14:textId="7555FABB" w:rsidR="006B67B0" w:rsidRDefault="006B67B0" w:rsidP="00BB7A83">
      <w:pPr>
        <w:pStyle w:val="0-NORMAL"/>
      </w:pPr>
      <w:r>
        <w:t>The debtor can, of course, release its claims against third parties in a plan of reorganization. The more interesting and controversial question is whether the plan can provide for the release of claims by third parties against third parties. There is no reason that a plan could not provide for the discharge of a third party debt as a matter of contract law if the third party debtor agreed to the terms in return for receiving the benefits of the plan. But may a plan of reorganization release a third party from claims without the third party creditor’s consent? Can a majority of creditors bind non-consenting creditors to a third party release?</w:t>
      </w:r>
    </w:p>
    <w:p w14:paraId="3D706FAC" w14:textId="792C092C" w:rsidR="006B67B0" w:rsidRDefault="006B67B0" w:rsidP="00BB7A83">
      <w:pPr>
        <w:pStyle w:val="0-NORMAL"/>
      </w:pPr>
      <w:r>
        <w:t>T</w:t>
      </w:r>
      <w:r w:rsidRPr="006B67B0">
        <w:t xml:space="preserve">he courts of appeals </w:t>
      </w:r>
      <w:r>
        <w:t xml:space="preserve">have been divided on whether a confirmed plan can provide for the release of third party claims without the consent of all third party creditors. </w:t>
      </w:r>
      <w:r w:rsidRPr="006B67B0">
        <w:t xml:space="preserve">The majority of the circuits (the Second, Fourth, Sixth, Seventh and Eleventh Circuits) permit such releases and injunctions, generally resting on the scope of the “all writs” provision in Section 105(a) of the Bankruptcy Code, and two </w:t>
      </w:r>
      <w:r>
        <w:t xml:space="preserve">other </w:t>
      </w:r>
      <w:r w:rsidRPr="006B67B0">
        <w:t xml:space="preserve">circuits (the First and D.C. Circuits) have signaled that they accept the majority view. </w:t>
      </w:r>
      <w:r w:rsidRPr="006B67B0">
        <w:rPr>
          <w:i/>
          <w:iCs/>
        </w:rPr>
        <w:t>See In re Drexel Burnham Lambert Grp. Inc</w:t>
      </w:r>
      <w:r w:rsidRPr="006B67B0">
        <w:t xml:space="preserve">., 960 F.2d 285 (2d Cir. 1992); </w:t>
      </w:r>
      <w:r w:rsidRPr="006B67B0">
        <w:rPr>
          <w:i/>
          <w:iCs/>
        </w:rPr>
        <w:t>In re Dow Corning Corp.</w:t>
      </w:r>
      <w:r w:rsidRPr="006B67B0">
        <w:t>, 280 F.3d 648 (6th Cir. 2002). To support relief, the third party release or injunction must be “essential</w:t>
      </w:r>
      <w:r w:rsidR="00E219C6">
        <w:t>”</w:t>
      </w:r>
      <w:r w:rsidRPr="006B67B0">
        <w:t xml:space="preserve"> to the reorganization, the parties to be released </w:t>
      </w:r>
      <w:r w:rsidR="00024A38">
        <w:t xml:space="preserve">must </w:t>
      </w:r>
      <w:r w:rsidRPr="006B67B0">
        <w:t xml:space="preserve">make substantial financial contributions to the reorganization, and </w:t>
      </w:r>
      <w:r w:rsidR="00024A38">
        <w:t xml:space="preserve">the majority of </w:t>
      </w:r>
      <w:r w:rsidRPr="006B67B0">
        <w:t>creditors must support the plan</w:t>
      </w:r>
      <w:r w:rsidR="00083725" w:rsidRPr="006B67B0">
        <w:t xml:space="preserve">. </w:t>
      </w:r>
      <w:r w:rsidRPr="006B67B0">
        <w:t xml:space="preserve">A minority of the circuits (the Fifth, Ninth and Tenth Circuits) prohibit such injunctions based generally on the prohibition in Section 524(e). </w:t>
      </w:r>
      <w:r w:rsidR="00024A38" w:rsidRPr="00024A38">
        <w:rPr>
          <w:i/>
          <w:iCs/>
        </w:rPr>
        <w:t xml:space="preserve">See </w:t>
      </w:r>
      <w:r w:rsidRPr="00024A38">
        <w:rPr>
          <w:i/>
          <w:iCs/>
        </w:rPr>
        <w:t>In re Pacific Lumber Co</w:t>
      </w:r>
      <w:r w:rsidRPr="006B67B0">
        <w:t xml:space="preserve">., 584 F.3d 329 (5th Cir. 2009); </w:t>
      </w:r>
      <w:r w:rsidRPr="00024A38">
        <w:rPr>
          <w:i/>
          <w:iCs/>
        </w:rPr>
        <w:t>In re Lowenschuss</w:t>
      </w:r>
      <w:r w:rsidRPr="006B67B0">
        <w:t>, 67 F.3d 1394 (9th Cir. 1995).</w:t>
      </w:r>
    </w:p>
    <w:p w14:paraId="43125CC6" w14:textId="1B03F3B3" w:rsidR="006B67B0" w:rsidRDefault="00D03763" w:rsidP="00BB7A83">
      <w:pPr>
        <w:pStyle w:val="0-NORMAL"/>
      </w:pPr>
      <w:r>
        <w:t>Recently, i</w:t>
      </w:r>
      <w:r w:rsidR="00024A38">
        <w:t xml:space="preserve">n </w:t>
      </w:r>
      <w:r w:rsidR="00024A38" w:rsidRPr="00024A38">
        <w:rPr>
          <w:i/>
          <w:iCs/>
        </w:rPr>
        <w:t>In re Millennium Lab Holdings II, LLC</w:t>
      </w:r>
      <w:r w:rsidR="00024A38" w:rsidRPr="00024A38">
        <w:t>, 945 F. 3d 126 (3d Cir. 2019), the Delaware bankruptcy court confirmed a plan that provided for the release by minority creditors of claims against other creditors who were contributing substantial funds to make the plan of reorganization feasible. The plan and reorganization of the debtor depended on the contributions by the settling creditors, who were only willing to fund the plan if they received release</w:t>
      </w:r>
      <w:r w:rsidR="00024A38">
        <w:t>s</w:t>
      </w:r>
      <w:r w:rsidR="00024A38" w:rsidRPr="00024A38">
        <w:t>. The Third Circuit held that</w:t>
      </w:r>
      <w:r w:rsidR="00024A38">
        <w:t xml:space="preserve">, under its prior precedents, </w:t>
      </w:r>
      <w:r w:rsidR="00024A38" w:rsidRPr="00024A38">
        <w:t>the bankruptcy court had the power to confirm a plan that release</w:t>
      </w:r>
      <w:r w:rsidR="00024A38">
        <w:t>d</w:t>
      </w:r>
      <w:r w:rsidR="00024A38" w:rsidRPr="00024A38">
        <w:t xml:space="preserve"> third party claims where the injunctions/releases were "both necessary to the reorganization and fair</w:t>
      </w:r>
      <w:r w:rsidR="00024A38">
        <w:t>,</w:t>
      </w:r>
      <w:r w:rsidR="00024A38" w:rsidRPr="00024A38">
        <w:t xml:space="preserve">" and </w:t>
      </w:r>
      <w:r w:rsidR="00024A38">
        <w:t xml:space="preserve">were </w:t>
      </w:r>
      <w:r w:rsidR="00024A38" w:rsidRPr="00024A38">
        <w:t>supported by “specific factual findings to support these conclusions.” The circuit rejected the non-consenting creditors’ argument that the bankruptcy court lacked the constitutional authority to release third party claims. The Third Circuit also held that the non-consenting creditors’ arguments were equitably moot by the substantial consummation and implementation of the plan</w:t>
      </w:r>
      <w:r w:rsidR="00024A38">
        <w:t xml:space="preserve">, </w:t>
      </w:r>
      <w:r w:rsidR="00024A38" w:rsidRPr="00024A38">
        <w:t xml:space="preserve">because they </w:t>
      </w:r>
      <w:r w:rsidR="00024A38">
        <w:t xml:space="preserve">had failed </w:t>
      </w:r>
      <w:r w:rsidR="00024A38" w:rsidRPr="00024A38">
        <w:t>to obtain a stay pending appeal, and the plan had been implemented.</w:t>
      </w:r>
    </w:p>
    <w:p w14:paraId="31FD7AF1" w14:textId="36B26F7E" w:rsidR="00D03763" w:rsidRDefault="003D46E8" w:rsidP="00D03763">
      <w:pPr>
        <w:pStyle w:val="0-NORMAL"/>
      </w:pPr>
      <w:r>
        <w:t xml:space="preserve">The issue </w:t>
      </w:r>
      <w:r w:rsidR="00D03763">
        <w:t xml:space="preserve">of non-debtor discharges in a plan of reorganization </w:t>
      </w:r>
      <w:r>
        <w:t>is currently being decided in an $8.3 billion settlement arising out of the Purdue Pharmaceuticals bankruptcy</w:t>
      </w:r>
      <w:r w:rsidR="00024A38">
        <w:t xml:space="preserve"> case pending in New York</w:t>
      </w:r>
      <w:r>
        <w:t xml:space="preserve">. Many </w:t>
      </w:r>
      <w:r w:rsidR="00024A38">
        <w:t xml:space="preserve">individuals, </w:t>
      </w:r>
      <w:r>
        <w:t>states and the federal government have claims against the Sackler family, the owners of Purdue Pharmaceuticals, arising out of the marketing and sales of highly-addictive opio</w:t>
      </w:r>
      <w:r w:rsidR="00CC7CAF">
        <w:t>i</w:t>
      </w:r>
      <w:r>
        <w:t>d drugs, including Oxycontin, that were routinely prescribed by doctors for pain management</w:t>
      </w:r>
      <w:r w:rsidR="00D03763">
        <w:t xml:space="preserve">. Creditors allege that Purdue’s marketing and sales representations were fraudulent, and were made </w:t>
      </w:r>
      <w:r w:rsidR="00024A38" w:rsidRPr="00024A38">
        <w:t>with the Sackler family’s knowledge and participation</w:t>
      </w:r>
      <w:r w:rsidR="00083725" w:rsidRPr="00024A38">
        <w:t xml:space="preserve">. </w:t>
      </w:r>
    </w:p>
    <w:p w14:paraId="107605E4" w14:textId="1A51289E" w:rsidR="00665B65" w:rsidRDefault="00024A38" w:rsidP="00D03763">
      <w:pPr>
        <w:pStyle w:val="0-NORMAL"/>
      </w:pPr>
      <w:r w:rsidRPr="00024A38">
        <w:t xml:space="preserve">The federal government reached a settlement with the Sackler family </w:t>
      </w:r>
      <w:r w:rsidR="00D03763">
        <w:t xml:space="preserve">which is incorporated into Purdue’s bankruptcy plan of reorganization, </w:t>
      </w:r>
      <w:r w:rsidRPr="00024A38">
        <w:t xml:space="preserve">under which </w:t>
      </w:r>
      <w:r>
        <w:t xml:space="preserve">the Sacklers </w:t>
      </w:r>
      <w:r w:rsidRPr="00024A38">
        <w:t>will pay $8.3 billion to a settlement trust</w:t>
      </w:r>
      <w:r w:rsidR="00D03763">
        <w:t xml:space="preserve"> </w:t>
      </w:r>
      <w:r w:rsidRPr="00024A38">
        <w:t xml:space="preserve">and transfer ownership of the company to a public benefit corporation to pay benefits </w:t>
      </w:r>
      <w:r w:rsidR="00D03763">
        <w:t xml:space="preserve">under the plan of reorganization </w:t>
      </w:r>
      <w:r w:rsidRPr="00024A38">
        <w:t xml:space="preserve">to </w:t>
      </w:r>
      <w:r w:rsidR="00D03763">
        <w:t xml:space="preserve">creditors </w:t>
      </w:r>
      <w:r w:rsidRPr="00024A38">
        <w:t>injured by the drugs</w:t>
      </w:r>
      <w:r w:rsidR="004751D0" w:rsidRPr="00024A38">
        <w:t xml:space="preserve">. </w:t>
      </w:r>
      <w:r>
        <w:t>In return, the Sacklers will receive releases of any claims by the states and individuals</w:t>
      </w:r>
      <w:r w:rsidR="00D03763">
        <w:t xml:space="preserve">, whether or not related to </w:t>
      </w:r>
      <w:r w:rsidR="00076F47">
        <w:t>opioid</w:t>
      </w:r>
      <w:r w:rsidR="00D03763">
        <w:t xml:space="preserve"> drugs.</w:t>
      </w:r>
      <w:r w:rsidR="00643BEF">
        <w:t xml:space="preserve"> </w:t>
      </w:r>
      <w:r w:rsidRPr="00024A38">
        <w:t xml:space="preserve">Nine states objected to the non-debtor releases contained in the plan of reorganization. The bankruptcy court confirmed the plan </w:t>
      </w:r>
      <w:r w:rsidR="00D03763">
        <w:t xml:space="preserve">over the states’ objections. </w:t>
      </w:r>
      <w:r w:rsidRPr="00024A38">
        <w:t xml:space="preserve">There is a likelihood of appeal to the district court, </w:t>
      </w:r>
      <w:r w:rsidR="00D03763">
        <w:t xml:space="preserve">then </w:t>
      </w:r>
      <w:r w:rsidRPr="00024A38">
        <w:t>to the Court of Appeals for the Second Circuit</w:t>
      </w:r>
      <w:r w:rsidR="00D03763">
        <w:t xml:space="preserve">, and ultimately, given the conflicting circuit court opinions, the issue may end up before the </w:t>
      </w:r>
      <w:r w:rsidRPr="00024A38">
        <w:t>Supreme Court.</w:t>
      </w:r>
    </w:p>
    <w:p w14:paraId="368FE461" w14:textId="77777777" w:rsidR="00142C55" w:rsidRDefault="00142C55" w:rsidP="00D03763">
      <w:pPr>
        <w:pStyle w:val="0-NORMAL"/>
      </w:pPr>
    </w:p>
    <w:p w14:paraId="52BD14E3" w14:textId="110D6A29" w:rsidR="00AB338E" w:rsidRDefault="00AB338E" w:rsidP="00142C55">
      <w:pPr>
        <w:pStyle w:val="Heading2"/>
        <w:spacing w:line="240" w:lineRule="auto"/>
      </w:pPr>
      <w:bookmarkStart w:id="6448" w:name="_Toc87039430"/>
      <w:bookmarkStart w:id="6449" w:name="_Toc90983826"/>
      <w:r>
        <w:t>Small Business Reorganizations</w:t>
      </w:r>
      <w:r w:rsidR="00CB723B">
        <w:t xml:space="preserve"> – </w:t>
      </w:r>
      <w:r w:rsidR="00B07C36">
        <w:t xml:space="preserve">11 U.S.C. </w:t>
      </w:r>
      <w:r w:rsidR="000015F2">
        <w:t>§ 1181 et seq.</w:t>
      </w:r>
      <w:bookmarkEnd w:id="6448"/>
      <w:bookmarkEnd w:id="6449"/>
      <w:r>
        <w:t xml:space="preserve"> </w:t>
      </w:r>
      <w:r w:rsidR="00142C55">
        <w:br/>
      </w:r>
    </w:p>
    <w:p w14:paraId="12E97B1F" w14:textId="392E425F" w:rsidR="00AB338E" w:rsidRDefault="00AB338E" w:rsidP="00AB338E">
      <w:pPr>
        <w:pStyle w:val="0-NORMAL"/>
      </w:pPr>
      <w:r>
        <w:t>In 2019, Congress created a new reorganization option for “Small Business Debtors” in Subchapter V of Chapter 11. Small Business Debtors are defined as persons (individuals or entit</w:t>
      </w:r>
      <w:r w:rsidR="00C12065">
        <w:t>i</w:t>
      </w:r>
      <w:r>
        <w:t xml:space="preserve">es) who have not more than $2 million in non-contingent liquidated debts to unaffiliated creditors, secured or unsecured, and whose debts were at least 50% incurred in connection with the debtor’s commercial or business activities. 11 U.S.C. § 101(51)(D). Passive single asset real estate investors are specifically excluded from eligibility. </w:t>
      </w:r>
      <w:r w:rsidRPr="0040053B">
        <w:rPr>
          <w:i/>
          <w:iCs/>
        </w:rPr>
        <w:t>Id</w:t>
      </w:r>
      <w:r>
        <w:t>. Many small “mom and pop” businesses will qualify for Subchapter V.</w:t>
      </w:r>
    </w:p>
    <w:p w14:paraId="4FE7A359" w14:textId="28E29C52" w:rsidR="00AB338E" w:rsidRDefault="00AB338E" w:rsidP="00AB338E">
      <w:pPr>
        <w:pStyle w:val="0-NORMAL"/>
      </w:pPr>
      <w:r>
        <w:t>Congress’s stated goal was to create a streamlined reorganization process</w:t>
      </w:r>
      <w:r w:rsidR="001728F3">
        <w:t xml:space="preserve"> for small businesses, eschewing much of the complexity and cost of the Chapter 11 process. Unless the court for cause orders otherwise, there will be no official creditors committee running up professional fees (11 U.S.C. § 1181(b)), no requirement for the debtor to prepare a formal disclosure statement (</w:t>
      </w:r>
      <w:r w:rsidR="001728F3" w:rsidRPr="0040053B">
        <w:rPr>
          <w:i/>
          <w:iCs/>
        </w:rPr>
        <w:t>Id</w:t>
      </w:r>
      <w:r w:rsidR="001728F3">
        <w:t>.), and, as we shall see, no need to negotiate and obtain votes for a plan of reorganization (although the debtor may elect to proceed with a negotiated plan if it wants to).</w:t>
      </w:r>
    </w:p>
    <w:p w14:paraId="33A5ABDD" w14:textId="2547E69C" w:rsidR="001728F3" w:rsidRDefault="001728F3" w:rsidP="00AB338E">
      <w:pPr>
        <w:pStyle w:val="0-NORMAL"/>
      </w:pPr>
      <w:r>
        <w:t>As in a Chapter 13 case, a Chapter 11 trustee is appointed to supervise the collection and distribution of funds under the plan</w:t>
      </w:r>
      <w:r w:rsidR="00B07C36">
        <w:t xml:space="preserve"> of reorganization</w:t>
      </w:r>
      <w:r>
        <w:t>, and to provide assistance to the debtor in formulating a plan.</w:t>
      </w:r>
      <w:r w:rsidR="00B07C36">
        <w:t xml:space="preserve"> 11 U.S.C. § 1183. Unless the bankruptcy court removes the debtor-in-possession for “cause” (dishonesty, incompetence, etc</w:t>
      </w:r>
      <w:r w:rsidR="00643BEF">
        <w:t>.</w:t>
      </w:r>
      <w:r w:rsidR="00B07C36">
        <w:t>)</w:t>
      </w:r>
      <w:r w:rsidR="0040053B">
        <w:t xml:space="preserve"> (11 U.S.C. § 1185)</w:t>
      </w:r>
      <w:r w:rsidR="00B07C36">
        <w:t xml:space="preserve">, the debtor remains in control of the </w:t>
      </w:r>
      <w:r w:rsidR="00643BEF">
        <w:t>business</w:t>
      </w:r>
      <w:r w:rsidR="0040053B">
        <w:t>,</w:t>
      </w:r>
      <w:r w:rsidR="00B07C36">
        <w:t xml:space="preserve"> and is the only party who can file a plan of reorganization</w:t>
      </w:r>
      <w:r w:rsidR="0040053B">
        <w:t xml:space="preserve"> (11 U.S.C. § 1189, normally within 90 days after filing, but the period can be extended for any circumstances “for which the debtor should not justly be held accountable</w:t>
      </w:r>
      <w:r w:rsidR="00643BEF">
        <w:t>”</w:t>
      </w:r>
      <w:r w:rsidR="0040053B">
        <w:t>)</w:t>
      </w:r>
      <w:r w:rsidR="00B07C36">
        <w:t>.</w:t>
      </w:r>
      <w:r w:rsidR="0040053B">
        <w:t xml:space="preserve"> </w:t>
      </w:r>
    </w:p>
    <w:p w14:paraId="316B3747" w14:textId="48F83487" w:rsidR="00B07C36" w:rsidRDefault="00B07C36" w:rsidP="00AB338E">
      <w:pPr>
        <w:pStyle w:val="0-NORMAL"/>
      </w:pPr>
      <w:r>
        <w:t xml:space="preserve">It appears that the plan period will normally be 3 years from the first payment under the plan, but the court may extend the plan period to 5 years. </w:t>
      </w:r>
      <w:r w:rsidR="0040053B">
        <w:t xml:space="preserve">11 U.S.C. § 1191(c)(2). </w:t>
      </w:r>
      <w:r>
        <w:t>It is difficult to see why a debtor would want to propose a plan period longer than 3 years unless additional time was needed to pay secured claims, but the court appears to have the discretion to order a longer plan term (although no standards are given for the court in considering doing so). Presumably, most plan terms will be 3 years.</w:t>
      </w:r>
    </w:p>
    <w:p w14:paraId="09E38742" w14:textId="1D6630EC" w:rsidR="000015F2" w:rsidRDefault="00B07C36" w:rsidP="00B07C36">
      <w:pPr>
        <w:pStyle w:val="0-NORMAL"/>
      </w:pPr>
      <w:r>
        <w:t xml:space="preserve">The big advantage of Subchapter </w:t>
      </w:r>
      <w:r w:rsidR="000015F2">
        <w:t>V</w:t>
      </w:r>
      <w:r>
        <w:t xml:space="preserve"> for debtors is the ability to maintain the business without paying objecting unsecured creditors in full. As you will recall, in a regular Chapter 11 case, the debtor can only cram</w:t>
      </w:r>
      <w:r w:rsidR="000015F2">
        <w:t xml:space="preserve">down </w:t>
      </w:r>
      <w:r>
        <w:t>a plan on a rejecting class of unsecured creditors (class does not accept the plan by the 1/2 number 2/3 amount requirement) if the creditors</w:t>
      </w:r>
      <w:r w:rsidR="000015F2">
        <w:t>’</w:t>
      </w:r>
      <w:r>
        <w:t xml:space="preserve"> claims are paid in full with interest, or the equity owners give up their equity interests. </w:t>
      </w:r>
      <w:r w:rsidRPr="00DA5356">
        <w:rPr>
          <w:i/>
          <w:iCs/>
        </w:rPr>
        <w:t>See</w:t>
      </w:r>
      <w:r w:rsidR="000015F2" w:rsidRPr="00DA5356">
        <w:rPr>
          <w:i/>
          <w:iCs/>
        </w:rPr>
        <w:t xml:space="preserve"> </w:t>
      </w:r>
      <w:r w:rsidR="000015F2">
        <w:t>11 U.S.C. § 1129(b)(2)(A).</w:t>
      </w:r>
    </w:p>
    <w:p w14:paraId="791DE033" w14:textId="455E919E" w:rsidR="00B07C36" w:rsidRDefault="000015F2" w:rsidP="00B07C36">
      <w:pPr>
        <w:pStyle w:val="0-NORMAL"/>
      </w:pPr>
      <w:r>
        <w:t xml:space="preserve">A </w:t>
      </w:r>
      <w:r w:rsidR="00BA1B4A">
        <w:t>d</w:t>
      </w:r>
      <w:r>
        <w:t xml:space="preserve">ebtor under Subchapter V can keep the business without paying </w:t>
      </w:r>
      <w:r w:rsidR="0040053B">
        <w:t xml:space="preserve">dissenting </w:t>
      </w:r>
      <w:r>
        <w:t>unsecured creditors in full, as long as the debtor pays to creditors all of the debtor’s “projected disposable income” during the plan term, or distributes to the creditors property of a value equal to the debtor’s “projected disposable income” during the plan term. 11 U.S.C. § 1191(c). “Projected disposable income” is defined as gross income, less amounts “reasonably necessary to be expended” for maintenance or support of the debtor, a dependent, or payment of a domestic support obligation, or for operation of the business. Thus, only net profits after domestic support and business expenses count as “disposable income.” This is very much like the rule under Chapter 13 for under-median debtors</w:t>
      </w:r>
      <w:r w:rsidR="00BA1B4A">
        <w:t>, where the court may liberally allow business expenses to reduce payments to unsecured creditors.</w:t>
      </w:r>
    </w:p>
    <w:p w14:paraId="5642533D" w14:textId="5D4F9BB3" w:rsidR="00BA1B4A" w:rsidRDefault="00BA1B4A" w:rsidP="00B07C36">
      <w:pPr>
        <w:pStyle w:val="0-NORMAL"/>
      </w:pPr>
      <w:r>
        <w:t>Alternatively, a debtor may seek confirmation under the normal voting rules of Chapter 11 for an accepted plan if the debtor can obtain the assent of all impaired classes of creditors under the regular 1/2 in number/2/3 in amount requirement. 11 U.S.C. § 1191(a). Presumably, few debtors will go through the expense of solicitation and voting, unless the debtor has just a few creditors who readily support the reorganization effort.</w:t>
      </w:r>
    </w:p>
    <w:p w14:paraId="41E528AD" w14:textId="101302AE" w:rsidR="00113690" w:rsidRDefault="00BA1B4A" w:rsidP="00B07C36">
      <w:pPr>
        <w:pStyle w:val="0-NORMAL"/>
      </w:pPr>
      <w:r>
        <w:t xml:space="preserve">With one exception, secured creditors must be treated the same way under Subchapter V as under the general Chapter 11 rules: they can be cured, reinstated and paid according to their contract, or </w:t>
      </w:r>
      <w:r w:rsidR="0040053B">
        <w:t xml:space="preserve">if </w:t>
      </w:r>
      <w:r>
        <w:t xml:space="preserve">undersecured can be stripped, and the remaining secured claim paid in full with </w:t>
      </w:r>
      <w:r w:rsidR="0040053B">
        <w:t xml:space="preserve">post-petition </w:t>
      </w:r>
      <w:r>
        <w:t xml:space="preserve">interest in equal installments during the plan </w:t>
      </w:r>
      <w:r w:rsidR="00D80223">
        <w:t>term</w:t>
      </w:r>
      <w:r>
        <w:t xml:space="preserve">. </w:t>
      </w:r>
      <w:r w:rsidRPr="00DA5356">
        <w:rPr>
          <w:i/>
          <w:iCs/>
        </w:rPr>
        <w:t xml:space="preserve">See </w:t>
      </w:r>
      <w:r w:rsidR="00D80223">
        <w:t xml:space="preserve">11 U.S.C. §§ </w:t>
      </w:r>
      <w:r>
        <w:t>1191(c)(1), 1129(b)(2)(A).</w:t>
      </w:r>
    </w:p>
    <w:p w14:paraId="0D66844A" w14:textId="36519CFF" w:rsidR="00113690" w:rsidRDefault="00113690" w:rsidP="00B07C36">
      <w:pPr>
        <w:pStyle w:val="0-NORMAL"/>
      </w:pPr>
      <w:r>
        <w:t xml:space="preserve">The one exception is home loans, which, as you may recall, cannot be stripped in Chapter 13 cases under Section 1325(b)(5) as interpreted in </w:t>
      </w:r>
      <w:r w:rsidRPr="00113690">
        <w:rPr>
          <w:i/>
          <w:iCs/>
        </w:rPr>
        <w:t>Nobelman</w:t>
      </w:r>
      <w:r>
        <w:rPr>
          <w:i/>
          <w:iCs/>
        </w:rPr>
        <w:t xml:space="preserve">, </w:t>
      </w:r>
      <w:r>
        <w:t>or in Chapter 11</w:t>
      </w:r>
      <w:r w:rsidR="00D80223">
        <w:t xml:space="preserve"> cases</w:t>
      </w:r>
      <w:r>
        <w:t xml:space="preserve"> under the similar language contained </w:t>
      </w:r>
      <w:r w:rsidR="00643BEF">
        <w:t xml:space="preserve">in </w:t>
      </w:r>
      <w:r>
        <w:t>Section 1123(b)(5). While Subchapter V generally follows the no-stripping</w:t>
      </w:r>
      <w:r w:rsidR="00D80223">
        <w:t>-</w:t>
      </w:r>
      <w:r>
        <w:t>home-mortgages</w:t>
      </w:r>
      <w:r w:rsidR="00D80223">
        <w:t xml:space="preserve"> </w:t>
      </w:r>
      <w:r>
        <w:t xml:space="preserve">rule, it makes an exception to allow stripping of a </w:t>
      </w:r>
      <w:r w:rsidRPr="00D80223">
        <w:rPr>
          <w:b/>
          <w:bCs/>
        </w:rPr>
        <w:t>non-purchase money</w:t>
      </w:r>
      <w:r>
        <w:t xml:space="preserve"> home loan</w:t>
      </w:r>
      <w:r w:rsidR="00D80223">
        <w:t xml:space="preserve">, </w:t>
      </w:r>
      <w:r>
        <w:t>where the proceeds of the loan were used “primarily in connection with the small business of the debtor.” 11 U.S.C. § 1190(3). A thin exception to be sure, but one that exists under no other chapter of the Bankruptcy Code.</w:t>
      </w:r>
    </w:p>
    <w:p w14:paraId="49C3E105" w14:textId="10D11370" w:rsidR="00B07C36" w:rsidRDefault="00113690" w:rsidP="00643BEF">
      <w:pPr>
        <w:pStyle w:val="0-NORMAL"/>
      </w:pPr>
      <w:r>
        <w:t>In summary, a small business debtor can confirm a Subchapter V plan</w:t>
      </w:r>
      <w:r w:rsidR="003C1B7D">
        <w:t xml:space="preserve"> that pays only a small distribution to unsecured creditors equal to the projected disposable income during the plan term, as long as creditors receive no less in present value than they would receive in a Chapter 7 liquidation</w:t>
      </w:r>
      <w:r w:rsidR="00D80223">
        <w:t xml:space="preserve"> (the best interest test of 11 U.S.C. § 1129(a)(7) must be shown to confirm a Subchapter V plan)</w:t>
      </w:r>
      <w:r w:rsidR="003C1B7D">
        <w:t xml:space="preserve">. The </w:t>
      </w:r>
      <w:r w:rsidR="00D80223">
        <w:t xml:space="preserve">debtor’s </w:t>
      </w:r>
      <w:r w:rsidR="003C1B7D">
        <w:t xml:space="preserve">ability to keep the business over the objection of dissenting creditors who may be paid only a fraction of their claims is the modern financial equivalent alchemy </w:t>
      </w:r>
      <w:r w:rsidR="00D80223">
        <w:t xml:space="preserve">previously sought </w:t>
      </w:r>
      <w:r w:rsidR="003C1B7D">
        <w:t>without success by generations of debtors.</w:t>
      </w:r>
    </w:p>
    <w:p w14:paraId="3FE35E12" w14:textId="77777777" w:rsidR="00142C55" w:rsidRDefault="00142C55" w:rsidP="00643BEF">
      <w:pPr>
        <w:pStyle w:val="0-NORMAL"/>
      </w:pPr>
    </w:p>
    <w:p w14:paraId="3F6EAAEB" w14:textId="09BEB8B4" w:rsidR="00DC6BBC" w:rsidRDefault="006A00DA" w:rsidP="00AB3EFD">
      <w:pPr>
        <w:pStyle w:val="Heading3"/>
      </w:pPr>
      <w:bookmarkStart w:id="6450" w:name="_Toc87039431"/>
      <w:bookmarkStart w:id="6451" w:name="_Toc90983827"/>
      <w:r>
        <w:t>Ted Lasso’s Small Business Reorganization Problem</w:t>
      </w:r>
      <w:bookmarkEnd w:id="6450"/>
      <w:bookmarkEnd w:id="6451"/>
      <w:r w:rsidR="00142C55">
        <w:br/>
      </w:r>
    </w:p>
    <w:p w14:paraId="4DA7C99D" w14:textId="617ECC63" w:rsidR="006A00DA" w:rsidRDefault="006A00DA" w:rsidP="006A00DA">
      <w:pPr>
        <w:pStyle w:val="0-NORMAL"/>
      </w:pPr>
      <w:r>
        <w:t xml:space="preserve">Ted Lasso has owned a family pizzeria in Syracuse called Il Pizzeria de Siracuse for more than 10 years. He owns the business as a sole proprietor, not through a corporation or other entity. The business always did well and was profitable until April 2020, when the Covid-19 virus came. At first, Ted’s business started slowly dropping off, but then it dropped off to nothing even though they were continuing to incur their normal business expenses. Finally, Ted was forced to cease operating under government orders. </w:t>
      </w:r>
    </w:p>
    <w:p w14:paraId="2CC3163B" w14:textId="39C759B4" w:rsidR="006A00DA" w:rsidRDefault="006A00DA" w:rsidP="006A00DA">
      <w:pPr>
        <w:pStyle w:val="0-NORMAL"/>
      </w:pPr>
      <w:r>
        <w:t>He wants to reopen his business now that people are going to restaurants again, but he has serious financial problems that need to be addressed. The following financial statements show their current financial condition.</w:t>
      </w:r>
    </w:p>
    <w:p w14:paraId="2FC91127" w14:textId="77777777" w:rsidR="000D7676" w:rsidRDefault="000D7676" w:rsidP="006A00DA">
      <w:pPr>
        <w:pStyle w:val="0-NORMAL"/>
      </w:pPr>
    </w:p>
    <w:p w14:paraId="5338B15F" w14:textId="4F4DAEEB" w:rsidR="006A00DA" w:rsidRPr="00AD1C2B" w:rsidRDefault="006A00DA" w:rsidP="00AD1C2B">
      <w:pPr>
        <w:pStyle w:val="0-NORMAL"/>
        <w:ind w:firstLine="0"/>
        <w:jc w:val="center"/>
        <w:rPr>
          <w:b/>
          <w:bCs/>
        </w:rPr>
      </w:pPr>
      <w:r w:rsidRPr="00AD1C2B">
        <w:rPr>
          <w:b/>
          <w:bCs/>
        </w:rPr>
        <w:t>Assets</w:t>
      </w:r>
    </w:p>
    <w:p w14:paraId="40F95E7B" w14:textId="45C52030" w:rsidR="006A00DA" w:rsidRDefault="006A00DA" w:rsidP="00103505">
      <w:pPr>
        <w:pStyle w:val="0-NORMAL"/>
      </w:pPr>
      <w:r>
        <w:t xml:space="preserve">The first schedule shows Ted’s assets, both business assets and personal assets, at both cost and at liquidation value. </w:t>
      </w:r>
    </w:p>
    <w:p w14:paraId="367098B2" w14:textId="77777777" w:rsidR="000D7676" w:rsidRDefault="000D7676" w:rsidP="00103505">
      <w:pPr>
        <w:pStyle w:val="0-NORMAL"/>
      </w:pPr>
    </w:p>
    <w:p w14:paraId="5D363FDD" w14:textId="6110E372" w:rsidR="00B07C36" w:rsidRDefault="001E1AF1" w:rsidP="008C4652">
      <w:pPr>
        <w:pStyle w:val="0-NORMAL"/>
      </w:pPr>
      <w:r>
        <w:rPr>
          <w:noProof/>
        </w:rPr>
        <w:drawing>
          <wp:inline distT="0" distB="0" distL="0" distR="0" wp14:anchorId="3E6E16E0" wp14:editId="6C9E143C">
            <wp:extent cx="4892040" cy="2225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892040" cy="2225040"/>
                    </a:xfrm>
                    <a:prstGeom prst="rect">
                      <a:avLst/>
                    </a:prstGeom>
                    <a:noFill/>
                    <a:ln>
                      <a:noFill/>
                    </a:ln>
                  </pic:spPr>
                </pic:pic>
              </a:graphicData>
            </a:graphic>
          </wp:inline>
        </w:drawing>
      </w:r>
    </w:p>
    <w:p w14:paraId="5FF27D1B" w14:textId="77777777" w:rsidR="008C4652" w:rsidRDefault="008C4652" w:rsidP="008C4652">
      <w:pPr>
        <w:pStyle w:val="0-NORMAL"/>
      </w:pPr>
    </w:p>
    <w:p w14:paraId="4BA9BE50" w14:textId="1A2BEE48" w:rsidR="006A00DA" w:rsidRDefault="006A00DA" w:rsidP="00103505">
      <w:pPr>
        <w:pStyle w:val="0-NORMAL"/>
      </w:pPr>
      <w:r>
        <w:t xml:space="preserve">In addition to his business assets, Ted owns two cars and a home. The cars are worth less than the security purchase </w:t>
      </w:r>
      <w:r w:rsidRPr="00103505">
        <w:t>money</w:t>
      </w:r>
      <w:r>
        <w:t xml:space="preserve"> security interests against them, but he would like to keep the cars if possible. </w:t>
      </w:r>
      <w:r w:rsidR="00103505">
        <w:t>The Ford F150 loan is at 14% and has 5 years remaining, and the Nissan Leaf loan is at 15% and has 3 years remaining. Both loans are current. The monthly loan payments are $582 and $243 respectively.</w:t>
      </w:r>
    </w:p>
    <w:p w14:paraId="15093578" w14:textId="7A122B4B" w:rsidR="00AD1C2B" w:rsidRDefault="006A00DA" w:rsidP="00142C55">
      <w:pPr>
        <w:pStyle w:val="0-NORMAL"/>
      </w:pPr>
      <w:r w:rsidRPr="006A00DA">
        <w:t xml:space="preserve">He owns a nice home worth $375,000, but it is over-encumbered in secured debt. He owes $250,000 on the first mortgage </w:t>
      </w:r>
      <w:r>
        <w:t xml:space="preserve">(the proceeds of which were used to </w:t>
      </w:r>
      <w:r w:rsidRPr="006A00DA">
        <w:t>purchase the property</w:t>
      </w:r>
      <w:r>
        <w:t xml:space="preserve">), at 7% interest, and has 20 </w:t>
      </w:r>
      <w:r w:rsidRPr="00103505">
        <w:t>years</w:t>
      </w:r>
      <w:r>
        <w:t xml:space="preserve"> left on the mortgage</w:t>
      </w:r>
      <w:r w:rsidRPr="006A00DA">
        <w:t xml:space="preserve">. During the pandemic, he took out a </w:t>
      </w:r>
      <w:r w:rsidR="008C4652">
        <w:t>$</w:t>
      </w:r>
      <w:r w:rsidRPr="006A00DA">
        <w:t>200,000 second mortgage line of credit</w:t>
      </w:r>
      <w:r>
        <w:t xml:space="preserve"> at a 16% interest rate, and has 25 years left on the mortgage</w:t>
      </w:r>
      <w:r w:rsidRPr="006A00DA">
        <w:t>. He used the proceeds of the second mortgage credit line mostly to pay employees and other business expenses, although about 30% of the funds were used to pay his living expenses.</w:t>
      </w:r>
      <w:r>
        <w:t xml:space="preserve"> His current monthly payments on the mortgages are $1,767 and $2,718 respectively. </w:t>
      </w:r>
      <w:r w:rsidR="00610ACA">
        <w:t>He is current on his home loan payments.</w:t>
      </w:r>
    </w:p>
    <w:p w14:paraId="2613C273" w14:textId="5F178653" w:rsidR="000D7676" w:rsidRDefault="000D7676" w:rsidP="00142C55">
      <w:pPr>
        <w:pStyle w:val="0-NORMAL"/>
      </w:pPr>
    </w:p>
    <w:p w14:paraId="2489021C" w14:textId="3722AB7D" w:rsidR="000D7676" w:rsidRDefault="000D7676" w:rsidP="00142C55">
      <w:pPr>
        <w:pStyle w:val="0-NORMAL"/>
      </w:pPr>
    </w:p>
    <w:p w14:paraId="4819A08B" w14:textId="1A30CEF0" w:rsidR="000D7676" w:rsidRDefault="000D7676" w:rsidP="00142C55">
      <w:pPr>
        <w:pStyle w:val="0-NORMAL"/>
      </w:pPr>
    </w:p>
    <w:p w14:paraId="5D7F89E1" w14:textId="00D95B87" w:rsidR="000D7676" w:rsidRDefault="000D7676" w:rsidP="00142C55">
      <w:pPr>
        <w:pStyle w:val="0-NORMAL"/>
      </w:pPr>
    </w:p>
    <w:p w14:paraId="2D98F4E7" w14:textId="5FF817DC" w:rsidR="000D7676" w:rsidRDefault="000D7676" w:rsidP="00142C55">
      <w:pPr>
        <w:pStyle w:val="0-NORMAL"/>
      </w:pPr>
    </w:p>
    <w:p w14:paraId="4BB84560" w14:textId="774A4BFD" w:rsidR="000D7676" w:rsidRDefault="000D7676" w:rsidP="00142C55">
      <w:pPr>
        <w:pStyle w:val="0-NORMAL"/>
      </w:pPr>
    </w:p>
    <w:p w14:paraId="6B5F657B" w14:textId="77777777" w:rsidR="000D7676" w:rsidRDefault="000D7676" w:rsidP="00D3093E">
      <w:pPr>
        <w:pStyle w:val="0-NORMAL"/>
        <w:ind w:firstLine="0"/>
      </w:pPr>
    </w:p>
    <w:p w14:paraId="71C080A8" w14:textId="2CEE8EC4" w:rsidR="00103505" w:rsidRDefault="00103505" w:rsidP="00BB2110">
      <w:pPr>
        <w:pStyle w:val="0-NORMAL"/>
        <w:ind w:firstLine="0"/>
        <w:jc w:val="center"/>
        <w:rPr>
          <w:b/>
          <w:bCs/>
        </w:rPr>
      </w:pPr>
      <w:r w:rsidRPr="00BB2110">
        <w:rPr>
          <w:b/>
          <w:bCs/>
        </w:rPr>
        <w:t>Liabilities</w:t>
      </w:r>
    </w:p>
    <w:p w14:paraId="56E7CE84" w14:textId="77777777" w:rsidR="00BB2110" w:rsidRPr="00BB2110" w:rsidRDefault="00BB2110" w:rsidP="00BB2110">
      <w:pPr>
        <w:pStyle w:val="0-NORMAL"/>
        <w:ind w:firstLine="0"/>
        <w:jc w:val="center"/>
        <w:rPr>
          <w:b/>
          <w:bCs/>
        </w:rPr>
      </w:pPr>
    </w:p>
    <w:p w14:paraId="4C8D554C" w14:textId="7C364C68" w:rsidR="00103505" w:rsidRDefault="001E1AF1" w:rsidP="00BB2110">
      <w:pPr>
        <w:pStyle w:val="0-NORMAL"/>
        <w:ind w:firstLine="0"/>
        <w:jc w:val="center"/>
      </w:pPr>
      <w:r>
        <w:rPr>
          <w:noProof/>
        </w:rPr>
        <w:drawing>
          <wp:inline distT="0" distB="0" distL="0" distR="0" wp14:anchorId="4F4F4C0B" wp14:editId="56A7BE24">
            <wp:extent cx="3489960" cy="2598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489960" cy="2598420"/>
                    </a:xfrm>
                    <a:prstGeom prst="rect">
                      <a:avLst/>
                    </a:prstGeom>
                    <a:noFill/>
                    <a:ln>
                      <a:noFill/>
                    </a:ln>
                  </pic:spPr>
                </pic:pic>
              </a:graphicData>
            </a:graphic>
          </wp:inline>
        </w:drawing>
      </w:r>
    </w:p>
    <w:p w14:paraId="0CE777A2" w14:textId="536CE56D" w:rsidR="00103505" w:rsidRDefault="00103505" w:rsidP="00103505">
      <w:pPr>
        <w:pStyle w:val="0-NORMAL"/>
      </w:pPr>
      <w:r w:rsidRPr="00103505">
        <w:t xml:space="preserve">In addition to his secured car and mortgage debt, he owes a lot of money to trade suppliers for food purchased during the pandemic, most of which went bad. </w:t>
      </w:r>
      <w:r>
        <w:t xml:space="preserve">Ted has not paid rent on the pizza restaurant for the last 12 months (rent is $50,000 per month). He would like to stay in the space, but could move across the street to another space if necessary. There are several places available for the same rent, but it would cost them approximately $15,000 in moving expenses. </w:t>
      </w:r>
    </w:p>
    <w:p w14:paraId="5F2CCD3C" w14:textId="2D86F4C9" w:rsidR="00103505" w:rsidRDefault="00103505" w:rsidP="00103505">
      <w:pPr>
        <w:pStyle w:val="0-NORMAL"/>
      </w:pPr>
      <w:r>
        <w:t>Ted’s landlord has a contractual claim for $600,000 in back rent. There is 10 years left on the lease, so the full rent for the remaining 10 years would be $6 million (assuming that the landlord could not mitigate by renting the space to someone else). There are several issues regarding the lease. First, could he keep the lease without paying the full $600,000 in back rent (treating the $600,000 as a prepetition unsecured claim)? Second, he is worried that if he rejects the lease and moves to another location, the landlord’s claim for future rent would prevent him from qualifying under Subchapter V of Title 11.</w:t>
      </w:r>
    </w:p>
    <w:p w14:paraId="10D4E13F" w14:textId="3BA2056E" w:rsidR="00103505" w:rsidRDefault="00103505" w:rsidP="00103505">
      <w:pPr>
        <w:pStyle w:val="0-NORMAL"/>
      </w:pPr>
      <w:r w:rsidRPr="00103505">
        <w:t xml:space="preserve">Ted also got into a car accident before the pandemic. Ted claims that the accident was the other driver’s fault, but the driver has filed a complaint blaming Ted, and </w:t>
      </w:r>
      <w:r w:rsidR="001E3EA9">
        <w:t xml:space="preserve">is </w:t>
      </w:r>
      <w:r w:rsidRPr="00103505">
        <w:t>seeking to recover $1,500,000 for personal injuries (claiming neck and back pain). They have $100,000 in insurance coverage, and the insurance company has been defending the case. Ted believes that the driver is faking his injuries.</w:t>
      </w:r>
    </w:p>
    <w:p w14:paraId="0AE2E9F9" w14:textId="10B79072" w:rsidR="00B07C36" w:rsidRPr="00B539FE" w:rsidRDefault="00103505" w:rsidP="00BB2110">
      <w:pPr>
        <w:pStyle w:val="0-NORMAL"/>
        <w:ind w:firstLine="0"/>
        <w:jc w:val="center"/>
        <w:rPr>
          <w:b/>
          <w:bCs/>
        </w:rPr>
      </w:pPr>
      <w:r w:rsidRPr="00B539FE">
        <w:rPr>
          <w:b/>
          <w:bCs/>
        </w:rPr>
        <w:t>Projected Disposable Income</w:t>
      </w:r>
    </w:p>
    <w:p w14:paraId="6D2D1FB5" w14:textId="45F2DBB0" w:rsidR="00103505" w:rsidRDefault="00103505" w:rsidP="00103505">
      <w:pPr>
        <w:pStyle w:val="0-NORMAL"/>
        <w:ind w:firstLine="0"/>
      </w:pPr>
      <w:r>
        <w:t>Ted has made an attempt to calculate his projected disposable income. He has assumed that his business will generate the same kind of income and costs as it did prior to the pandemic, although he expects that the business may perform a little better when it opens up again because of pent-up demand. He expects however, that business will return to pre-pandemic levels of revenue and costs as the economy returns to normal</w:t>
      </w:r>
      <w:r w:rsidR="001E3EA9">
        <w:t>.</w:t>
      </w:r>
    </w:p>
    <w:p w14:paraId="124B9352" w14:textId="189EB48A" w:rsidR="00103505" w:rsidRDefault="001E1AF1" w:rsidP="00BB2110">
      <w:pPr>
        <w:pStyle w:val="0-NORMAL"/>
        <w:ind w:firstLine="0"/>
        <w:jc w:val="center"/>
      </w:pPr>
      <w:r>
        <w:rPr>
          <w:noProof/>
        </w:rPr>
        <w:drawing>
          <wp:inline distT="0" distB="0" distL="0" distR="0" wp14:anchorId="18163169" wp14:editId="18A6EB52">
            <wp:extent cx="4198620" cy="3710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198620" cy="3710940"/>
                    </a:xfrm>
                    <a:prstGeom prst="rect">
                      <a:avLst/>
                    </a:prstGeom>
                    <a:noFill/>
                    <a:ln>
                      <a:noFill/>
                    </a:ln>
                  </pic:spPr>
                </pic:pic>
              </a:graphicData>
            </a:graphic>
          </wp:inline>
        </w:drawing>
      </w:r>
    </w:p>
    <w:p w14:paraId="1B80DDBD" w14:textId="77777777" w:rsidR="000D7676" w:rsidRDefault="000D7676" w:rsidP="00BB2110">
      <w:pPr>
        <w:pStyle w:val="0-NORMAL"/>
        <w:ind w:firstLine="0"/>
        <w:jc w:val="center"/>
      </w:pPr>
    </w:p>
    <w:p w14:paraId="12C11005" w14:textId="0A155BAA" w:rsidR="00103505" w:rsidRDefault="00103505" w:rsidP="004E3B34">
      <w:pPr>
        <w:pStyle w:val="0-NORMAL"/>
      </w:pPr>
      <w:r w:rsidRPr="00103505">
        <w:t xml:space="preserve">Prior to the pandemic, the </w:t>
      </w:r>
      <w:r w:rsidRPr="004E3B34">
        <w:t>business</w:t>
      </w:r>
      <w:r w:rsidRPr="00103505">
        <w:t xml:space="preserve"> grossed $97,000 per month</w:t>
      </w:r>
      <w:r>
        <w:t xml:space="preserve">, </w:t>
      </w:r>
      <w:r w:rsidR="00C12065">
        <w:t xml:space="preserve">and </w:t>
      </w:r>
      <w:r>
        <w:t>h</w:t>
      </w:r>
      <w:r w:rsidRPr="00103505">
        <w:t>is business expenses run about $85,200 per month, resulting in profitability of about $11,800 per month</w:t>
      </w:r>
      <w:r w:rsidR="001E3EA9">
        <w:t>.</w:t>
      </w:r>
    </w:p>
    <w:p w14:paraId="024D4A46" w14:textId="0541694C" w:rsidR="00103505" w:rsidRDefault="00103505" w:rsidP="004E3B34">
      <w:pPr>
        <w:pStyle w:val="0-NORMAL"/>
      </w:pPr>
      <w:r>
        <w:t xml:space="preserve">Ted’s and his family’s living expenses run about $11,709 per month, consisting of their mortgage and car loan </w:t>
      </w:r>
      <w:r w:rsidRPr="004E3B34">
        <w:t>payments</w:t>
      </w:r>
      <w:r>
        <w:t>, food, utilities, car and home insurance, Ted’s membership in the prestigious Century Club of Syracuse, a dining and social club for Syracuse’s business people, and college expenses for their daughter Leslie Lasso, who is finishing her freshman year at Syracuse University.</w:t>
      </w:r>
    </w:p>
    <w:p w14:paraId="7A09E910" w14:textId="0EA1BDEB" w:rsidR="00103505" w:rsidRPr="004E3B34" w:rsidRDefault="004E3B34" w:rsidP="00BB2110">
      <w:pPr>
        <w:pStyle w:val="0-NORMAL"/>
        <w:ind w:firstLine="0"/>
        <w:jc w:val="center"/>
        <w:rPr>
          <w:b/>
          <w:bCs/>
        </w:rPr>
      </w:pPr>
      <w:r w:rsidRPr="004E3B34">
        <w:rPr>
          <w:b/>
          <w:bCs/>
        </w:rPr>
        <w:t xml:space="preserve">QUESTION </w:t>
      </w:r>
      <w:r w:rsidR="00103505" w:rsidRPr="004E3B34">
        <w:rPr>
          <w:b/>
          <w:bCs/>
        </w:rPr>
        <w:t>1</w:t>
      </w:r>
    </w:p>
    <w:p w14:paraId="3023C665" w14:textId="4279D3FB" w:rsidR="00103505" w:rsidRDefault="00103505" w:rsidP="004E3B34">
      <w:pPr>
        <w:pStyle w:val="0-NORMAL"/>
      </w:pPr>
      <w:r>
        <w:t>Your office represents the Lassos, and you have been asked to develop a plan of reorganization under Subchapter V of Title 11 to reorganize their business.</w:t>
      </w:r>
    </w:p>
    <w:p w14:paraId="0899B05F" w14:textId="56C6127C" w:rsidR="00103505" w:rsidRDefault="00103505" w:rsidP="00103505">
      <w:pPr>
        <w:pStyle w:val="0-NORMAL"/>
      </w:pPr>
      <w:r>
        <w:t xml:space="preserve">You will first have to determine whether the Lassos can qualify under the debt limits for Subchapter V. </w:t>
      </w:r>
    </w:p>
    <w:p w14:paraId="7913F578" w14:textId="07BFF1C5" w:rsidR="00103505" w:rsidRDefault="00103505" w:rsidP="00103505">
      <w:pPr>
        <w:pStyle w:val="0-NORMAL"/>
      </w:pPr>
      <w:r>
        <w:t xml:space="preserve">Second, you will need to determine how to treat their secured claims in bankruptcy. Syracuse courts traditionally use an interest rate of 6% per annum under </w:t>
      </w:r>
      <w:r w:rsidRPr="001E3EA9">
        <w:rPr>
          <w:i/>
          <w:iCs/>
        </w:rPr>
        <w:t>Till v. SCS</w:t>
      </w:r>
      <w:r>
        <w:t xml:space="preserve"> when calculating payments.</w:t>
      </w:r>
    </w:p>
    <w:p w14:paraId="263DCFA7" w14:textId="0528BEC1" w:rsidR="00103505" w:rsidRDefault="001F638D" w:rsidP="00103505">
      <w:pPr>
        <w:pStyle w:val="0-NORMAL"/>
      </w:pPr>
      <w:r>
        <w:t>Third</w:t>
      </w:r>
      <w:r w:rsidR="00103505">
        <w:t>, you will need to determine how much he will need to pay to general unsecured creditors on a monthly basis, and whether the plan will be feasible.</w:t>
      </w:r>
    </w:p>
    <w:p w14:paraId="072AA9A4" w14:textId="784F86F5" w:rsidR="001F638D" w:rsidRDefault="001F638D" w:rsidP="00103505">
      <w:pPr>
        <w:pStyle w:val="0-NORMAL"/>
      </w:pPr>
      <w:r>
        <w:t xml:space="preserve">Finally, you will need to perform a liquidation analysis to show that Lasso is paying more to creditors than they would get in a liquidation. 11 U.S.C. </w:t>
      </w:r>
      <w:r w:rsidR="004968CC">
        <w:t>§</w:t>
      </w:r>
      <w:r>
        <w:t>§ 1129(a)(7)</w:t>
      </w:r>
      <w:r w:rsidR="004968CC">
        <w:t>, 1191(b).</w:t>
      </w:r>
    </w:p>
    <w:p w14:paraId="2FCDDBCA" w14:textId="401961EB" w:rsidR="00103505" w:rsidRDefault="00103505" w:rsidP="00103505">
      <w:pPr>
        <w:pStyle w:val="0-NORMAL"/>
      </w:pPr>
      <w:r>
        <w:t>Ted assumes that his creditors will not cooperate with him, and he would like to avoid the expense of negotiating and soliciting votes. He’s hoping that you can develop a plan that will meet the requirements for confirmation without needing creditor cooperation.</w:t>
      </w:r>
    </w:p>
    <w:p w14:paraId="28CE37F5" w14:textId="77777777" w:rsidR="00D3093E" w:rsidRDefault="00D3093E" w:rsidP="00103505">
      <w:pPr>
        <w:pStyle w:val="0-NORMAL"/>
      </w:pPr>
    </w:p>
    <w:p w14:paraId="460610C5" w14:textId="2FBB6A61" w:rsidR="00103505" w:rsidRPr="004E3B34" w:rsidRDefault="00103505" w:rsidP="00BB2110">
      <w:pPr>
        <w:pStyle w:val="0-NORMAL"/>
        <w:ind w:firstLine="0"/>
        <w:jc w:val="center"/>
        <w:rPr>
          <w:b/>
          <w:bCs/>
        </w:rPr>
      </w:pPr>
      <w:r w:rsidRPr="004E3B34">
        <w:rPr>
          <w:b/>
          <w:bCs/>
        </w:rPr>
        <w:t>Q</w:t>
      </w:r>
      <w:r w:rsidR="004E3B34">
        <w:rPr>
          <w:b/>
          <w:bCs/>
        </w:rPr>
        <w:t xml:space="preserve">UESTION </w:t>
      </w:r>
      <w:r w:rsidRPr="004E3B34">
        <w:rPr>
          <w:b/>
          <w:bCs/>
        </w:rPr>
        <w:t>2</w:t>
      </w:r>
    </w:p>
    <w:p w14:paraId="1F1F352E" w14:textId="2AB00C40" w:rsidR="00103505" w:rsidRDefault="00103505" w:rsidP="004E3B34">
      <w:pPr>
        <w:pStyle w:val="0-NORMAL"/>
      </w:pPr>
      <w:r>
        <w:t>After you have developed a Subchapter V plan, imagine that you are the creditors and want to derail the reorganization. What objections would you make? Would your objections prevail?</w:t>
      </w:r>
      <w:r w:rsidR="00BB2110">
        <w:t xml:space="preserve"> </w:t>
      </w:r>
      <w:r w:rsidR="001E3EA9">
        <w:t>W</w:t>
      </w:r>
      <w:r w:rsidR="00BB2110">
        <w:t>hat changes would you, as Lasso’s lawyer, advise him to make to most easily confirm a plan of reorganization that he can afford</w:t>
      </w:r>
      <w:r w:rsidR="00083725">
        <w:t xml:space="preserve">? </w:t>
      </w:r>
    </w:p>
    <w:p w14:paraId="4E7C3877" w14:textId="2BD5CCD9" w:rsidR="00B07C36" w:rsidRDefault="00B07C36" w:rsidP="00BB2110">
      <w:pPr>
        <w:pStyle w:val="0-NORMAL"/>
        <w:ind w:firstLine="0"/>
      </w:pPr>
    </w:p>
    <w:p w14:paraId="19FCC541" w14:textId="02773F6B" w:rsidR="0095283F" w:rsidRPr="007A5BBC" w:rsidRDefault="00AB338E" w:rsidP="00142C55">
      <w:pPr>
        <w:pStyle w:val="Heading1"/>
        <w:spacing w:line="240" w:lineRule="auto"/>
      </w:pPr>
      <w:r>
        <w:br w:type="page"/>
      </w:r>
      <w:bookmarkStart w:id="6452" w:name="_Toc417380934"/>
      <w:bookmarkStart w:id="6453" w:name="_Toc79699345"/>
      <w:bookmarkStart w:id="6454" w:name="_Toc79699671"/>
      <w:bookmarkStart w:id="6455" w:name="_Toc79700009"/>
      <w:bookmarkStart w:id="6456" w:name="_Toc79700329"/>
      <w:bookmarkStart w:id="6457" w:name="_Toc79700651"/>
      <w:bookmarkStart w:id="6458" w:name="_Toc87039432"/>
      <w:bookmarkStart w:id="6459" w:name="_Toc90983828"/>
      <w:r w:rsidR="0095283F" w:rsidRPr="007A5BBC">
        <w:t>Protecting the Integrity of the Bankruptcy Process</w:t>
      </w:r>
      <w:bookmarkEnd w:id="6452"/>
      <w:bookmarkEnd w:id="6453"/>
      <w:bookmarkEnd w:id="6454"/>
      <w:bookmarkEnd w:id="6455"/>
      <w:bookmarkEnd w:id="6456"/>
      <w:bookmarkEnd w:id="6457"/>
      <w:bookmarkEnd w:id="6458"/>
      <w:bookmarkEnd w:id="6459"/>
      <w:r w:rsidR="0095283F" w:rsidRPr="007A5BBC">
        <w:t xml:space="preserve">  </w:t>
      </w:r>
      <w:bookmarkStart w:id="6460" w:name="_Toc79693203"/>
      <w:bookmarkStart w:id="6461" w:name="_Toc79693523"/>
      <w:bookmarkStart w:id="6462" w:name="_Toc79693843"/>
      <w:bookmarkStart w:id="6463" w:name="_Toc79694160"/>
      <w:bookmarkStart w:id="6464" w:name="_Toc79694796"/>
      <w:bookmarkStart w:id="6465" w:name="_Toc79695428"/>
      <w:bookmarkStart w:id="6466" w:name="_Toc79697674"/>
      <w:bookmarkEnd w:id="6460"/>
      <w:bookmarkEnd w:id="6461"/>
      <w:bookmarkEnd w:id="6462"/>
      <w:bookmarkEnd w:id="6463"/>
      <w:bookmarkEnd w:id="6464"/>
      <w:bookmarkEnd w:id="6465"/>
      <w:bookmarkEnd w:id="6466"/>
      <w:r w:rsidR="00142C55">
        <w:br/>
      </w:r>
    </w:p>
    <w:p w14:paraId="41F78A5F" w14:textId="224A2DEE" w:rsidR="004E3B34"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t>
      </w:r>
      <w:r w:rsidR="004E3B34">
        <w:rPr>
          <w:rFonts w:ascii="Times New Roman" w:hAnsi="Times New Roman"/>
          <w:szCs w:val="24"/>
        </w:rPr>
        <w:t xml:space="preserve">during the bankruptcy case </w:t>
      </w:r>
      <w:r w:rsidRPr="007A5BBC">
        <w:rPr>
          <w:rFonts w:ascii="Times New Roman" w:hAnsi="Times New Roman"/>
          <w:szCs w:val="24"/>
        </w:rPr>
        <w:t xml:space="preserve">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w:t>
      </w:r>
      <w:r w:rsidR="00B967B6">
        <w:rPr>
          <w:rFonts w:ascii="Times New Roman" w:hAnsi="Times New Roman"/>
          <w:szCs w:val="24"/>
        </w:rPr>
        <w:t>S</w:t>
      </w:r>
      <w:r w:rsidR="00A651FA">
        <w:rPr>
          <w:rFonts w:ascii="Times New Roman" w:hAnsi="Times New Roman"/>
          <w:szCs w:val="24"/>
        </w:rPr>
        <w:t xml:space="preserve">ection </w:t>
      </w:r>
      <w:r w:rsidRPr="007A5BBC">
        <w:rPr>
          <w:rFonts w:ascii="Times New Roman" w:hAnsi="Times New Roman"/>
          <w:szCs w:val="24"/>
        </w:rPr>
        <w:t>363(b)(1)</w:t>
      </w:r>
      <w:r w:rsidR="00A651FA">
        <w:rPr>
          <w:rFonts w:ascii="Times New Roman" w:hAnsi="Times New Roman"/>
          <w:szCs w:val="24"/>
        </w:rPr>
        <w:t xml:space="preserve"> of the Bankruptcy Code</w:t>
      </w:r>
      <w:r w:rsidR="004E3B34">
        <w:rPr>
          <w:rFonts w:ascii="Times New Roman" w:hAnsi="Times New Roman"/>
          <w:szCs w:val="24"/>
        </w:rPr>
        <w:t>, as long as secured creditors are “adequately protected</w:t>
      </w:r>
      <w:r w:rsidR="005F6A8B">
        <w:rPr>
          <w:rFonts w:ascii="Times New Roman" w:hAnsi="Times New Roman"/>
          <w:szCs w:val="24"/>
        </w:rPr>
        <w:t>.</w:t>
      </w:r>
      <w:r w:rsidR="004E3B34">
        <w:rPr>
          <w:rFonts w:ascii="Times New Roman" w:hAnsi="Times New Roman"/>
          <w:szCs w:val="24"/>
        </w:rPr>
        <w:t>”</w:t>
      </w:r>
      <w:r w:rsidR="005F6A8B">
        <w:rPr>
          <w:rFonts w:ascii="Times New Roman" w:hAnsi="Times New Roman"/>
          <w:szCs w:val="24"/>
        </w:rPr>
        <w:t xml:space="preserve"> </w:t>
      </w:r>
    </w:p>
    <w:p w14:paraId="37BB35CB" w14:textId="7D348804" w:rsidR="004E3B34" w:rsidRDefault="0095283F" w:rsidP="0095283F">
      <w:pPr>
        <w:ind w:firstLine="720"/>
        <w:jc w:val="both"/>
        <w:rPr>
          <w:rFonts w:ascii="Times New Roman" w:hAnsi="Times New Roman"/>
          <w:szCs w:val="24"/>
        </w:rPr>
      </w:pPr>
      <w:r w:rsidRPr="007A5BBC">
        <w:rPr>
          <w:rFonts w:ascii="Times New Roman" w:hAnsi="Times New Roman"/>
          <w:szCs w:val="24"/>
        </w:rPr>
        <w:t xml:space="preserve">This pre-confirmation flexibility can come into conflict with the plan </w:t>
      </w:r>
      <w:r w:rsidR="004E3B34">
        <w:rPr>
          <w:rFonts w:ascii="Times New Roman" w:hAnsi="Times New Roman"/>
          <w:szCs w:val="24"/>
        </w:rPr>
        <w:t xml:space="preserve">confirmation </w:t>
      </w:r>
      <w:r w:rsidRPr="007A5BBC">
        <w:rPr>
          <w:rFonts w:ascii="Times New Roman" w:hAnsi="Times New Roman"/>
          <w:szCs w:val="24"/>
        </w:rPr>
        <w:t>process</w:t>
      </w:r>
      <w:r w:rsidR="004E3B34">
        <w:rPr>
          <w:rFonts w:ascii="Times New Roman" w:hAnsi="Times New Roman"/>
          <w:szCs w:val="24"/>
        </w:rPr>
        <w:t xml:space="preserve">. It is a </w:t>
      </w:r>
      <w:r w:rsidRPr="007A5BBC">
        <w:rPr>
          <w:rFonts w:ascii="Times New Roman" w:hAnsi="Times New Roman"/>
          <w:szCs w:val="24"/>
        </w:rPr>
        <w:t xml:space="preserve">fundamental </w:t>
      </w:r>
      <w:r w:rsidR="00A651FA">
        <w:rPr>
          <w:rFonts w:ascii="Times New Roman" w:hAnsi="Times New Roman"/>
          <w:szCs w:val="24"/>
        </w:rPr>
        <w:t xml:space="preserve">bankruptcy principle that </w:t>
      </w:r>
      <w:r w:rsidR="004E3B34">
        <w:rPr>
          <w:rFonts w:ascii="Times New Roman" w:hAnsi="Times New Roman"/>
          <w:szCs w:val="24"/>
        </w:rPr>
        <w:t xml:space="preserve">all similarly situated creditors receive the same treatment. Furthermore, at least outside of the small business provisions of Chapter V, Chapter 11 reorganizations require a detailed disclosure and voting process, and a strict cramdown process assuring that all creditors are both better off than they would be in a liquidation, and that the absolute priority rule is met for dissenting classes of creditors. </w:t>
      </w:r>
    </w:p>
    <w:p w14:paraId="1128198C" w14:textId="3EB34B82" w:rsidR="0095283F" w:rsidRDefault="004E3B34" w:rsidP="0095283F">
      <w:pPr>
        <w:ind w:firstLine="720"/>
        <w:jc w:val="both"/>
        <w:rPr>
          <w:rFonts w:ascii="Times New Roman" w:hAnsi="Times New Roman"/>
          <w:szCs w:val="24"/>
        </w:rPr>
      </w:pPr>
      <w:r>
        <w:rPr>
          <w:rFonts w:ascii="Times New Roman" w:hAnsi="Times New Roman"/>
          <w:szCs w:val="24"/>
        </w:rPr>
        <w:t>Can these fundamental protections contained in the Chapter 11 plan process be avoided during the bankruptcy case? For example, w</w:t>
      </w:r>
      <w:r w:rsidR="0095283F" w:rsidRPr="007A5BBC">
        <w:rPr>
          <w:rFonts w:ascii="Times New Roman" w:hAnsi="Times New Roman"/>
          <w:szCs w:val="24"/>
        </w:rPr>
        <w:t xml:space="preserve">ould an order allowing the debtor to pay in full certain favored unsecured claims while other unsecured creditors in the same class go largely unpaid violate </w:t>
      </w:r>
      <w:r>
        <w:rPr>
          <w:rFonts w:ascii="Times New Roman" w:hAnsi="Times New Roman"/>
          <w:szCs w:val="24"/>
        </w:rPr>
        <w:t xml:space="preserve">Chapter 11’s </w:t>
      </w:r>
      <w:r w:rsidR="0095283F" w:rsidRPr="007A5BBC">
        <w:rPr>
          <w:rFonts w:ascii="Times New Roman" w:hAnsi="Times New Roman"/>
          <w:szCs w:val="24"/>
        </w:rPr>
        <w:t xml:space="preserve">equality of distribution principle? </w:t>
      </w:r>
      <w:r>
        <w:rPr>
          <w:rFonts w:ascii="Times New Roman" w:hAnsi="Times New Roman"/>
          <w:szCs w:val="24"/>
        </w:rPr>
        <w:t xml:space="preserve">Can the disclosure and voting provisions be bypassed through the clever use of a pre-plan bankruptcy sale of all assets? </w:t>
      </w:r>
      <w:r w:rsidR="0095283F" w:rsidRPr="007A5BBC">
        <w:rPr>
          <w:rFonts w:ascii="Times New Roman" w:hAnsi="Times New Roman"/>
          <w:szCs w:val="24"/>
        </w:rPr>
        <w:t xml:space="preserve">The cases that follow, </w:t>
      </w:r>
      <w:r w:rsidR="00A651FA">
        <w:rPr>
          <w:rFonts w:ascii="Times New Roman" w:hAnsi="Times New Roman"/>
          <w:szCs w:val="24"/>
        </w:rPr>
        <w:t xml:space="preserve">which were </w:t>
      </w:r>
      <w:r w:rsidR="0095283F"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7F6490C4" w14:textId="77777777" w:rsidR="00142C55" w:rsidRPr="007A5BBC" w:rsidRDefault="00142C55" w:rsidP="00142C55">
      <w:pPr>
        <w:ind w:firstLine="720"/>
        <w:jc w:val="both"/>
        <w:rPr>
          <w:rFonts w:ascii="Times New Roman" w:hAnsi="Times New Roman"/>
          <w:szCs w:val="24"/>
        </w:rPr>
      </w:pPr>
    </w:p>
    <w:p w14:paraId="014B49F4" w14:textId="2BBC5EC1" w:rsidR="0095283F" w:rsidRPr="000555EC" w:rsidRDefault="007C1024" w:rsidP="00142C55">
      <w:pPr>
        <w:pStyle w:val="Heading2"/>
        <w:spacing w:line="240" w:lineRule="auto"/>
      </w:pPr>
      <w:hyperlink r:id="rId335" w:history="1">
        <w:bookmarkStart w:id="6467" w:name="_Toc87039433"/>
        <w:bookmarkStart w:id="6468" w:name="_Toc90983829"/>
        <w:r w:rsidR="0095283F" w:rsidRPr="000555EC">
          <w:rPr>
            <w:rStyle w:val="Hyperlink"/>
          </w:rPr>
          <w:t>I</w:t>
        </w:r>
        <w:r w:rsidR="000555EC" w:rsidRPr="000555EC">
          <w:rPr>
            <w:rStyle w:val="Hyperlink"/>
          </w:rPr>
          <w:t xml:space="preserve">N RE LIONEL CORPORATION, </w:t>
        </w:r>
        <w:r w:rsidR="0095283F" w:rsidRPr="000555EC">
          <w:rPr>
            <w:rStyle w:val="Hyperlink"/>
          </w:rPr>
          <w:t>722 F.2d 1063 (</w:t>
        </w:r>
        <w:r w:rsidR="00B17D36">
          <w:rPr>
            <w:rStyle w:val="Hyperlink"/>
          </w:rPr>
          <w:t>2d</w:t>
        </w:r>
        <w:r w:rsidR="0095283F" w:rsidRPr="000555EC">
          <w:rPr>
            <w:rStyle w:val="Hyperlink"/>
          </w:rPr>
          <w:t xml:space="preserve"> Cir. 1983)</w:t>
        </w:r>
        <w:bookmarkEnd w:id="6467"/>
        <w:bookmarkEnd w:id="6468"/>
      </w:hyperlink>
      <w:bookmarkStart w:id="6469" w:name="_Toc79693205"/>
      <w:bookmarkStart w:id="6470" w:name="_Toc79693525"/>
      <w:bookmarkStart w:id="6471" w:name="_Toc79693845"/>
      <w:bookmarkStart w:id="6472" w:name="_Toc79694162"/>
      <w:bookmarkStart w:id="6473" w:name="_Toc79694480"/>
      <w:bookmarkStart w:id="6474" w:name="_Toc79694798"/>
      <w:bookmarkStart w:id="6475" w:name="_Toc79695114"/>
      <w:bookmarkStart w:id="6476" w:name="_Toc79695430"/>
      <w:bookmarkStart w:id="6477" w:name="_Toc79695746"/>
      <w:bookmarkStart w:id="6478" w:name="_Toc79696062"/>
      <w:bookmarkStart w:id="6479" w:name="_Toc79696378"/>
      <w:bookmarkStart w:id="6480" w:name="_Toc79696694"/>
      <w:bookmarkStart w:id="6481" w:name="_Toc79697015"/>
      <w:bookmarkStart w:id="6482" w:name="_Toc79697347"/>
      <w:bookmarkStart w:id="6483" w:name="_Toc79697676"/>
      <w:bookmarkStart w:id="6484" w:name="_Toc79699347"/>
      <w:bookmarkStart w:id="6485" w:name="_Toc79699673"/>
      <w:bookmarkStart w:id="6486" w:name="_Toc79700011"/>
      <w:bookmarkStart w:id="6487" w:name="_Toc79700331"/>
      <w:bookmarkStart w:id="6488" w:name="_Toc79700653"/>
      <w:bookmarkStart w:id="6489" w:name="_Toc79700975"/>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r w:rsidR="00142C55">
        <w:rPr>
          <w:rStyle w:val="Hyperlink"/>
        </w:rPr>
        <w:br/>
      </w:r>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June 14, 1983 Lionel filed an application under section 363(b) seeking bankruptcy court authorization to sell its 82% interest in Dale to Acme-Cleveland Corporation for $43 million in cash. Four days later the debtor filed a plan of reorganization conditioned upon a sale of Dale with 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From the oral arguments and briefs we gather that the Equity Committee believes that Chapter 11 has cleared the reorganization field of major pre-plan sales--somewhat like the way Minerva routed Mars--relegating Sec. 363(b) to be used only in emergencies. The Creditors' Committee counters that a bankruptcy judge should have absolute freedom under Sec. 363(b)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its face, section 363(b)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section 363(b)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"[o]rdinarily, in the absence of perishable goods, or depreciation of assets, or actual jeopardy of the estate, a sale will not be ordered, particularly prior to adjudication." </w:t>
      </w:r>
    </w:p>
    <w:p w14:paraId="2BEEB4BD" w14:textId="6E4E050C"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36"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37"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38"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Cir.1945)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that the court did view the original sale as involving perishable property. Third, subsequent cases in this Circuit confirm the misapprehension in appellees' and Judge Ryan's broad interpretation. </w:t>
      </w:r>
    </w:p>
    <w:p w14:paraId="15CAAB47" w14:textId="122D8A18"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39"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is not taken." This "emergency" approach was so appealing that our court cited Solar Mfg. Corp. with approval and held in </w:t>
      </w:r>
      <w:hyperlink r:id="rId340"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7817746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Finally, in </w:t>
      </w:r>
      <w:hyperlink r:id="rId341"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Cir.1964)</w:t>
        </w:r>
      </w:hyperlink>
      <w:r w:rsidRPr="007A5BBC">
        <w:rPr>
          <w:rFonts w:ascii="Times New Roman" w:hAnsi="Times New Roman"/>
          <w:szCs w:val="24"/>
        </w:rPr>
        <w:t xml:space="preserve">,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0D1EB1F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Section 363(b)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Pr="007A5BBC">
        <w:rPr>
          <w:rFonts w:ascii="Times New Roman" w:hAnsi="Times New Roman"/>
          <w:szCs w:val="24"/>
        </w:rPr>
        <w:t xml:space="preserve"> or trustee contemplating sale must show "cause." Thus, the language of Sec. 363(b) clearly is different from the terms of its statutory predecessors. And, while Congress never expressly stated why it abandoned the "upon cause shown" terminology of Sec. 116(3), arguably that omission permits easier access to Sec. 363(b).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Just as we reject the requirement that only an emergency permits the use of Sec. 363(b), we also reject the view that Sec. 363(b) grants the bankruptcy judge carte blanche. </w:t>
      </w:r>
    </w:p>
    <w:p w14:paraId="6E988AE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history surrounding the enactment in 1978 of current Chapter 11 and the logic underlying it buttress our conclusion that there must be some articulated business justification, other than appeasement of major creditors, for using, selling or leasing property out of the ordinary course of business before the bankruptcy judge may order such disposition under section 363(b).</w:t>
      </w:r>
    </w:p>
    <w:p w14:paraId="6D15F13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case law under section 363's statutory predecessors used terms like "perishable," "deteriorating," and "emergency" as guides in deciding whether a debtor's property could be sold 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Resolving the apparent conflict between Chapter 11 and Sec. 363(b) does not require an all or nothing approach. Every sale under Sec. 363(b) does not automatically short-circuit or side-step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Sec. 363(b) and Chapter 11 must be allowed for.</w:t>
      </w:r>
    </w:p>
    <w:p w14:paraId="230EF66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Sec. 363(b)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48BD745"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33CE6502" w14:textId="77777777" w:rsidR="00142C55" w:rsidRDefault="00142C55" w:rsidP="0095283F">
      <w:pPr>
        <w:ind w:firstLine="720"/>
        <w:jc w:val="both"/>
        <w:rPr>
          <w:rFonts w:ascii="Times New Roman" w:hAnsi="Times New Roman"/>
          <w:szCs w:val="24"/>
        </w:rPr>
      </w:pPr>
    </w:p>
    <w:p w14:paraId="4F50B6EC" w14:textId="2223BED7" w:rsidR="00AF7466" w:rsidRPr="000555EC" w:rsidRDefault="007C1024" w:rsidP="00142C55">
      <w:pPr>
        <w:pStyle w:val="Heading2"/>
        <w:spacing w:line="240" w:lineRule="auto"/>
      </w:pPr>
      <w:hyperlink r:id="rId342" w:history="1">
        <w:bookmarkStart w:id="6490" w:name="_Toc87039434"/>
        <w:bookmarkStart w:id="6491" w:name="_Toc90983830"/>
        <w:r w:rsidR="00AF7466" w:rsidRPr="000555EC">
          <w:rPr>
            <w:rStyle w:val="Hyperlink"/>
          </w:rPr>
          <w:t>I</w:t>
        </w:r>
        <w:r w:rsidR="000555EC" w:rsidRPr="000555EC">
          <w:rPr>
            <w:rStyle w:val="Hyperlink"/>
          </w:rPr>
          <w:t xml:space="preserve">N RE CHRYSLER, </w:t>
        </w:r>
        <w:r w:rsidR="00AF7466" w:rsidRPr="000555EC">
          <w:rPr>
            <w:rStyle w:val="Hyperlink"/>
          </w:rPr>
          <w:t xml:space="preserve">576 </w:t>
        </w:r>
        <w:r w:rsidR="008B5ADA">
          <w:rPr>
            <w:rStyle w:val="Hyperlink"/>
          </w:rPr>
          <w:t>F.3d</w:t>
        </w:r>
        <w:r w:rsidR="00AF7466" w:rsidRPr="000555EC">
          <w:rPr>
            <w:rStyle w:val="Hyperlink"/>
          </w:rPr>
          <w:t xml:space="preserve"> 108 (</w:t>
        </w:r>
        <w:r w:rsidR="00B17D36">
          <w:rPr>
            <w:rStyle w:val="Hyperlink"/>
          </w:rPr>
          <w:t>2d</w:t>
        </w:r>
        <w:r w:rsidR="00AF7466" w:rsidRPr="000555EC">
          <w:rPr>
            <w:rStyle w:val="Hyperlink"/>
          </w:rPr>
          <w:t xml:space="preserve"> Cir. 2009)</w:t>
        </w:r>
        <w:bookmarkEnd w:id="6490"/>
        <w:bookmarkEnd w:id="6491"/>
      </w:hyperlink>
      <w:bookmarkStart w:id="6492" w:name="_Toc79693206"/>
      <w:bookmarkStart w:id="6493" w:name="_Toc79693526"/>
      <w:bookmarkStart w:id="6494" w:name="_Toc79693846"/>
      <w:bookmarkStart w:id="6495" w:name="_Toc79694163"/>
      <w:bookmarkStart w:id="6496" w:name="_Toc79694481"/>
      <w:bookmarkStart w:id="6497" w:name="_Toc79694799"/>
      <w:bookmarkStart w:id="6498" w:name="_Toc79695115"/>
      <w:bookmarkStart w:id="6499" w:name="_Toc79695431"/>
      <w:bookmarkStart w:id="6500" w:name="_Toc79695747"/>
      <w:bookmarkStart w:id="6501" w:name="_Toc79696063"/>
      <w:bookmarkStart w:id="6502" w:name="_Toc79696379"/>
      <w:bookmarkStart w:id="6503" w:name="_Toc79696695"/>
      <w:bookmarkStart w:id="6504" w:name="_Toc79697016"/>
      <w:bookmarkStart w:id="6505" w:name="_Toc79697348"/>
      <w:bookmarkStart w:id="6506" w:name="_Toc79697677"/>
      <w:bookmarkStart w:id="6507" w:name="_Toc79699348"/>
      <w:bookmarkStart w:id="6508" w:name="_Toc79699674"/>
      <w:bookmarkStart w:id="6509" w:name="_Toc79700012"/>
      <w:bookmarkStart w:id="6510" w:name="_Toc79700332"/>
      <w:bookmarkStart w:id="6511" w:name="_Toc79700654"/>
      <w:bookmarkStart w:id="6512" w:name="_Toc79700976"/>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r w:rsidR="00142C55">
        <w:rPr>
          <w:rStyle w:val="Hyperlink"/>
        </w:rPr>
        <w:br/>
      </w:r>
    </w:p>
    <w:p w14:paraId="4A1ABF3F" w14:textId="64F72024"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 Court, pursuant to 28 U.S.C. § 158(d)(2). 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5DD887A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11 U.S.C. § 363 (the "Sale"),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 363(b). </w:t>
      </w:r>
    </w:p>
    <w:p w14:paraId="31390509" w14:textId="77777777" w:rsidR="00AF7466" w:rsidRDefault="00AF7466" w:rsidP="00AF7466">
      <w: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5EB7512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Section 363(b) of the Bankruptcy Code authorizes a Chapter 11 </w:t>
      </w:r>
      <w:r w:rsidR="00A23DF9">
        <w:rPr>
          <w:rFonts w:ascii="Times New Roman" w:hAnsi="Times New Roman"/>
          <w:szCs w:val="24"/>
        </w:rPr>
        <w:t>debtor in possession</w:t>
      </w:r>
      <w:r w:rsidRPr="00AF7466">
        <w:rPr>
          <w:rFonts w:ascii="Times New Roman" w:hAnsi="Times New Roman"/>
          <w:szCs w:val="24"/>
        </w:rPr>
        <w:t xml:space="preserve"> to use, sell, or lease estate property outside the ordinary course of business, requiring in most circumstances only that a movant provide notice and a hearing. 11 U.S.C. § 363(b). We have identified an "apparent conflict" between the expedient of a § 363(b) sale and the otherwise applicable features and safeguards of Chapter 11</w:t>
      </w:r>
      <w:r w:rsidR="005F6A8B">
        <w:rPr>
          <w:rFonts w:ascii="Times New Roman" w:hAnsi="Times New Roman"/>
          <w:szCs w:val="24"/>
        </w:rPr>
        <w:t xml:space="preserve">. </w:t>
      </w:r>
      <w:hyperlink w:anchor="CASELionel" w:history="1">
        <w:r w:rsidRPr="0022344D">
          <w:rPr>
            <w:rStyle w:val="Hyperlink"/>
            <w:rFonts w:ascii="Times New Roman" w:hAnsi="Times New Roman"/>
            <w:i/>
            <w:szCs w:val="24"/>
          </w:rPr>
          <w:t>In re Lionel Corp</w:t>
        </w:r>
        <w:r w:rsidRPr="0022344D">
          <w:rPr>
            <w:rStyle w:val="Hyperlink"/>
            <w:rFonts w:ascii="Times New Roman" w:hAnsi="Times New Roman"/>
            <w:szCs w:val="24"/>
          </w:rPr>
          <w:t>., 722 F.2d 1063, 1071 (2d Cir.1983)</w:t>
        </w:r>
      </w:hyperlink>
      <w:r w:rsidRPr="00AF7466">
        <w:rPr>
          <w:rFonts w:ascii="Times New Roman" w:hAnsi="Times New Roman"/>
          <w:szCs w:val="24"/>
        </w:rPr>
        <w:t>.</w:t>
      </w:r>
    </w:p>
    <w:p w14:paraId="55A3BC7F" w14:textId="37E65E0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xml:space="preserve">, we consulted the history and purpose of § 363(b) to situate § 363(b) transactions within the overall structure of Chapter 11. The origin of § 363(b) is the Bankruptcy Act of 1867, which permitted a sale of a debtor's assets when the estate or any part thereof was "of a perishable nature or liable to deteriorate in value." Typically, courts have approved § 363(b)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possible in order to insure that the assets do not lose value." Thus, an automobile manufacturing business can be within the ambit of the "melting ice cube" theory of § 363(b). As </w:t>
      </w:r>
      <w:r w:rsidRPr="0022344D">
        <w:rPr>
          <w:rFonts w:ascii="Times New Roman" w:hAnsi="Times New Roman"/>
          <w:i/>
          <w:szCs w:val="24"/>
        </w:rPr>
        <w:t>Lionel</w:t>
      </w:r>
      <w:r w:rsidRPr="00AF7466">
        <w:rPr>
          <w:rFonts w:ascii="Times New Roman" w:hAnsi="Times New Roman"/>
          <w:szCs w:val="24"/>
        </w:rPr>
        <w:t xml:space="preserve"> recognized, the text of § 363(b)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 363(b). If a bankruptcy judge is to administer a business reorganization successfully under the Code, then ... some play for the operation of both § 363(b) and Chapter 11 must be allowed for.</w:t>
      </w:r>
    </w:p>
    <w:p w14:paraId="14036772" w14:textId="1516C5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 363(b)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 363(b)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46270C5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To balance the competing concerns of efficiency against the safeguards of the Chapter 11 process, Lionel required a "good business reason" for a § 363(b) transaction</w:t>
      </w:r>
      <w:r>
        <w:rPr>
          <w:rFonts w:ascii="Times New Roman" w:hAnsi="Times New Roman"/>
          <w:szCs w:val="24"/>
        </w:rPr>
        <w:t>.</w:t>
      </w:r>
    </w:p>
    <w:p w14:paraId="051D17D5" w14:textId="4D67438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 363(b)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In the current economic crisis of 2008-09, § 363(b)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 363(b) may well "replace the main route of Chapter 11 reorganization plans." </w:t>
      </w:r>
    </w:p>
    <w:p w14:paraId="41587058" w14:textId="6C31D373"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Resort to § 363(b)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 363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11 U.S.C. § 363(k)</w:t>
      </w:r>
      <w:r w:rsidR="005F6A8B">
        <w:rPr>
          <w:rFonts w:ascii="Times New Roman" w:hAnsi="Times New Roman"/>
          <w:szCs w:val="24"/>
        </w:rPr>
        <w:t xml:space="preserve">. </w:t>
      </w:r>
    </w:p>
    <w:p w14:paraId="76D8513E" w14:textId="19768E8C"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This tendency has its critics. The objections are not to the quantity or percentage of assets being sold: it has long been understood by the drafters of the Code, and the Supreme Court that § 363(b)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other stakeholders, in a proceeding that amounts to a reorganization in all but name, achieved by stealth and momentum. </w:t>
      </w:r>
    </w:p>
    <w:p w14:paraId="3415E9FE" w14:textId="3F0AF8B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 363(b)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remains the proper, most comprehensive framework for judging the validity of § 363(b) transactions.</w:t>
      </w:r>
    </w:p>
    <w:p w14:paraId="70212FC5" w14:textId="39B0534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43"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(5th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xml:space="preserve">, commentators and courts—including ours—have sometimes referred to improper § 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734BCB5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 363 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 363(b);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3DC5CF6F"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 363(b) asset sale must be rejected simply because it is a sale of all or substantially all of a debtor's assets. Thus a § 363(b)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allegation may approve or disapprove a § 363(b)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one penny of value of the Debtors' assets is going to anyone other than the First-Lien Lenders."  Sale Opinion at 18. As Bankruptcy Judge Gonzalez found, all the equity stakes in New Chrysler 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5BCDEBB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 363(b)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4B5286B0" w:rsidR="00AF7466" w:rsidRPr="00AF7466" w:rsidRDefault="00B93F29" w:rsidP="004F4D54">
      <w:pPr>
        <w:pStyle w:val="0-NORMAL"/>
      </w:pPr>
      <w:r>
        <w:t>[</w:t>
      </w:r>
      <w:r w:rsidR="008B5ADA">
        <w:t>Editor’s Note</w:t>
      </w:r>
      <w:r>
        <w:t xml:space="preserve">: </w:t>
      </w:r>
      <w:r w:rsidR="00AF7466" w:rsidRPr="00AF7466">
        <w:t>In the full opinion, the Chrysler court rejected a number of other arguments made by the appellants</w:t>
      </w:r>
      <w:r w:rsidR="005F6A8B">
        <w:t xml:space="preserve">. </w:t>
      </w:r>
      <w:r w:rsidR="00AF7466" w:rsidRPr="00AF7466">
        <w:t>The Court held that the Indiana Pensioners, who were participants with others in a secured loan, ceded to a joint trustee the power to consent to the sale</w:t>
      </w:r>
      <w:r w:rsidR="005F6A8B">
        <w:t xml:space="preserve">. </w:t>
      </w:r>
      <w:r w:rsidR="00AF7466" w:rsidRPr="00AF7466">
        <w:t>Since the trustee consented, the Indiana Pensioners were bound by that consent</w:t>
      </w:r>
      <w:r w:rsidR="005F6A8B">
        <w:t xml:space="preserve">. </w:t>
      </w:r>
      <w:r w:rsidR="00AF7466" w:rsidRPr="00AF7466">
        <w:t>The Court also held that the Indiana Pensioners lacked standing to challenge the use of the Federal Government’s TARP money to fund the plan</w:t>
      </w:r>
      <w:r w:rsidR="005F6A8B">
        <w:t xml:space="preserve">. </w:t>
      </w:r>
      <w:r w:rsidR="00AF7466" w:rsidRPr="00AF7466">
        <w:t>The court validated the terms which gave New Chrysler the assets free and clear of existing product liability claims, rejecting the Indiana Pensioners’ argument that section 363(f) only allows the sale of assets “free and clear of interests” and not “free and clear of all claims and interests” which would be permitted only under a confirmed Chapter 11 plan under section 1141(c)</w:t>
      </w:r>
      <w:r w:rsidR="005F6A8B">
        <w:t xml:space="preserve">. </w:t>
      </w:r>
      <w:r w:rsidR="00AF7466" w:rsidRPr="00AF7466">
        <w:t>The court rejected the argument that the language of section 363(f) is narrower than the language of 1141(c)</w:t>
      </w:r>
      <w:r w:rsidR="005F6A8B">
        <w:t xml:space="preserve">. </w:t>
      </w:r>
      <w:r w:rsidR="00AF7466" w:rsidRPr="00AF7466">
        <w:t xml:space="preserve">Instead, the Court held that the two provisions should be “harmonized.”  Finally, like the court in </w:t>
      </w:r>
      <w:r w:rsidR="00AF7466" w:rsidRPr="004D4B96">
        <w:rPr>
          <w:i/>
        </w:rPr>
        <w:t>Manville</w:t>
      </w:r>
      <w:r w:rsidR="00AF7466" w:rsidRPr="00AF7466">
        <w:t>, the Chrysler court held that the Indiana Pensioners lacked standing to challenge the scope of the release on behalf of future creditors.</w:t>
      </w:r>
    </w:p>
    <w:p w14:paraId="01EEE6C4" w14:textId="505D141F" w:rsidR="00AF7466" w:rsidRDefault="00AF7466" w:rsidP="004F4D54">
      <w:pPr>
        <w:pStyle w:val="0-NORMAL"/>
      </w:pPr>
      <w:r w:rsidRPr="00AF7466">
        <w:t xml:space="preserve">The Chrysler court left </w:t>
      </w:r>
      <w:r w:rsidRPr="00AF7466">
        <w:rPr>
          <w:i/>
        </w:rPr>
        <w:t>Lionel’s</w:t>
      </w:r>
      <w:r w:rsidRPr="00AF7466">
        <w:t xml:space="preserve"> analytical framework in place, but with a very different emphasis</w:t>
      </w:r>
      <w:r w:rsidR="005F6A8B">
        <w:t xml:space="preserve">. </w:t>
      </w:r>
      <w:r w:rsidRPr="00AF7466">
        <w:t>It is difficult to know if that pro-sale emphasis was due to the national emergency of the Great Recession, with the federal government and proponents of the sale claiming that the American economy’s recovery depended on a favorable decision</w:t>
      </w:r>
      <w:r w:rsidR="004D4B96">
        <w:t xml:space="preserve"> approving the sale</w:t>
      </w:r>
      <w:r w:rsidRPr="00AF7466">
        <w:t>, or whether the courts will generally defer to the “melting ice cube” arguments of the sale proponents in cases where the stakes are not so momentous</w:t>
      </w:r>
      <w:r w:rsidR="005F6A8B">
        <w:t xml:space="preserve">. </w:t>
      </w:r>
      <w:r w:rsidRPr="00AF7466">
        <w:t xml:space="preserve">Since Lehman Brothers, Chrysler, and GM, </w:t>
      </w:r>
      <w:r w:rsidR="00B93F29">
        <w:t>early</w:t>
      </w:r>
      <w:r w:rsidRPr="00AF7466">
        <w:t xml:space="preserve"> Section 363 sales have continued to be the predominant method of reorganization in large corporate cases. But the pendulum may one day swing back against early sales that have the effect of bypassing the reorganization structure of Chapter 11.</w:t>
      </w:r>
      <w:r w:rsidR="00B93F29">
        <w:t>]</w:t>
      </w:r>
      <w:r w:rsidRPr="00AF7466">
        <w:t xml:space="preserve">  </w:t>
      </w:r>
    </w:p>
    <w:p w14:paraId="1DD9D72F" w14:textId="77777777" w:rsidR="00142C55" w:rsidRPr="007A5BBC" w:rsidRDefault="00142C55" w:rsidP="004F4D54">
      <w:pPr>
        <w:pStyle w:val="0-NORMAL"/>
      </w:pPr>
    </w:p>
    <w:p w14:paraId="04212E42" w14:textId="062C5174" w:rsidR="0095283F" w:rsidRPr="000555EC" w:rsidRDefault="007C1024" w:rsidP="00142C55">
      <w:pPr>
        <w:pStyle w:val="Heading2"/>
        <w:spacing w:line="240" w:lineRule="auto"/>
      </w:pPr>
      <w:hyperlink r:id="rId344" w:history="1">
        <w:bookmarkStart w:id="6513" w:name="_Toc87039435"/>
        <w:bookmarkStart w:id="6514" w:name="_Toc90983831"/>
        <w:r w:rsidR="00AF7466" w:rsidRPr="000555EC">
          <w:rPr>
            <w:rStyle w:val="Hyperlink"/>
          </w:rPr>
          <w:t>I</w:t>
        </w:r>
        <w:r w:rsidR="000555EC" w:rsidRPr="000555EC">
          <w:rPr>
            <w:rStyle w:val="Hyperlink"/>
          </w:rPr>
          <w:t xml:space="preserve">N THE MATTER OF KMART CORPORATION, </w:t>
        </w:r>
        <w:r w:rsidR="0095283F" w:rsidRPr="000555EC">
          <w:rPr>
            <w:rStyle w:val="Hyperlink"/>
          </w:rPr>
          <w:t>359 F.3d 866 (7th Cir. 2004)</w:t>
        </w:r>
        <w:bookmarkEnd w:id="6513"/>
        <w:bookmarkEnd w:id="6514"/>
      </w:hyperlink>
      <w:bookmarkStart w:id="6515" w:name="_Toc79693207"/>
      <w:bookmarkStart w:id="6516" w:name="_Toc79693527"/>
      <w:bookmarkStart w:id="6517" w:name="_Toc79693847"/>
      <w:bookmarkStart w:id="6518" w:name="_Toc79694164"/>
      <w:bookmarkStart w:id="6519" w:name="_Toc79694482"/>
      <w:bookmarkStart w:id="6520" w:name="_Toc79694800"/>
      <w:bookmarkStart w:id="6521" w:name="_Toc79695116"/>
      <w:bookmarkStart w:id="6522" w:name="_Toc79695432"/>
      <w:bookmarkStart w:id="6523" w:name="_Toc79695748"/>
      <w:bookmarkStart w:id="6524" w:name="_Toc79696064"/>
      <w:bookmarkStart w:id="6525" w:name="_Toc79696380"/>
      <w:bookmarkStart w:id="6526" w:name="_Toc79696696"/>
      <w:bookmarkStart w:id="6527" w:name="_Toc79697017"/>
      <w:bookmarkStart w:id="6528" w:name="_Toc79697349"/>
      <w:bookmarkStart w:id="6529" w:name="_Toc79697678"/>
      <w:bookmarkStart w:id="6530" w:name="_Toc79699349"/>
      <w:bookmarkStart w:id="6531" w:name="_Toc79699675"/>
      <w:bookmarkStart w:id="6532" w:name="_Toc79700013"/>
      <w:bookmarkStart w:id="6533" w:name="_Toc79700333"/>
      <w:bookmarkStart w:id="6534" w:name="_Toc79700655"/>
      <w:bookmarkStart w:id="6535" w:name="_Toc79700977"/>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r w:rsidR="00142C55">
        <w:rPr>
          <w:rStyle w:val="Hyperlink"/>
        </w:rPr>
        <w:br/>
      </w:r>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debtor in 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"critical" and were not paid. They and 43,000 additional unsecured creditors eventually received about 10¢ on the dollar, mostly in stock of the reorganized Kmart. </w:t>
      </w:r>
    </w:p>
    <w:p w14:paraId="51A2EFE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 105(a)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say that we should recognize their reliance interests: after the order, they continued selling goods and services to Kmart (doing this was a condition of payment for pre-petition debts). Continued business relations may or may not be a form of reliance (that depends on whether the vendors otherwise would have stopped selling), but they are not detrimental 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Section 105(a) allows a bankruptcy court to "issue any order, process, or judgment that is necessary or appropriate to carry out the provisions of" the Code. This does not create discretion to set aside the Code's rules about priority and distribution; the power conferred by § 105(a)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2CCAC87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That leaves § 363(b)(1): "The trustee [or </w:t>
      </w:r>
      <w:r w:rsidR="00A23DF9">
        <w:rPr>
          <w:rFonts w:ascii="Times New Roman" w:hAnsi="Times New Roman"/>
          <w:szCs w:val="24"/>
        </w:rPr>
        <w:t>debtor in possession</w:t>
      </w:r>
      <w:r w:rsidRPr="007A5BBC">
        <w:rPr>
          <w:rFonts w:ascii="Times New Roman" w:hAnsi="Times New Roman"/>
          <w:szCs w:val="24"/>
        </w:rPr>
        <w:t>], after notice and a hearing, may use, sell, or lease, other than in the ordinary course of business, property of the estate." This is more promising, for satisfaction of a pre-petition debt in order to keep "critical" supplies flowing is a use of property other than in the ordinary course of administering an estate in bankruptcy. We need not decide whether § 363(b)(1) could support payment of some pre-petition debts, because this order was unsound no matter how one reads § 363(b)(1).</w:t>
      </w:r>
    </w:p>
    <w:p w14:paraId="0681BFD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disfavored creditors better off, then all creditors favor payment whether or not they are designated as "critical." This suggests a use of § 363(b)(1)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vendors would have 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5A728267" w14:textId="6D3D83D0" w:rsidR="00E01377" w:rsidRDefault="0095283F" w:rsidP="002D53DB">
      <w:pPr>
        <w:ind w:firstLine="720"/>
        <w:jc w:val="both"/>
        <w:rPr>
          <w:rFonts w:ascii="Times New Roman" w:hAnsi="Times New Roman"/>
          <w:szCs w:val="24"/>
        </w:rPr>
      </w:pPr>
      <w:r w:rsidRPr="007A5BBC">
        <w:rPr>
          <w:rFonts w:ascii="Times New Roman" w:hAnsi="Times New Roman"/>
          <w:szCs w:val="24"/>
        </w:rPr>
        <w:t>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they would have been had the critical-vendors order not been entered. Even if § 362(b)(1) allows critical-vendors orders in principle, preferential payments to a class of creditors are proper only if the record shows the prospect of benefit to the other creditors. This record does not, so the critical-vendors order cannot stand.</w:t>
      </w:r>
    </w:p>
    <w:p w14:paraId="6BF6B700" w14:textId="0A4585B4" w:rsidR="00142C55" w:rsidRDefault="00142C55" w:rsidP="002D53DB">
      <w:pPr>
        <w:ind w:firstLine="720"/>
        <w:jc w:val="both"/>
        <w:rPr>
          <w:rFonts w:ascii="Times New Roman" w:hAnsi="Times New Roman"/>
          <w:szCs w:val="24"/>
        </w:rPr>
      </w:pPr>
    </w:p>
    <w:p w14:paraId="2826F9BF" w14:textId="7A47E66E" w:rsidR="00D3093E" w:rsidRDefault="00D3093E" w:rsidP="002D53DB">
      <w:pPr>
        <w:ind w:firstLine="720"/>
        <w:jc w:val="both"/>
        <w:rPr>
          <w:rFonts w:ascii="Times New Roman" w:hAnsi="Times New Roman"/>
          <w:szCs w:val="24"/>
        </w:rPr>
      </w:pPr>
    </w:p>
    <w:p w14:paraId="33600631" w14:textId="77777777" w:rsidR="00D3093E" w:rsidRDefault="00D3093E" w:rsidP="002D53DB">
      <w:pPr>
        <w:ind w:firstLine="720"/>
        <w:jc w:val="both"/>
        <w:rPr>
          <w:rFonts w:ascii="Times New Roman" w:hAnsi="Times New Roman"/>
          <w:szCs w:val="24"/>
        </w:rPr>
      </w:pPr>
    </w:p>
    <w:p w14:paraId="299A148F" w14:textId="4A99D3E9" w:rsidR="00E01377" w:rsidRPr="00E01377" w:rsidRDefault="00E01377" w:rsidP="00142C55">
      <w:pPr>
        <w:pStyle w:val="Heading2"/>
        <w:spacing w:line="240" w:lineRule="auto"/>
      </w:pPr>
      <w:bookmarkStart w:id="6536" w:name="_Toc87039436"/>
      <w:bookmarkStart w:id="6537" w:name="_Toc90983832"/>
      <w:r w:rsidRPr="00E01377">
        <w:t>Reconfiguring the Bankruptcy Estate: Substantive Consolidation</w:t>
      </w:r>
      <w:bookmarkEnd w:id="6536"/>
      <w:bookmarkEnd w:id="6537"/>
      <w:r w:rsidR="00142C55">
        <w:br/>
      </w:r>
    </w:p>
    <w:p w14:paraId="5FF2C393" w14:textId="5FC9B8B5" w:rsidR="00E01377" w:rsidRPr="00E01377" w:rsidRDefault="00E01377" w:rsidP="00E01377">
      <w:pPr>
        <w:widowControl w:val="0"/>
        <w:ind w:firstLine="720"/>
        <w:jc w:val="both"/>
        <w:rPr>
          <w:rStyle w:val="FootnoteReference"/>
          <w:rFonts w:ascii="Times New Roman" w:hAnsi="Times New Roman"/>
          <w:szCs w:val="24"/>
        </w:rPr>
      </w:pPr>
      <w:r w:rsidRPr="00E01377">
        <w:rPr>
          <w:rFonts w:ascii="Times New Roman" w:hAnsi="Times New Roman"/>
          <w:szCs w:val="24"/>
        </w:rPr>
        <w:t>Bankruptcy courts have the equitable power to ignore the separate existence of two or more legally distinct entities and “substantively consolidate” them as one entity in a bankruptcy case. Although the standards for substantive consolidation vary by jurisdiction, this equitable power is generally only used when there has been either a substantial commingling of assets between the entities</w:t>
      </w:r>
      <w:r>
        <w:rPr>
          <w:rFonts w:ascii="Times New Roman" w:hAnsi="Times New Roman"/>
          <w:szCs w:val="24"/>
        </w:rPr>
        <w:t>,</w:t>
      </w:r>
      <w:r w:rsidRPr="00E01377">
        <w:rPr>
          <w:rFonts w:ascii="Times New Roman" w:hAnsi="Times New Roman"/>
          <w:szCs w:val="24"/>
        </w:rPr>
        <w:t xml:space="preserve"> or the entities have dealt with the creditors in a manner that </w:t>
      </w:r>
      <w:r>
        <w:rPr>
          <w:rFonts w:ascii="Times New Roman" w:hAnsi="Times New Roman"/>
          <w:szCs w:val="24"/>
        </w:rPr>
        <w:t xml:space="preserve">does not properly </w:t>
      </w:r>
      <w:r w:rsidRPr="00E01377">
        <w:rPr>
          <w:rFonts w:ascii="Times New Roman" w:hAnsi="Times New Roman"/>
          <w:szCs w:val="24"/>
        </w:rPr>
        <w:t xml:space="preserve">regard </w:t>
      </w:r>
      <w:r>
        <w:rPr>
          <w:rFonts w:ascii="Times New Roman" w:hAnsi="Times New Roman"/>
          <w:szCs w:val="24"/>
        </w:rPr>
        <w:t xml:space="preserve">the entities’ </w:t>
      </w:r>
      <w:r w:rsidRPr="00E01377">
        <w:rPr>
          <w:rFonts w:ascii="Times New Roman" w:hAnsi="Times New Roman"/>
          <w:szCs w:val="24"/>
        </w:rPr>
        <w:t>separate existence. </w:t>
      </w:r>
      <w:r w:rsidRPr="00E01377">
        <w:rPr>
          <w:rFonts w:ascii="Times New Roman" w:hAnsi="Times New Roman"/>
          <w:i/>
          <w:iCs/>
          <w:szCs w:val="24"/>
        </w:rPr>
        <w:t>E.g</w:t>
      </w:r>
      <w:r w:rsidRPr="00E01377">
        <w:rPr>
          <w:rFonts w:ascii="Times New Roman" w:hAnsi="Times New Roman"/>
          <w:szCs w:val="24"/>
        </w:rPr>
        <w:t xml:space="preserve">. </w:t>
      </w:r>
      <w:hyperlink r:id="rId345" w:history="1">
        <w:r w:rsidRPr="00E01377">
          <w:rPr>
            <w:rStyle w:val="Hyperlink"/>
            <w:rFonts w:ascii="Times New Roman" w:hAnsi="Times New Roman"/>
            <w:i/>
            <w:iCs/>
            <w:szCs w:val="24"/>
          </w:rPr>
          <w:t xml:space="preserve">Federal Dep. Ins. Corp. v. Colonial Realty Co., </w:t>
        </w:r>
        <w:r w:rsidRPr="00E01377">
          <w:rPr>
            <w:rStyle w:val="Hyperlink"/>
            <w:rFonts w:ascii="Times New Roman" w:hAnsi="Times New Roman"/>
            <w:szCs w:val="24"/>
          </w:rPr>
          <w:t>966 F.2d 57, 58-59 (2d Cir. 1992)</w:t>
        </w:r>
      </w:hyperlink>
      <w:r w:rsidRPr="00E01377">
        <w:rPr>
          <w:rFonts w:ascii="Times New Roman" w:hAnsi="Times New Roman"/>
          <w:szCs w:val="24"/>
        </w:rPr>
        <w:t xml:space="preserve">; </w:t>
      </w:r>
      <w:hyperlink r:id="rId346" w:history="1">
        <w:r w:rsidRPr="00E01377">
          <w:rPr>
            <w:rStyle w:val="Hyperlink"/>
            <w:rFonts w:ascii="Times New Roman" w:hAnsi="Times New Roman"/>
            <w:i/>
            <w:iCs/>
            <w:szCs w:val="24"/>
          </w:rPr>
          <w:t>In re Bonham</w:t>
        </w:r>
        <w:r w:rsidRPr="00E01377">
          <w:rPr>
            <w:rStyle w:val="Hyperlink"/>
            <w:rFonts w:ascii="Times New Roman" w:hAnsi="Times New Roman"/>
            <w:szCs w:val="24"/>
          </w:rPr>
          <w:t>, 229 F.3d 750, 766 (9th Cir. 2000)</w:t>
        </w:r>
      </w:hyperlink>
      <w:r w:rsidRPr="00E01377">
        <w:rPr>
          <w:rFonts w:ascii="Times New Roman" w:hAnsi="Times New Roman"/>
          <w:szCs w:val="24"/>
        </w:rPr>
        <w:t>. The courts also recognize that substantive consolidation is an extraordinary remedy that should be used only when creditors would not be harmed for their reliance on the separate existence of the entities, or when as a result of extreme commingling and disregard of corporate separateness there is no practical way to recognize the separate existence of the entities or unscramble their assets and affairs.</w:t>
      </w:r>
      <w:r w:rsidRPr="00E01377">
        <w:rPr>
          <w:rStyle w:val="FootnoteReference"/>
          <w:rFonts w:ascii="Times New Roman" w:hAnsi="Times New Roman"/>
          <w:szCs w:val="24"/>
        </w:rPr>
        <w:t xml:space="preserve"> </w:t>
      </w:r>
      <w:r w:rsidRPr="00E01377">
        <w:rPr>
          <w:rStyle w:val="FootnoteReference"/>
          <w:rFonts w:ascii="Times New Roman" w:hAnsi="Times New Roman"/>
          <w:szCs w:val="24"/>
        </w:rPr>
        <w:footnoteReference w:id="6"/>
      </w:r>
    </w:p>
    <w:p w14:paraId="35547F2C" w14:textId="0DC4FE99" w:rsidR="00E01377" w:rsidRP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The courts’ power to order substantive consolidation is not found in any provision of the Bankruptcy Code, but rather arises from courts</w:t>
      </w:r>
      <w:r w:rsidR="002D53DB">
        <w:rPr>
          <w:rFonts w:ascii="Times New Roman" w:hAnsi="Times New Roman"/>
          <w:szCs w:val="24"/>
          <w:lang w:eastAsia="zh-TW"/>
        </w:rPr>
        <w:t>’</w:t>
      </w:r>
      <w:r w:rsidRPr="00E01377">
        <w:rPr>
          <w:rFonts w:ascii="Times New Roman" w:hAnsi="Times New Roman"/>
          <w:szCs w:val="24"/>
          <w:lang w:eastAsia="zh-TW"/>
        </w:rPr>
        <w:t xml:space="preserve"> general powers of equity and its authority under Section 105(a) of the Bankruptcy Code. The remedy does not require a finding of fraud or intent to hinder or delay creditors, but rather requires a determination that consolidation would be more equitable to all parties under the circumstances. If appropriate circumstances are determined to exist, a bankruptcy court may consolidate the assets and liabilities of different entities by merging the assets and liabilities of multiple debtors, or entities affiliated with the debtor, into one debtor’s estate, thereby eliminating inter-corporate liabilities of the related entities, and treating the related entities as a single consolidated entity for the purpose of the bankruptcy case.</w:t>
      </w:r>
      <w:r w:rsidRPr="00E01377">
        <w:rPr>
          <w:rStyle w:val="FootnoteReference"/>
          <w:rFonts w:ascii="Times New Roman" w:hAnsi="Times New Roman"/>
          <w:szCs w:val="24"/>
          <w:lang w:eastAsia="zh-TW"/>
        </w:rPr>
        <w:footnoteReference w:id="7"/>
      </w:r>
    </w:p>
    <w:p w14:paraId="55CCB7F2" w14:textId="4D081B81" w:rsidR="00E01377" w:rsidRP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 xml:space="preserve">The U.S. Courts of Appeal for the Second, Third, Ninth, Eleventh and District of Columbia Circuits have articulated the </w:t>
      </w:r>
      <w:r>
        <w:rPr>
          <w:rFonts w:ascii="Times New Roman" w:hAnsi="Times New Roman"/>
          <w:szCs w:val="24"/>
          <w:lang w:eastAsia="zh-TW"/>
        </w:rPr>
        <w:t xml:space="preserve">majority </w:t>
      </w:r>
      <w:r w:rsidRPr="00E01377">
        <w:rPr>
          <w:rFonts w:ascii="Times New Roman" w:hAnsi="Times New Roman"/>
          <w:szCs w:val="24"/>
          <w:lang w:eastAsia="zh-TW"/>
        </w:rPr>
        <w:t>standard</w:t>
      </w:r>
      <w:r>
        <w:rPr>
          <w:rFonts w:ascii="Times New Roman" w:hAnsi="Times New Roman"/>
          <w:szCs w:val="24"/>
          <w:lang w:eastAsia="zh-TW"/>
        </w:rPr>
        <w:t xml:space="preserve"> </w:t>
      </w:r>
      <w:r w:rsidRPr="00E01377">
        <w:rPr>
          <w:rFonts w:ascii="Times New Roman" w:hAnsi="Times New Roman"/>
          <w:szCs w:val="24"/>
          <w:lang w:eastAsia="zh-TW"/>
        </w:rPr>
        <w:t>for the granting of substantive consolidation</w:t>
      </w:r>
      <w:r>
        <w:rPr>
          <w:rFonts w:ascii="Times New Roman" w:hAnsi="Times New Roman"/>
          <w:szCs w:val="24"/>
          <w:lang w:eastAsia="zh-TW"/>
        </w:rPr>
        <w:t>, although the actual wording of the test varies somewhat</w:t>
      </w:r>
      <w:r w:rsidRPr="00E01377">
        <w:rPr>
          <w:rFonts w:ascii="Times New Roman" w:hAnsi="Times New Roman"/>
          <w:szCs w:val="24"/>
          <w:lang w:eastAsia="zh-TW"/>
        </w:rPr>
        <w:t xml:space="preserve">. In </w:t>
      </w:r>
      <w:r w:rsidR="00FB098E">
        <w:rPr>
          <w:rFonts w:ascii="Times New Roman" w:hAnsi="Times New Roman"/>
          <w:szCs w:val="24"/>
          <w:lang w:eastAsia="zh-TW"/>
        </w:rPr>
        <w:t xml:space="preserve">the </w:t>
      </w:r>
      <w:r w:rsidRPr="00E01377">
        <w:rPr>
          <w:rFonts w:ascii="Times New Roman" w:hAnsi="Times New Roman"/>
          <w:szCs w:val="24"/>
          <w:lang w:eastAsia="zh-TW"/>
        </w:rPr>
        <w:t xml:space="preserve">Second Circuit, courts consider whether: (a) the creditors dealt with the entities as a single economic unit and did not rely on their separate identities in extending credit; </w:t>
      </w:r>
      <w:r w:rsidRPr="00E01377">
        <w:rPr>
          <w:rFonts w:ascii="Times New Roman" w:hAnsi="Times New Roman"/>
          <w:szCs w:val="24"/>
          <w:u w:val="single"/>
          <w:lang w:eastAsia="zh-TW"/>
        </w:rPr>
        <w:t>or</w:t>
      </w:r>
      <w:r w:rsidRPr="00E01377">
        <w:rPr>
          <w:rFonts w:ascii="Times New Roman" w:hAnsi="Times New Roman"/>
          <w:szCs w:val="24"/>
          <w:lang w:eastAsia="zh-TW"/>
        </w:rPr>
        <w:t xml:space="preserve"> (b) the affairs of the entities are so entangled that consolidation will benefit all creditors because disentangling is either impossible or prohibitively expensive. </w:t>
      </w:r>
      <w:hyperlink r:id="rId347" w:history="1">
        <w:r w:rsidRPr="00410127">
          <w:rPr>
            <w:rStyle w:val="Hyperlink"/>
            <w:rFonts w:ascii="Times New Roman" w:hAnsi="Times New Roman"/>
            <w:i/>
            <w:iCs/>
            <w:szCs w:val="24"/>
            <w:lang w:eastAsia="zh-TW"/>
          </w:rPr>
          <w:t>In re Augie/Restivo Baking Co., Ltd., 860 F.2d 515 (2d Cir. 1988)</w:t>
        </w:r>
      </w:hyperlink>
      <w:r>
        <w:rPr>
          <w:szCs w:val="24"/>
          <w:lang w:eastAsia="zh-TW"/>
        </w:rPr>
        <w:t xml:space="preserve">. </w:t>
      </w:r>
      <w:r w:rsidRPr="00E01377">
        <w:rPr>
          <w:rFonts w:ascii="Times New Roman" w:hAnsi="Times New Roman"/>
          <w:szCs w:val="24"/>
          <w:lang w:eastAsia="zh-TW"/>
        </w:rPr>
        <w:t xml:space="preserve">The Ninth Circuit </w:t>
      </w:r>
      <w:r w:rsidR="00410127">
        <w:rPr>
          <w:rFonts w:ascii="Times New Roman" w:hAnsi="Times New Roman"/>
          <w:szCs w:val="24"/>
          <w:lang w:eastAsia="zh-TW"/>
        </w:rPr>
        <w:t xml:space="preserve">follows </w:t>
      </w:r>
      <w:r w:rsidRPr="00E01377">
        <w:rPr>
          <w:rFonts w:ascii="Times New Roman" w:hAnsi="Times New Roman"/>
          <w:szCs w:val="24"/>
          <w:lang w:eastAsia="zh-TW"/>
        </w:rPr>
        <w:t xml:space="preserve">the </w:t>
      </w:r>
      <w:r w:rsidRPr="00E01377">
        <w:rPr>
          <w:rFonts w:ascii="Times New Roman" w:hAnsi="Times New Roman"/>
          <w:i/>
          <w:iCs/>
          <w:szCs w:val="24"/>
          <w:lang w:eastAsia="zh-TW"/>
        </w:rPr>
        <w:t>Augie/Restivo</w:t>
      </w:r>
      <w:r w:rsidRPr="00E01377">
        <w:rPr>
          <w:rFonts w:ascii="Times New Roman" w:hAnsi="Times New Roman"/>
          <w:szCs w:val="24"/>
          <w:lang w:eastAsia="zh-TW"/>
        </w:rPr>
        <w:t xml:space="preserve"> formulation</w:t>
      </w:r>
      <w:r w:rsidR="00410127">
        <w:rPr>
          <w:rFonts w:ascii="Times New Roman" w:hAnsi="Times New Roman"/>
          <w:szCs w:val="24"/>
          <w:lang w:eastAsia="zh-TW"/>
        </w:rPr>
        <w:t xml:space="preserve">. </w:t>
      </w:r>
      <w:hyperlink r:id="rId348" w:history="1">
        <w:r w:rsidRPr="00410127">
          <w:rPr>
            <w:rStyle w:val="Hyperlink"/>
            <w:rFonts w:ascii="Times New Roman" w:hAnsi="Times New Roman"/>
            <w:i/>
            <w:iCs/>
            <w:szCs w:val="24"/>
            <w:lang w:eastAsia="zh-TW"/>
          </w:rPr>
          <w:t>In re Bonham</w:t>
        </w:r>
        <w:r w:rsidRPr="00410127">
          <w:rPr>
            <w:rStyle w:val="Hyperlink"/>
            <w:rFonts w:ascii="Times New Roman" w:hAnsi="Times New Roman"/>
            <w:szCs w:val="24"/>
            <w:lang w:eastAsia="zh-TW"/>
          </w:rPr>
          <w:t>, 229 F.3d 750 (9th Cir. 2000)</w:t>
        </w:r>
      </w:hyperlink>
      <w:r w:rsidRPr="00E01377">
        <w:rPr>
          <w:rFonts w:ascii="Times New Roman" w:hAnsi="Times New Roman"/>
          <w:szCs w:val="24"/>
          <w:lang w:eastAsia="zh-TW"/>
        </w:rPr>
        <w:t xml:space="preserve">. In the Eleventh Circuit and the District of Columbia Circuit, the proponent must show: (a) a substantial identity between the entities to be consolidated; </w:t>
      </w:r>
      <w:r w:rsidRPr="00E01377">
        <w:rPr>
          <w:rFonts w:ascii="Times New Roman" w:hAnsi="Times New Roman"/>
          <w:szCs w:val="24"/>
          <w:u w:val="single"/>
          <w:lang w:eastAsia="zh-TW"/>
        </w:rPr>
        <w:t>and</w:t>
      </w:r>
      <w:r w:rsidRPr="00E01377">
        <w:rPr>
          <w:rFonts w:ascii="Times New Roman" w:hAnsi="Times New Roman"/>
          <w:szCs w:val="24"/>
          <w:lang w:eastAsia="zh-TW"/>
        </w:rPr>
        <w:t xml:space="preserve"> (b) that consolidation is necessary to avoid some harm or to realize some benefit. </w:t>
      </w:r>
      <w:hyperlink r:id="rId349" w:history="1">
        <w:r w:rsidRPr="00410127">
          <w:rPr>
            <w:rStyle w:val="Hyperlink"/>
            <w:rFonts w:ascii="Times New Roman" w:hAnsi="Times New Roman"/>
            <w:i/>
            <w:iCs/>
            <w:szCs w:val="24"/>
            <w:lang w:eastAsia="zh-TW"/>
          </w:rPr>
          <w:t>In re Southern Motel Assoc., Ltd., 935 F.2d 245 (11th Cir. 1991)</w:t>
        </w:r>
      </w:hyperlink>
      <w:r w:rsidRPr="00410127">
        <w:rPr>
          <w:rStyle w:val="Hyperlink"/>
          <w:rFonts w:ascii="Times New Roman" w:hAnsi="Times New Roman"/>
          <w:i/>
          <w:iCs/>
        </w:rPr>
        <w:t xml:space="preserve">; </w:t>
      </w:r>
      <w:hyperlink r:id="rId350" w:history="1">
        <w:r w:rsidRPr="00410127">
          <w:rPr>
            <w:rStyle w:val="Hyperlink"/>
            <w:rFonts w:ascii="Times New Roman" w:hAnsi="Times New Roman"/>
            <w:i/>
            <w:iCs/>
            <w:szCs w:val="24"/>
            <w:lang w:eastAsia="zh-TW"/>
          </w:rPr>
          <w:t>In re Auto-Train Corp., 810 F.2d 270</w:t>
        </w:r>
        <w:bookmarkStart w:id="6538" w:name="_cp_text_1_749"/>
        <w:r w:rsidRPr="00410127">
          <w:rPr>
            <w:rStyle w:val="Hyperlink"/>
            <w:rFonts w:ascii="Times New Roman" w:hAnsi="Times New Roman"/>
            <w:i/>
            <w:iCs/>
            <w:szCs w:val="24"/>
            <w:lang w:eastAsia="zh-TW"/>
          </w:rPr>
          <w:t xml:space="preserve"> </w:t>
        </w:r>
        <w:bookmarkEnd w:id="6538"/>
        <w:r w:rsidRPr="00410127">
          <w:rPr>
            <w:rStyle w:val="Hyperlink"/>
            <w:rFonts w:ascii="Times New Roman" w:hAnsi="Times New Roman"/>
            <w:i/>
            <w:iCs/>
            <w:szCs w:val="24"/>
            <w:lang w:eastAsia="zh-TW"/>
          </w:rPr>
          <w:t>(D.C. Cir. 1987)</w:t>
        </w:r>
      </w:hyperlink>
      <w:r w:rsidRPr="00E01377">
        <w:rPr>
          <w:rFonts w:ascii="Times New Roman" w:hAnsi="Times New Roman"/>
          <w:szCs w:val="24"/>
        </w:rPr>
        <w:t>. Other federal circuits have variations on these formulations, while several have not enunciated any controlling test for substantive consolidation.</w:t>
      </w:r>
    </w:p>
    <w:p w14:paraId="29B9989B" w14:textId="452B94FA" w:rsidR="00E01377" w:rsidRDefault="00E01377" w:rsidP="00E01377">
      <w:pPr>
        <w:widowControl w:val="0"/>
        <w:ind w:firstLine="720"/>
        <w:jc w:val="both"/>
        <w:rPr>
          <w:rFonts w:ascii="Times New Roman" w:hAnsi="Times New Roman"/>
          <w:szCs w:val="24"/>
          <w:lang w:eastAsia="zh-TW"/>
        </w:rPr>
      </w:pPr>
      <w:r w:rsidRPr="00E01377">
        <w:rPr>
          <w:rFonts w:ascii="Times New Roman" w:hAnsi="Times New Roman"/>
          <w:szCs w:val="24"/>
          <w:lang w:eastAsia="zh-TW"/>
        </w:rPr>
        <w:t xml:space="preserve">In 2005, the Third Circuit issued its significant reformulation of the substantive consolidation test in </w:t>
      </w:r>
      <w:hyperlink r:id="rId351" w:history="1">
        <w:r w:rsidRPr="00410127">
          <w:rPr>
            <w:rStyle w:val="Hyperlink"/>
            <w:rFonts w:ascii="Times New Roman" w:hAnsi="Times New Roman"/>
            <w:i/>
            <w:iCs/>
            <w:szCs w:val="24"/>
            <w:lang w:eastAsia="zh-TW"/>
          </w:rPr>
          <w:t>In re Owens Corning</w:t>
        </w:r>
        <w:r w:rsidRPr="00410127">
          <w:rPr>
            <w:rStyle w:val="Hyperlink"/>
            <w:rFonts w:ascii="Times New Roman" w:hAnsi="Times New Roman"/>
            <w:szCs w:val="24"/>
            <w:lang w:eastAsia="zh-TW"/>
          </w:rPr>
          <w:t>, 419 F.3d 195, 210 (3d Cir. 2005)</w:t>
        </w:r>
      </w:hyperlink>
      <w:r w:rsidRPr="00410127">
        <w:rPr>
          <w:rFonts w:ascii="Times New Roman" w:hAnsi="Times New Roman"/>
          <w:szCs w:val="24"/>
          <w:lang w:eastAsia="zh-TW"/>
        </w:rPr>
        <w:t>, cert. denied, 547 U.S. 1123 (2006).</w:t>
      </w:r>
      <w:r>
        <w:rPr>
          <w:szCs w:val="24"/>
          <w:lang w:eastAsia="zh-TW"/>
        </w:rPr>
        <w:t xml:space="preserve"> </w:t>
      </w:r>
      <w:r w:rsidRPr="00E01377">
        <w:rPr>
          <w:rFonts w:ascii="Times New Roman" w:hAnsi="Times New Roman"/>
          <w:szCs w:val="24"/>
          <w:lang w:eastAsia="zh-TW"/>
        </w:rPr>
        <w:t>After canvassing the existing law of substantive consolidation, the Third Circuit determined that, absent the consent of all parties, substantive consolidation of the affected entities may be granted if “(i) prepetition [those entities] disregarded separateness so significantly [that] their creditors relied on the breakdown of entity borders and treated them as one legal entity, or (ii) postpetition their assets and liabilities are so scrambled that separating them is prohibitive and</w:t>
      </w:r>
      <w:r w:rsidR="00410127">
        <w:rPr>
          <w:rFonts w:ascii="Times New Roman" w:hAnsi="Times New Roman"/>
          <w:szCs w:val="24"/>
          <w:lang w:eastAsia="zh-TW"/>
        </w:rPr>
        <w:t xml:space="preserve"> would</w:t>
      </w:r>
      <w:r w:rsidRPr="00E01377">
        <w:rPr>
          <w:rFonts w:ascii="Times New Roman" w:hAnsi="Times New Roman"/>
          <w:szCs w:val="24"/>
          <w:lang w:eastAsia="zh-TW"/>
        </w:rPr>
        <w:t xml:space="preserve"> hurt</w:t>
      </w:r>
      <w:r w:rsidR="00410127">
        <w:rPr>
          <w:rFonts w:ascii="Times New Roman" w:hAnsi="Times New Roman"/>
          <w:szCs w:val="24"/>
          <w:lang w:eastAsia="zh-TW"/>
        </w:rPr>
        <w:t xml:space="preserve"> </w:t>
      </w:r>
      <w:r w:rsidRPr="00E01377">
        <w:rPr>
          <w:rFonts w:ascii="Times New Roman" w:hAnsi="Times New Roman"/>
          <w:szCs w:val="24"/>
          <w:lang w:eastAsia="zh-TW"/>
        </w:rPr>
        <w:t xml:space="preserve">all creditors.”  </w:t>
      </w:r>
      <w:r w:rsidRPr="0012134E">
        <w:rPr>
          <w:rFonts w:ascii="Times New Roman" w:hAnsi="Times New Roman"/>
          <w:i/>
          <w:iCs/>
          <w:szCs w:val="24"/>
          <w:lang w:eastAsia="zh-TW"/>
        </w:rPr>
        <w:t>Id</w:t>
      </w:r>
      <w:r w:rsidRPr="0012134E">
        <w:rPr>
          <w:rFonts w:ascii="Times New Roman" w:hAnsi="Times New Roman"/>
          <w:szCs w:val="24"/>
          <w:lang w:eastAsia="zh-TW"/>
        </w:rPr>
        <w:t>.</w:t>
      </w:r>
      <w:r w:rsidRPr="00E01377">
        <w:rPr>
          <w:rFonts w:ascii="Times New Roman" w:hAnsi="Times New Roman"/>
          <w:szCs w:val="24"/>
          <w:lang w:eastAsia="zh-TW"/>
        </w:rPr>
        <w:t xml:space="preserve"> </w:t>
      </w:r>
    </w:p>
    <w:p w14:paraId="33FF2286" w14:textId="77777777" w:rsidR="00142C55" w:rsidRPr="00E01377" w:rsidRDefault="00142C55" w:rsidP="00E01377">
      <w:pPr>
        <w:widowControl w:val="0"/>
        <w:ind w:firstLine="720"/>
        <w:jc w:val="both"/>
        <w:rPr>
          <w:rFonts w:ascii="Times New Roman" w:hAnsi="Times New Roman"/>
          <w:szCs w:val="24"/>
          <w:lang w:eastAsia="zh-TW"/>
        </w:rPr>
      </w:pPr>
    </w:p>
    <w:p w14:paraId="129E5EF8" w14:textId="5DDC3124" w:rsidR="00E01377" w:rsidRPr="00D3093E" w:rsidRDefault="007C1024" w:rsidP="00410127">
      <w:pPr>
        <w:pStyle w:val="Heading3"/>
        <w:rPr>
          <w:u w:val="single"/>
        </w:rPr>
      </w:pPr>
      <w:hyperlink r:id="rId352" w:history="1">
        <w:bookmarkStart w:id="6539" w:name="_Toc87039437"/>
        <w:bookmarkStart w:id="6540" w:name="_Toc90983833"/>
        <w:r w:rsidR="00E01377" w:rsidRPr="00D3093E">
          <w:rPr>
            <w:rStyle w:val="Hyperlink"/>
          </w:rPr>
          <w:t>IN RE OWENS CORNING, 419 F.3d 195 (3d Cir. 2005)</w:t>
        </w:r>
        <w:bookmarkEnd w:id="6539"/>
        <w:bookmarkEnd w:id="6540"/>
      </w:hyperlink>
      <w:r w:rsidR="00142C55" w:rsidRPr="00D3093E">
        <w:rPr>
          <w:rStyle w:val="Hyperlink"/>
        </w:rPr>
        <w:br/>
      </w:r>
    </w:p>
    <w:p w14:paraId="60ADFCAD" w14:textId="1AD54BAE" w:rsidR="00E01377" w:rsidRPr="00E01377" w:rsidRDefault="00E01377" w:rsidP="0034137D">
      <w:pPr>
        <w:pStyle w:val="0-NORMAL"/>
      </w:pPr>
      <w:r w:rsidRPr="00E01377">
        <w:t>We consider under what circumstances a court exercising bankruptcy powers may substantively consolidate affiliated entities. Appellant Credit Suisse First Boston ("CSFB") is the agent for a syndicate of banks (collectively, the "Banks")</w:t>
      </w:r>
      <w:r w:rsidR="00410127">
        <w:t xml:space="preserve"> </w:t>
      </w:r>
      <w:r w:rsidRPr="00E01377">
        <w:t>that extended in 1997 a $2 billion unsecured loan to Owens Corning, a Delaware corporation ("OCD"), and certain of its subsidiaries. This credit was enhanced in part by guarantees made by other OCD subsidiaries. The District Court granted a motion to consolidate the assets and liabilities of the OCD borrowers</w:t>
      </w:r>
      <w:r w:rsidR="00410127">
        <w:t xml:space="preserve"> </w:t>
      </w:r>
      <w:r w:rsidRPr="00E01377">
        <w:t>and guarantors in anticipation of a plan of reorganization.</w:t>
      </w:r>
    </w:p>
    <w:p w14:paraId="19B81691" w14:textId="77777777" w:rsidR="00E01377" w:rsidRPr="00E01377" w:rsidRDefault="00E01377" w:rsidP="0034137D">
      <w:pPr>
        <w:pStyle w:val="0-NORMAL"/>
      </w:pPr>
      <w:r w:rsidRPr="00E01377">
        <w:t>While this area of law is difficult and this case important, its outcome is easy with the facts before us. Among other problems, the consolidation sought is "deemed." Should we approve this non-consensual arrangement, the plan process would proceed as though assets and liabilities of separate entities were merged, but in fact they remain separate with the twist that the guarantees to the Banks are eliminated. From this we conclude that the proponents of substantive consolidation request it not to rectify the seldom-seen situations that call for this last-resort remedy but rather as a ploy to deprive one group of creditors of their rights while providing a windfall to other creditors.</w:t>
      </w:r>
    </w:p>
    <w:p w14:paraId="23906FC7" w14:textId="77777777" w:rsidR="00E01377" w:rsidRPr="00E01377" w:rsidRDefault="00E01377" w:rsidP="0034137D">
      <w:pPr>
        <w:pStyle w:val="0-NORMAL"/>
      </w:pPr>
      <w:r w:rsidRPr="00E01377">
        <w:t>OCD and its subsidiaries (which include corporations and limited liability companies) comprise a multinational corporate group. Different entities within the group have different purposes. Some, for example, exist to limit liability concerns (such as those related to asbestos), others to gain tax benefits, and others have regulatory reasons for their formation.</w:t>
      </w:r>
    </w:p>
    <w:p w14:paraId="771CF34A" w14:textId="1D5DF264" w:rsidR="00E01377" w:rsidRPr="00E01377" w:rsidRDefault="00E01377" w:rsidP="0034137D">
      <w:pPr>
        <w:pStyle w:val="0-NORMAL"/>
      </w:pPr>
      <w:r w:rsidRPr="00E01377">
        <w:t>Each subsidiary was a separate legal entity that observed governance formalities. Each had a specific reason to exist separately, each maintained its own business records, and intercompany transactions were regularly documented.</w:t>
      </w:r>
      <w:r w:rsidR="009543A8">
        <w:t xml:space="preserve"> </w:t>
      </w:r>
      <w:r w:rsidRPr="00E01377">
        <w:t>Although there may have been some "sloppy" bookkeeping, two of OCD's own officers testified that the financial statements of all the subsidiaries were accurate in all material respects. Further, through an examination of the subsidiaries' books, OCD's postpetition auditors (Ernst &amp; Young) have eliminated most financial discrepancies, particularly with respect to the larger guarantor subsidiaries.</w:t>
      </w:r>
    </w:p>
    <w:p w14:paraId="38DD9DD8" w14:textId="77777777" w:rsidR="00E01377" w:rsidRPr="00E01377" w:rsidRDefault="00E01377" w:rsidP="0034137D">
      <w:pPr>
        <w:pStyle w:val="0-NORMAL"/>
      </w:pPr>
      <w:r w:rsidRPr="00E01377">
        <w:t>In 1997 OCD sought a loan to acquire Fibreboard Corporation. At this time OCD faced growing asbestos liability and a poor credit rating that hindered its ability to obtain financing. When CSFB was invited to submit a bid, it included subsidiary guarantees in the terms of its proposal. The guarantees gave the Banks direct claims against the guarantors for payment defaults. They were a "credit enhancement" without which the Banks would not have made the loan to OCD. All draft loan term sheets included subsidiary guarantees.</w:t>
      </w:r>
    </w:p>
    <w:p w14:paraId="28FD473B" w14:textId="32206DBB" w:rsidR="00E01377" w:rsidRPr="00E01377" w:rsidRDefault="00E01377" w:rsidP="0034137D">
      <w:pPr>
        <w:pStyle w:val="0-NORMAL"/>
      </w:pPr>
      <w:r w:rsidRPr="00E01377">
        <w:t xml:space="preserve">A $2 billion loan from the Banks to OCD closed in June 1997. The loan terms were set out primarily in a Credit Agreement. </w:t>
      </w:r>
      <w:r w:rsidR="009543A8">
        <w:t xml:space="preserve">[Section] </w:t>
      </w:r>
      <w:r w:rsidRPr="00E01377">
        <w:t xml:space="preserve">10.8 </w:t>
      </w:r>
      <w:r w:rsidR="009543A8">
        <w:t xml:space="preserve">[of the Credit Agreement] </w:t>
      </w:r>
      <w:r w:rsidRPr="00E01377">
        <w:t>stated that "the obligations of each guarantor . . . shall not be reduced, limited or terminated, nor shall such guarantor be discharged from any such obligations, for any reason whatsoever," except payment and performance in full or through waiver or amendment of the Credit Agreemen</w:t>
      </w:r>
      <w:r w:rsidR="009543A8">
        <w:t>t.”</w:t>
      </w:r>
    </w:p>
    <w:p w14:paraId="17A25B28" w14:textId="77777777" w:rsidR="00E01377" w:rsidRPr="00E01377" w:rsidRDefault="00E01377" w:rsidP="0034137D">
      <w:pPr>
        <w:pStyle w:val="0-NORMAL"/>
      </w:pPr>
      <w:r w:rsidRPr="00E01377">
        <w:t xml:space="preserve">CSFB negotiated the Credit Agreement expressly to limit the ways in which OCD could deal with its subsidiaries. For example, it could not enter into transactions with a subsidiary that would result in losses to that subsidiary. Importantly, the Credit Agreement contained provisions designed to protect the separateness of OCD and its subsidiaries. The subsidiaries agreed explicitly to maintain themselves as separate entities. To further this agreement, they agreed to keep separate books and financial records in order to prepare separate financial statements…. </w:t>
      </w:r>
    </w:p>
    <w:p w14:paraId="0ACEFA2A" w14:textId="37C80064" w:rsidR="00E01377" w:rsidRPr="00E01377" w:rsidRDefault="00E01377" w:rsidP="0034137D">
      <w:pPr>
        <w:pStyle w:val="0-NORMAL"/>
      </w:pPr>
      <w:r w:rsidRPr="00E01377">
        <w:t>On October 5, 2000, facing mounting asbestos litigation, OCD and seventeen of its</w:t>
      </w:r>
      <w:r w:rsidR="009543A8">
        <w:t xml:space="preserve"> </w:t>
      </w:r>
      <w:r w:rsidRPr="00E01377">
        <w:t>subsidiaries (collectively, the "Debtors") filed for reorganization under Chapter 11 of the Bankruptcy Code</w:t>
      </w:r>
      <w:r w:rsidR="00083725">
        <w:t xml:space="preserve">. </w:t>
      </w:r>
      <w:r w:rsidRPr="00E01377">
        <w:t>Twenty-seven months later, the Debtors and certain unsecured creditor groups (collectively, the "Plan Proponents") proposed a reorganization plan (as amended, the "Plan") predicated on obtaining "substantive consolidation" of the Debtors along with three non-Debtor OCD subsidiaries.</w:t>
      </w:r>
      <w:r w:rsidR="009543A8">
        <w:t xml:space="preserve"> </w:t>
      </w:r>
      <w:r w:rsidRPr="00E01377">
        <w:t>Typically this arrangement pools all assets and liabilities of the subsidiaries into their parent and treats all claims against the subsidiaries as transferred to the parent. In fact, however, the Plan Proponents sought a form of what is known as a "deemed consolidation," under which a consolidation is deemed to exist</w:t>
      </w:r>
      <w:r w:rsidR="009543A8">
        <w:t xml:space="preserve"> </w:t>
      </w:r>
      <w:r w:rsidRPr="00E01377">
        <w:t xml:space="preserve">for purposes of valuing and satisfying creditor claims, voting for or against the Plan, and making distributions for allowed claims under it. Yet "the Plan would not result in the merger of or the transfer or commingling of any assets of any of the Debtors or Non-Debtor Subsidiaries, . . . [which] will continue to be owned by the respective Debtors or Non-Debtors." Despite this, on the Plan's effective date "all guarantees of the Debtors of the obligations of any other Debtor will be deemed eliminated, so that any claim against any such Debtor and any guarantee thereof . . . will be deemed to be one obligation of the Debtors with respect to the consolidated estate." Put another way, "the Plan eliminates the separate obligations of the Subsidiary Debtors arising from the guarant[e]es of the 1997 Credit Agreement." </w:t>
      </w:r>
    </w:p>
    <w:p w14:paraId="415FDF58" w14:textId="45DD0AC3" w:rsidR="00E01377" w:rsidRPr="00E01377" w:rsidRDefault="00E01377" w:rsidP="0034137D">
      <w:pPr>
        <w:pStyle w:val="0-NORMAL"/>
      </w:pPr>
      <w:r w:rsidRPr="00E01377">
        <w:t>The Banks objected to the proposed consolidation…. [The District Court granted the consolidation motion in an order accompanied by a short opinion</w:t>
      </w:r>
      <w:r w:rsidR="009543A8">
        <w:t xml:space="preserve">, </w:t>
      </w:r>
      <w:r w:rsidRPr="00E01377">
        <w:t xml:space="preserve">concluding] </w:t>
      </w:r>
      <w:r w:rsidR="009543A8">
        <w:t>t</w:t>
      </w:r>
      <w:r w:rsidRPr="00E01377">
        <w:t>hat there existed "substantial identity between OCD and its wholly-owned subsidiaries." He further determined that "there [was] simply no basis for a finding that, in extending credit, the Banks relied upon the separate credit of any of the subsidiary guarantors."</w:t>
      </w:r>
      <w:r w:rsidR="009543A8">
        <w:t xml:space="preserve">  </w:t>
      </w:r>
      <w:r w:rsidRPr="00E01377">
        <w:t>In [the District Court’s ] view, it was "also clear that substantive consolidation would greatly simplify and expedite the successful completion of this entire bankruptcy proceeding.</w:t>
      </w:r>
      <w:r w:rsidR="009543A8">
        <w:t xml:space="preserve"> </w:t>
      </w:r>
      <w:r w:rsidRPr="00E01377">
        <w:t>More importantly, it would be exceedingly difficult to untangle the financial affairs of the various entities." As such, he held substantive consolidation should be permitted, as not only did it allow "obvious advantages</w:t>
      </w:r>
      <w:r w:rsidR="009543A8">
        <w:t xml:space="preserve">[, </w:t>
      </w:r>
      <w:r w:rsidRPr="00E01377">
        <w:t>but was] a virtual necessity."</w:t>
      </w:r>
      <w:r w:rsidR="009543A8">
        <w:t xml:space="preserve">  </w:t>
      </w:r>
      <w:r w:rsidRPr="00E01377">
        <w:t>In any event, [the District Court] wrote, "[t]he real issue is whether the Banks are entitled to participate,</w:t>
      </w:r>
      <w:r w:rsidR="009543A8">
        <w:t xml:space="preserve"> </w:t>
      </w:r>
      <w:r w:rsidRPr="00E01377">
        <w:rPr>
          <w:i/>
          <w:iCs/>
        </w:rPr>
        <w:t>pari passu,</w:t>
      </w:r>
      <w:r w:rsidR="009543A8">
        <w:t xml:space="preserve"> </w:t>
      </w:r>
      <w:r w:rsidRPr="00E01377">
        <w:t>with other unsecured creditors, or whether the Banks' claim is entitled to priority, in whole or in part, over the claims of other unsecured creditors."</w:t>
      </w:r>
      <w:r w:rsidR="009543A8">
        <w:t xml:space="preserve"> </w:t>
      </w:r>
      <w:r w:rsidRPr="00E01377">
        <w:t>But this issue, he stated, "cannot now be determined."</w:t>
      </w:r>
    </w:p>
    <w:p w14:paraId="2E8D6923" w14:textId="7CCF7598" w:rsidR="00E01377" w:rsidRPr="00E01377" w:rsidRDefault="00E01377" w:rsidP="0034137D">
      <w:pPr>
        <w:pStyle w:val="0-NORMAL"/>
      </w:pPr>
      <w:r w:rsidRPr="00E01377">
        <w:t>Substantive consolidation exists as an equitable remedy. But when should it be available and by what test should its use be measured? As already noted, we have commented on substantive consolidation only generally in</w:t>
      </w:r>
      <w:r w:rsidR="009543A8">
        <w:t xml:space="preserve"> </w:t>
      </w:r>
      <w:hyperlink r:id="rId353" w:history="1">
        <w:r w:rsidRPr="00E317EB">
          <w:rPr>
            <w:rStyle w:val="Hyperlink"/>
            <w:i/>
            <w:iCs/>
          </w:rPr>
          <w:t>Nesbit,</w:t>
        </w:r>
        <w:r w:rsidR="009543A8" w:rsidRPr="00E317EB">
          <w:rPr>
            <w:rStyle w:val="Hyperlink"/>
            <w:i/>
            <w:iCs/>
          </w:rPr>
          <w:t xml:space="preserve"> </w:t>
        </w:r>
        <w:r w:rsidRPr="00E317EB">
          <w:rPr>
            <w:rStyle w:val="Hyperlink"/>
          </w:rPr>
          <w:t>347 F.3d at 86-88</w:t>
        </w:r>
      </w:hyperlink>
      <w:r w:rsidRPr="00E01377">
        <w:rPr>
          <w:color w:val="1A0DAB"/>
          <w:u w:val="single"/>
        </w:rPr>
        <w:t>,</w:t>
      </w:r>
      <w:r w:rsidR="00E317EB">
        <w:t xml:space="preserve"> </w:t>
      </w:r>
      <w:r w:rsidRPr="00E01377">
        <w:t>and</w:t>
      </w:r>
      <w:r w:rsidR="00E317EB">
        <w:t xml:space="preserve"> </w:t>
      </w:r>
      <w:hyperlink r:id="rId354" w:history="1">
        <w:r w:rsidRPr="00E317EB">
          <w:rPr>
            <w:rStyle w:val="Hyperlink"/>
            <w:i/>
            <w:iCs/>
          </w:rPr>
          <w:t>In re Genesis Health Ventures,</w:t>
        </w:r>
        <w:r w:rsidR="00E317EB">
          <w:rPr>
            <w:rStyle w:val="Hyperlink"/>
          </w:rPr>
          <w:t xml:space="preserve"> </w:t>
        </w:r>
        <w:r w:rsidRPr="00E317EB">
          <w:rPr>
            <w:rStyle w:val="Hyperlink"/>
          </w:rPr>
          <w:t>402 F.3d at 423-24</w:t>
        </w:r>
      </w:hyperlink>
      <w:r w:rsidRPr="00E01377">
        <w:t>. The latter nonetheless left little doubt that, if presented with a choice of analytical avenues, we favor essentially that of</w:t>
      </w:r>
      <w:r w:rsidR="00E317EB">
        <w:t xml:space="preserve"> [the Second Circuit in] </w:t>
      </w:r>
      <w:r w:rsidRPr="00E01377">
        <w:rPr>
          <w:i/>
          <w:iCs/>
        </w:rPr>
        <w:t xml:space="preserve">Augie/Restivo. </w:t>
      </w:r>
      <w:r w:rsidRPr="00E01377">
        <w:t>The</w:t>
      </w:r>
      <w:r w:rsidR="00E317EB">
        <w:t xml:space="preserve"> </w:t>
      </w:r>
      <w:r w:rsidRPr="00E01377">
        <w:rPr>
          <w:i/>
          <w:iCs/>
        </w:rPr>
        <w:t>Auto-Train</w:t>
      </w:r>
      <w:r w:rsidR="00E317EB">
        <w:t xml:space="preserve"> </w:t>
      </w:r>
      <w:r w:rsidRPr="00E01377">
        <w:t>approach (requiring "substantial identity" of entities to be consolidated, plus that consolidation is "necessary to avoid some harm or realize some benefit,"</w:t>
      </w:r>
      <w:r w:rsidR="00E317EB">
        <w:t xml:space="preserve"> </w:t>
      </w:r>
      <w:r w:rsidRPr="00E01377">
        <w:t>adopts, we presume, one of the</w:t>
      </w:r>
      <w:r w:rsidR="00E317EB">
        <w:t xml:space="preserve"> </w:t>
      </w:r>
      <w:r w:rsidRPr="00E01377">
        <w:rPr>
          <w:i/>
          <w:iCs/>
        </w:rPr>
        <w:t>Augie/Restivo</w:t>
      </w:r>
      <w:r w:rsidR="00E317EB">
        <w:t xml:space="preserve"> </w:t>
      </w:r>
      <w:r w:rsidRPr="00E01377">
        <w:t>touchstones for substantive consolidation while adding the low bar of avoiding some harm or discerning some benefit by consolidation. To us this fails to capture completely the few times substantive consolidation may be considered and then, when it does hit one chord, it allows a threshold not sufficiently egregious and too imprecise for easy measure. For example, we disagree that "[i]f a creditor makes [a showing of reliance on separateness], the court may order consolidation if it determines that the demonstrated benefits of consolidation `heavily' outweigh the harm."</w:t>
      </w:r>
      <w:r w:rsidR="00E317EB">
        <w:t xml:space="preserve"> </w:t>
      </w:r>
      <w:r w:rsidRPr="00E01377">
        <w:t>If an objecting creditor relied on the separateness of the entities, consolidation cannot be justified</w:t>
      </w:r>
      <w:r w:rsidR="00E317EB">
        <w:t xml:space="preserve"> </w:t>
      </w:r>
      <w:r w:rsidRPr="00E01377">
        <w:rPr>
          <w:i/>
          <w:iCs/>
        </w:rPr>
        <w:t>vis-à-vis</w:t>
      </w:r>
      <w:r w:rsidR="00E317EB">
        <w:t xml:space="preserve"> </w:t>
      </w:r>
      <w:r w:rsidRPr="00E01377">
        <w:t xml:space="preserve">the claims of that creditor. </w:t>
      </w:r>
    </w:p>
    <w:p w14:paraId="020739D0" w14:textId="3A5D549E" w:rsidR="00E01377" w:rsidRPr="00E01377" w:rsidRDefault="00E01377" w:rsidP="0034137D">
      <w:pPr>
        <w:pStyle w:val="0-NORMAL"/>
      </w:pPr>
      <w:r w:rsidRPr="00E01377">
        <w:t>In assessing whether to order substantive consolidation, courts consider many factors …. They vary (with degrees of overlap) from court to court. Rather than endorsing any prefixed factors, in</w:t>
      </w:r>
      <w:r w:rsidR="00E317EB">
        <w:t xml:space="preserve"> </w:t>
      </w:r>
      <w:r w:rsidRPr="00E01377">
        <w:rPr>
          <w:i/>
          <w:iCs/>
        </w:rPr>
        <w:t>Nesbit</w:t>
      </w:r>
      <w:r w:rsidR="00E317EB">
        <w:t xml:space="preserve"> </w:t>
      </w:r>
      <w:r w:rsidRPr="00E01377">
        <w:t>we "adopt[ed] an intentionally open-ended, equitable inquiry . . . to determine when substantively to consolidate two entities."</w:t>
      </w:r>
      <w:r w:rsidR="00E317EB">
        <w:t xml:space="preserve"> </w:t>
      </w:r>
      <w:r w:rsidRPr="00E01377">
        <w:t>While we mentioned that "in the bankruptcy context the inquiry focuses primarily on financial entanglement,"</w:t>
      </w:r>
      <w:r w:rsidR="00E317EB">
        <w:t xml:space="preserve"> </w:t>
      </w:r>
      <w:r w:rsidRPr="00E01377">
        <w:rPr>
          <w:i/>
          <w:iCs/>
        </w:rPr>
        <w:t>id.,</w:t>
      </w:r>
      <w:r w:rsidR="00E317EB">
        <w:t xml:space="preserve"> </w:t>
      </w:r>
      <w:r w:rsidRPr="00E01377">
        <w:t>this comment primarily related to the hopeless commingling test of substantive consolidation. But when creditors deal with entities as an indivisible, single party, "the line between operational and financial [factors] may be blurred."</w:t>
      </w:r>
      <w:r w:rsidR="00E317EB">
        <w:t xml:space="preserve"> </w:t>
      </w:r>
      <w:r w:rsidRPr="00E01377">
        <w:t>We reiterate that belief here. Too often the factors in a checklist fail to separate the unimportant from the important, or even to set out a standard to make the attempt</w:t>
      </w:r>
      <w:r w:rsidR="00E317EB">
        <w:t xml:space="preserve">. </w:t>
      </w:r>
      <w:r w:rsidRPr="00E01377">
        <w:t>This often results in rote following of a form containing factors where courts tally up and spit out a score without an eye on the principles that give the rationale for substantive consolidation (and why, as a result, it should so seldom be in play).</w:t>
      </w:r>
      <w:r w:rsidR="00E317EB">
        <w:t xml:space="preserve"> </w:t>
      </w:r>
      <w:r w:rsidRPr="00E01377">
        <w:t>"Differing tests with a myriad of factors run the risk that courts will miss the forest for the trees. Running down factors as a check list can lead a court to lose sight of why we have substantive consolidation in the first instance</w:t>
      </w:r>
      <w:r w:rsidR="00E317EB">
        <w:t xml:space="preserve">, </w:t>
      </w:r>
      <w:r w:rsidRPr="00E01377">
        <w:t>and often fail [to] identify a metric by which [it] can ... [assess] the relative importance among the factors. The ... [result is] resort to ad hoc balancing without a steady eye on the [principles] to be advanced.").</w:t>
      </w:r>
    </w:p>
    <w:p w14:paraId="6A4188B9" w14:textId="77777777" w:rsidR="00E01377" w:rsidRPr="00E01377" w:rsidRDefault="00E01377" w:rsidP="0034137D">
      <w:pPr>
        <w:pStyle w:val="0-NORMAL"/>
      </w:pPr>
      <w:r w:rsidRPr="00E01377">
        <w:t>What, then, are those principles? We perceive them to be as follows.</w:t>
      </w:r>
    </w:p>
    <w:p w14:paraId="6F2708D5" w14:textId="6F40F9DC" w:rsidR="00E01377" w:rsidRPr="00E01377" w:rsidRDefault="00E01377" w:rsidP="0034137D">
      <w:pPr>
        <w:pStyle w:val="0-NORMAL"/>
      </w:pPr>
      <w:r w:rsidRPr="00E01377">
        <w:t>(1) Limiting the cross-creep of liability by respecting entity separateness is a "fundamental ground rule[]."As a result, the general expectation of state law and of the Bankruptcy Code, and thus of commercial markets, is that courts respect entity separateness absent compelling circumstances calling equity (and even then only possibly substantive consolidation) into play.</w:t>
      </w:r>
    </w:p>
    <w:p w14:paraId="478ACC3D" w14:textId="1FC85FF3" w:rsidR="00E01377" w:rsidRPr="00E01377" w:rsidRDefault="00E01377" w:rsidP="0034137D">
      <w:pPr>
        <w:pStyle w:val="0-NORMAL"/>
      </w:pPr>
      <w:r w:rsidRPr="00E01377">
        <w:t>(2) The harms substantive consolidation addresses are nearly always those caused by</w:t>
      </w:r>
      <w:r w:rsidR="003F37F1">
        <w:t xml:space="preserve"> </w:t>
      </w:r>
      <w:r w:rsidRPr="00E01377">
        <w:rPr>
          <w:i/>
          <w:iCs/>
        </w:rPr>
        <w:t>debtors</w:t>
      </w:r>
      <w:r w:rsidR="003F37F1">
        <w:t xml:space="preserve"> </w:t>
      </w:r>
      <w:r w:rsidRPr="00E01377">
        <w:t>(and entities they control) who disregard separateness.</w:t>
      </w:r>
      <w:r w:rsidR="003F37F1">
        <w:t xml:space="preserve"> </w:t>
      </w:r>
      <w:r w:rsidRPr="00E01377">
        <w:t>Harms caused by creditors typically are remedied by provisions found in the Bankruptcy Code (</w:t>
      </w:r>
      <w:r w:rsidRPr="00E01377">
        <w:rPr>
          <w:i/>
          <w:iCs/>
        </w:rPr>
        <w:t>e.g.,</w:t>
      </w:r>
      <w:r w:rsidR="003F37F1">
        <w:t xml:space="preserve"> </w:t>
      </w:r>
      <w:r w:rsidRPr="00E01377">
        <w:t>fraudulent transfers, §§ 548 and 544(b)(1), and equitable subordination, § 510(c)).</w:t>
      </w:r>
    </w:p>
    <w:p w14:paraId="32CA198D" w14:textId="77777777" w:rsidR="00E01377" w:rsidRPr="00E01377" w:rsidRDefault="00E01377" w:rsidP="0034137D">
      <w:pPr>
        <w:pStyle w:val="0-NORMAL"/>
      </w:pPr>
      <w:r w:rsidRPr="00E01377">
        <w:t>(3) Mere benefit to the administration of the case (for example, allowing a court to simplify a case by avoiding other issues or to make postpetition accounting more convenient) is hardly a harm calling substantive consolidation into play.</w:t>
      </w:r>
    </w:p>
    <w:p w14:paraId="0E430473" w14:textId="77777777" w:rsidR="00E01377" w:rsidRPr="00E01377" w:rsidRDefault="00E01377" w:rsidP="0034137D">
      <w:pPr>
        <w:pStyle w:val="0-NORMAL"/>
      </w:pPr>
      <w:r w:rsidRPr="00E01377">
        <w:t>(4) Indeed, because substantive consolidation is extreme (it may affect profoundly creditors' rights and recoveries) and imprecise, this "rough justice" remedy should be rare and, in any event, one of last resort after considering and rejecting other remedies (for example, the possibility of more precise remedies conferred by the Bankruptcy Code).</w:t>
      </w:r>
    </w:p>
    <w:p w14:paraId="3C0E7B88" w14:textId="77777777" w:rsidR="00E01377" w:rsidRPr="00E01377" w:rsidRDefault="00E01377" w:rsidP="0034137D">
      <w:pPr>
        <w:pStyle w:val="0-NORMAL"/>
      </w:pPr>
      <w:r w:rsidRPr="00E01377">
        <w:t>(5) While substantive consolidation may be used defensively to remedy the identifiable harms caused by entangled affairs, it may not be used offensively (for example, having a primary purpose to disadvantage tactically a group of creditors in the plan process or to alter creditor rights).</w:t>
      </w:r>
    </w:p>
    <w:p w14:paraId="12A5DC63" w14:textId="77777777" w:rsidR="00E01377" w:rsidRPr="00E01377" w:rsidRDefault="00E01377" w:rsidP="0034137D">
      <w:pPr>
        <w:pStyle w:val="0-NORMAL"/>
      </w:pPr>
      <w:r w:rsidRPr="00E01377">
        <w:t xml:space="preserve">The upshot is this. In our Court what must be proven (absent consent) concerning the entities for whom substantive consolidation is sought is that (i) prepetition they disregarded separateness so significantly their creditors relied on the breakdown of entity borders and treated them as one legal entity, or (ii) postpetition their assets and liabilities are so scrambled that separating them is prohibitive and hurts all creditors. </w:t>
      </w:r>
    </w:p>
    <w:p w14:paraId="00047C7D" w14:textId="08BA0FC8" w:rsidR="00E01377" w:rsidRPr="00E01377" w:rsidRDefault="00E01377" w:rsidP="0034137D">
      <w:pPr>
        <w:pStyle w:val="0-NORMAL"/>
      </w:pPr>
      <w:r w:rsidRPr="00E01377">
        <w:t>Proponents of substantive consolidation have the burden of showing one or the other rationale for consolidation. The second rationale needs no explanation. The first, however, is more nuanced. A</w:t>
      </w:r>
      <w:r w:rsidR="003F37F1">
        <w:t xml:space="preserve"> </w:t>
      </w:r>
      <w:r w:rsidRPr="00E01377">
        <w:rPr>
          <w:i/>
          <w:iCs/>
        </w:rPr>
        <w:t>prima facie</w:t>
      </w:r>
      <w:r w:rsidR="003F37F1">
        <w:t xml:space="preserve"> </w:t>
      </w:r>
      <w:r w:rsidRPr="00E01377">
        <w:t>case for it typically exists when, based on the parties' prepetition dealings, a proponent proves corporate disregard creating contractual expectations of creditors</w:t>
      </w:r>
      <w:r w:rsidR="003F37F1">
        <w:t xml:space="preserve"> </w:t>
      </w:r>
      <w:r w:rsidRPr="00E01377">
        <w:t>that they were dealing with debtors as one indistinguishable entity</w:t>
      </w:r>
      <w:r w:rsidR="00083725">
        <w:t xml:space="preserve">. </w:t>
      </w:r>
      <w:r w:rsidRPr="00E01377">
        <w:t>Proponents who are creditors must also show that, in their prepetition course of dealing, they actually and reasonably relied on debtors' supposed unity</w:t>
      </w:r>
      <w:r w:rsidR="003F37F1">
        <w:t>.</w:t>
      </w:r>
      <w:r w:rsidRPr="00E01377">
        <w:t xml:space="preserve"> Creditor opponents of consolidation can nonetheless defeat a</w:t>
      </w:r>
      <w:r w:rsidR="003F37F1">
        <w:t xml:space="preserve"> </w:t>
      </w:r>
      <w:r w:rsidRPr="00E01377">
        <w:rPr>
          <w:i/>
          <w:iCs/>
        </w:rPr>
        <w:t>prima facie</w:t>
      </w:r>
      <w:r w:rsidR="003F37F1">
        <w:t xml:space="preserve"> </w:t>
      </w:r>
      <w:r w:rsidRPr="00E01377">
        <w:t xml:space="preserve">showing under the first rationale if they can prove they are adversely affected and actually relied on debtors' separate existence. </w:t>
      </w:r>
    </w:p>
    <w:p w14:paraId="76331151" w14:textId="77777777" w:rsidR="00E01377" w:rsidRPr="00E01377" w:rsidRDefault="00E01377" w:rsidP="0034137D">
      <w:pPr>
        <w:pStyle w:val="0-NORMAL"/>
      </w:pPr>
      <w:r w:rsidRPr="00E01377">
        <w:t>With the principles we perceive underlie use of substantive consolidation, the outcome of this appeal is apparent at the outset. Substantive consolidation fails to fit the facts of our case and, in any event, a "deemed" consolidation cuts against the grain of all the principles.</w:t>
      </w:r>
    </w:p>
    <w:p w14:paraId="202C4FBB" w14:textId="77777777" w:rsidR="00E01377" w:rsidRPr="00E01377" w:rsidRDefault="00E01377" w:rsidP="0034137D">
      <w:pPr>
        <w:pStyle w:val="0-NORMAL"/>
      </w:pPr>
      <w:r w:rsidRPr="00E01377">
        <w:t>To begin, the Banks did the "deal world" equivalent of "Lending 101." They loaned $2 billion to OCD and enhanced the credit of that unsecured loan indirectly by subsidiary guarantees covering less than half the initial debt. What the Banks got in lending lingo was "structural seniority"—a direct claim against the guarantors (and thus against their assets levied on once a judgment is obtained) that other creditors of OCD did not have. This kind of lending occurs every business day. To undo this bargain is a demanding task.</w:t>
      </w:r>
    </w:p>
    <w:p w14:paraId="5D6E3E33" w14:textId="2FF55761" w:rsidR="00E01377" w:rsidRPr="00E01377" w:rsidRDefault="00E01377" w:rsidP="0034137D">
      <w:pPr>
        <w:pStyle w:val="0-NORMAL"/>
      </w:pPr>
      <w:r w:rsidRPr="00E01377">
        <w:t>Despite the Plan Proponents' pleas to the contrary, there is no evidence of the prepetition disregard of the OCD entities' separateness. To the contrary, OCD (no less than CSFB) negotiated the 1997 lending transaction premised on the separateness of all OCD affiliates. Even today no allegation exists of bad faith by anyone concerning the loan.</w:t>
      </w:r>
      <w:r w:rsidR="003F37F1">
        <w:t xml:space="preserve"> </w:t>
      </w:r>
      <w:r w:rsidRPr="00E01377">
        <w:t>In this context, OCD and the other Plan Proponents cannot now ignore, or have us ignore, the very ground rules OCD put in place. Playing by these rules means that obtaining the guarantees of separate entities, made separate</w:t>
      </w:r>
      <w:r w:rsidR="003F37F1">
        <w:t xml:space="preserve"> </w:t>
      </w:r>
      <w:r w:rsidRPr="00E01377">
        <w:t xml:space="preserve">by OCD's choice of how to structure the affairs of its affiliate group of companies, entitles a lender, in bankruptcy or out, to look to any (or all) guarantor(s) for payment when the time comes. As such, the District Court's conclusions of "substantial identity" of OCD and its subsidiaries, and the Banks' reliance thereon, are incorrect. For example, testimony presented by both the Banks and the Debtors makes plain the parties' intention to treat the entities separately. CSFB presented testimony from attorneys and bankers involved in negotiating the Credit Agreement that reflected their assessment of the value of the guarantees as partially derived from the separateness of the entities. As OCD concedes, these representatives "testified that the guarant[e]es were intended to provide `structural seniority' to the banks," and were thus fundamentally premised on an assumption of separateness. </w:t>
      </w:r>
    </w:p>
    <w:p w14:paraId="695520FD" w14:textId="395BE7ED" w:rsidR="00E01377" w:rsidRPr="00E01377" w:rsidRDefault="00E01377" w:rsidP="0034137D">
      <w:pPr>
        <w:pStyle w:val="0-NORMAL"/>
      </w:pPr>
      <w:r w:rsidRPr="00E01377">
        <w:t>Even assuming the Plan Proponents could prove prepetition disregard of Debtors' corporate forms, we cannot conceive of a justification for imposing the rule that a creditor must obtain financial statements from a debtor in order to rely reasonably on the separateness of that debtor. Creditors are free to employ whatever metrics</w:t>
      </w:r>
      <w:r w:rsidR="003F37F1">
        <w:t xml:space="preserve"> </w:t>
      </w:r>
      <w:r w:rsidRPr="00E01377">
        <w:t>they believe appropriate in deciding whether to extend credit free of court oversight. We agree with the Banks that "the reliance inquiry is not an inquiry into lenders' internal credit metrics. Rather, it is about the</w:t>
      </w:r>
      <w:r w:rsidR="003F37F1">
        <w:t xml:space="preserve"> </w:t>
      </w:r>
      <w:r w:rsidRPr="00E01377">
        <w:rPr>
          <w:i/>
          <w:iCs/>
        </w:rPr>
        <w:t>fact</w:t>
      </w:r>
      <w:r w:rsidR="003F37F1">
        <w:t xml:space="preserve"> </w:t>
      </w:r>
      <w:r w:rsidRPr="00E01377">
        <w:t>that the credit decision was made in reliance on the existence of separate entities." Here there is no serious dispute as to that fact.</w:t>
      </w:r>
    </w:p>
    <w:p w14:paraId="730262E9" w14:textId="77777777" w:rsidR="00E01377" w:rsidRPr="00E01377" w:rsidRDefault="00E01377" w:rsidP="0034137D">
      <w:pPr>
        <w:pStyle w:val="0-NORMAL"/>
      </w:pPr>
      <w:r w:rsidRPr="00E01377">
        <w:t>There also is no meaningful evidence postpetition of hopeless commingling of Debtors' assets and liabilities. Indeed, there is no question which entity owns which principal assets and has which material liabilities. Likely for this reason little time is spent by the parties on this alternative test for substantive consolidation. It is similarly likely that the District Court followed suit.</w:t>
      </w:r>
    </w:p>
    <w:p w14:paraId="3D996EE5" w14:textId="33E68FE6" w:rsidR="00E01377" w:rsidRPr="00E01377" w:rsidRDefault="00E01377" w:rsidP="0034137D">
      <w:pPr>
        <w:pStyle w:val="0-NORMAL"/>
      </w:pPr>
      <w:r w:rsidRPr="00E01377">
        <w:t>The Court nonetheless erred in concluding that the commingling of assets will justify consolidation when "the affairs of the two companies are so entangled that consolidation </w:t>
      </w:r>
      <w:r w:rsidRPr="00E01377">
        <w:rPr>
          <w:i/>
          <w:iCs/>
        </w:rPr>
        <w:t>will be beneficial."</w:t>
      </w:r>
      <w:r w:rsidR="003F37F1">
        <w:rPr>
          <w:i/>
          <w:iCs/>
        </w:rPr>
        <w:t xml:space="preserve"> </w:t>
      </w:r>
      <w:r w:rsidRPr="00E01377">
        <w:t>As we have explained, commingling justifies consolidation only when separately accounting for the assets and liabilities of the distinct entities will reduce the recovery of</w:t>
      </w:r>
      <w:r w:rsidR="003F37F1">
        <w:t xml:space="preserve"> </w:t>
      </w:r>
      <w:r w:rsidRPr="00E01377">
        <w:rPr>
          <w:i/>
          <w:iCs/>
        </w:rPr>
        <w:t>every</w:t>
      </w:r>
      <w:r w:rsidR="003F37F1">
        <w:t xml:space="preserve"> </w:t>
      </w:r>
      <w:r w:rsidRPr="00E01377">
        <w:t>creditor—that is, when every creditor will benefit from the consolidation. Moreover, the benefit to creditors should be from cost savings that make assets available rather than from the shifting of assets to benefit one group of creditors at the expense of another. Mere benefit to some creditors, or administrative benefit to the Court, falls far short. The District Court's test not only fails to adhere to the theoretical justification for "hopeless commingling" consolidation— that no creditor's rights will be impaired— but also suffers from the infirmity that it will almost always be met. That is, substantive consolidation will nearly always produce some benefit to some in the form of simplification and/or avoidance of costs. Among other things, following such a path misapprehends the degree of harm required to order substantive consolidation.</w:t>
      </w:r>
    </w:p>
    <w:p w14:paraId="32373675" w14:textId="3DDF353D" w:rsidR="00E01377" w:rsidRPr="00E01377" w:rsidRDefault="00E01377" w:rsidP="0034137D">
      <w:pPr>
        <w:pStyle w:val="0-NORMAL"/>
      </w:pPr>
      <w:r w:rsidRPr="00E01377">
        <w:t xml:space="preserve">Neither the impossibility of perfection in untangling the affairs of the entities nor the likelihood of some inaccuracies in efforts to do so is sufficient to justify consolidation. </w:t>
      </w:r>
      <w:r w:rsidRPr="003F37F1">
        <w:t>We find</w:t>
      </w:r>
      <w:r w:rsidR="003F37F1" w:rsidRPr="003F37F1">
        <w:t xml:space="preserve"> </w:t>
      </w:r>
      <w:hyperlink r:id="rId355" w:history="1">
        <w:r w:rsidRPr="003F37F1">
          <w:rPr>
            <w:rStyle w:val="Hyperlink"/>
            <w:i/>
            <w:iCs/>
          </w:rPr>
          <w:t>In re World Access, Inc</w:t>
        </w:r>
        <w:r w:rsidRPr="003F37F1">
          <w:rPr>
            <w:rStyle w:val="Hyperlink"/>
          </w:rPr>
          <w:t>., 301 B.R. 217 (Bankr.</w:t>
        </w:r>
        <w:r w:rsidR="003F37F1">
          <w:rPr>
            <w:rStyle w:val="Hyperlink"/>
          </w:rPr>
          <w:t xml:space="preserve"> N</w:t>
        </w:r>
        <w:r w:rsidRPr="003F37F1">
          <w:rPr>
            <w:rStyle w:val="Hyperlink"/>
          </w:rPr>
          <w:t>.D.</w:t>
        </w:r>
        <w:r w:rsidR="003F37F1">
          <w:rPr>
            <w:rStyle w:val="Hyperlink"/>
          </w:rPr>
          <w:t xml:space="preserve"> </w:t>
        </w:r>
        <w:r w:rsidRPr="003F37F1">
          <w:rPr>
            <w:rStyle w:val="Hyperlink"/>
          </w:rPr>
          <w:t>Ill.2003)</w:t>
        </w:r>
      </w:hyperlink>
      <w:r w:rsidRPr="003F37F1">
        <w:t>,</w:t>
      </w:r>
      <w:r w:rsidR="003F37F1">
        <w:t xml:space="preserve"> </w:t>
      </w:r>
      <w:r w:rsidRPr="003F37F1">
        <w:t>instructive on this point. In</w:t>
      </w:r>
      <w:r w:rsidR="003F37F1">
        <w:t xml:space="preserve"> </w:t>
      </w:r>
      <w:r w:rsidRPr="003F37F1">
        <w:rPr>
          <w:i/>
          <w:iCs/>
        </w:rPr>
        <w:t>World Access</w:t>
      </w:r>
      <w:r w:rsidR="003F37F1">
        <w:rPr>
          <w:i/>
          <w:iCs/>
        </w:rPr>
        <w:t xml:space="preserve"> </w:t>
      </w:r>
      <w:r w:rsidRPr="00E01377">
        <w:t>the Court noted that the controlling entity "had no uniform guidelines for the recording of intercompany interest charges" and that the debtors failed to "allocate overhead charges amongst themselves." The Court held, however, that those accounting shortcomings were "merely imperfections in a sophisticated system of accounting records that were conscientiously maintained."</w:t>
      </w:r>
      <w:r w:rsidR="003F37F1">
        <w:rPr>
          <w:i/>
          <w:iCs/>
        </w:rPr>
        <w:t xml:space="preserve"> </w:t>
      </w:r>
      <w:r w:rsidRPr="00E01377">
        <w:t xml:space="preserve"> It ultimately concluded that "all the relevant accounting data ... still exist[ed]," that only a "reasonable review to make any necessary adjustments [was] required," and, thus, that substantive consolidation was not warranted.</w:t>
      </w:r>
    </w:p>
    <w:p w14:paraId="0B30F6C1" w14:textId="567F3814" w:rsidR="00E01377" w:rsidRPr="00E01377" w:rsidRDefault="00E01377" w:rsidP="0034137D">
      <w:pPr>
        <w:pStyle w:val="0-NORMAL"/>
      </w:pPr>
      <w:r w:rsidRPr="00E01377">
        <w:t>The record in our case compels the same conclusion. At its core, Debtors' argument amounts to the contention that because intercompany interest and royalty payments were not perfectly accounted for, untangling the finances of those entities is a hopeless endeavor. Yet imperfection in intercompany accounting is assuredly not atypical in large, complex company structures. For obvious reasons, we are loathe to entertain the argument that complex corporate families should have an expanded substantive consolidation option in bankruptcy. And we find no reason to doubt that "perfection is not the standard in the substantive consolidation context."</w:t>
      </w:r>
      <w:r w:rsidR="0077557A">
        <w:t xml:space="preserve"> </w:t>
      </w:r>
      <w:r w:rsidRPr="00E01377">
        <w:t>We are confident that a court could properly order and oversee an accounting process that would sufficiently account for the interest and royalty payments owed among the OCD group of companies for purposes of evaluating intercompany claims—dealing with inaccuracies and difficulties as they arise and not in hypothetical abstractions.</w:t>
      </w:r>
    </w:p>
    <w:p w14:paraId="2301D7F7" w14:textId="77777777" w:rsidR="00E01377" w:rsidRPr="00E01377" w:rsidRDefault="00E01377" w:rsidP="0034137D">
      <w:pPr>
        <w:pStyle w:val="0-NORMAL"/>
      </w:pPr>
      <w:r w:rsidRPr="00E01377">
        <w:t>Other considerations drawn from the principles we set out also counsel strongly against consolidation. First of all, holding out the possibility of later giving priority to the Banks on their claims does not cure an improvident grant of substantive consolidation. Among other things, the prerequisites for this last-resort remedy must still be met no matter the priority of the Banks' claims.</w:t>
      </w:r>
    </w:p>
    <w:p w14:paraId="18C6E371" w14:textId="77777777" w:rsidR="00E01377" w:rsidRPr="00E01377" w:rsidRDefault="00E01377" w:rsidP="0034137D">
      <w:pPr>
        <w:pStyle w:val="0-NORMAL"/>
      </w:pPr>
      <w:r w:rsidRPr="00E01377">
        <w:t xml:space="preserve">Secondly, substantive consolidation should be used defensively to remedy identifiable harms, not offensively to achieve advantage over one group in the plan negotiation process (for example, by deeming assets redistributed to negate plan voting rights), nor a "free pass" to spare Debtors or any other group from proving challenges, like fraudulent transfer claims, that are liberally brandished to scare yet are hard to show. If the Banks are so vulnerable to the fraudulent transfer challenges Debtors have teed up (but have not swung at for so long), then the game should be played to the finish in that arena. </w:t>
      </w:r>
    </w:p>
    <w:p w14:paraId="21102F2F" w14:textId="58C1D199" w:rsidR="00E01377" w:rsidRPr="00E01377" w:rsidRDefault="00E01377" w:rsidP="0034137D">
      <w:pPr>
        <w:pStyle w:val="0-NORMAL"/>
      </w:pPr>
      <w:r w:rsidRPr="00E01377">
        <w:t>But perhaps the flaw most fatal to the Plan Proponents' proposal is that the consolidation sought was "deemed" (</w:t>
      </w:r>
      <w:r w:rsidRPr="00E01377">
        <w:rPr>
          <w:i/>
          <w:iCs/>
        </w:rPr>
        <w:t>i.e.,</w:t>
      </w:r>
      <w:r w:rsidR="0077557A">
        <w:t xml:space="preserve"> </w:t>
      </w:r>
      <w:r w:rsidRPr="00E01377">
        <w:t>a pretend consolidation for all but the Banks). If Debtors' corporate and financial structure was such a sham before the filing of the motion to consolidate, then how is it that post the Plan's effective date this structure stays largely undisturbed, with the Debtors reaping all the liability-limiting, tax and regulatory benefits achieved by forming subsidiaries in the first place? In effect, the Plan Proponents seek to remake substantive consolidation not as a remedy, but rather a stratagem to "deem" separate resources reallocated to OCD to strip the Banks of rights under the Bankruptcy Code, favor other creditors, and yet trump possible Plan objections by the Banks. Such "deemed" schemes we deem not Hoyle.</w:t>
      </w:r>
    </w:p>
    <w:p w14:paraId="36EC606B" w14:textId="433F0769" w:rsidR="00E01377" w:rsidRPr="00E01377" w:rsidRDefault="00E01377" w:rsidP="0034137D">
      <w:pPr>
        <w:pStyle w:val="0-NORMAL"/>
      </w:pPr>
      <w:r w:rsidRPr="00E01377">
        <w:t>We thus reverse and remand this case to the District Court.</w:t>
      </w: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7B168DE9" w14:textId="6313E1F2" w:rsidR="00412DD0" w:rsidRPr="007E61C1" w:rsidRDefault="00AB4BE5" w:rsidP="007E61C1">
      <w:pPr>
        <w:pStyle w:val="APPENDIX"/>
        <w:numPr>
          <w:ilvl w:val="0"/>
          <w:numId w:val="0"/>
        </w:numPr>
      </w:pPr>
      <w:bookmarkStart w:id="6541" w:name="OLE_LINK220"/>
      <w:bookmarkStart w:id="6542" w:name="_Toc90983834"/>
      <w:r w:rsidRPr="007E61C1">
        <w:t xml:space="preserve">Appendix </w:t>
      </w:r>
      <w:bookmarkEnd w:id="6541"/>
      <w:r w:rsidR="007E61C1" w:rsidRPr="007E61C1">
        <w:t xml:space="preserve">A. </w:t>
      </w:r>
      <w:hyperlink r:id="rId356" w:history="1">
        <w:bookmarkStart w:id="6543" w:name="_Toc87039438"/>
        <w:bookmarkStart w:id="6544" w:name="_Toc79697679"/>
        <w:bookmarkStart w:id="6545" w:name="_Toc79695433"/>
        <w:bookmarkStart w:id="6546" w:name="_Toc79694801"/>
        <w:bookmarkStart w:id="6547" w:name="_Toc79693528"/>
        <w:bookmarkStart w:id="6548" w:name="_Toc79693848"/>
        <w:bookmarkStart w:id="6549" w:name="_Toc79699350"/>
        <w:bookmarkStart w:id="6550" w:name="_Toc79699676"/>
        <w:bookmarkStart w:id="6551" w:name="_Toc79700014"/>
        <w:r w:rsidR="00412DD0" w:rsidRPr="007E61C1">
          <w:rPr>
            <w:rStyle w:val="Hyperlink"/>
            <w:color w:val="auto"/>
          </w:rPr>
          <w:t>The Fair Debt Collection Practices Act</w:t>
        </w:r>
        <w:bookmarkEnd w:id="6542"/>
        <w:bookmarkEnd w:id="6543"/>
        <w:bookmarkEnd w:id="6544"/>
        <w:bookmarkEnd w:id="6545"/>
        <w:bookmarkEnd w:id="6546"/>
        <w:bookmarkEnd w:id="6547"/>
        <w:bookmarkEnd w:id="6548"/>
        <w:bookmarkEnd w:id="6549"/>
        <w:bookmarkEnd w:id="6550"/>
        <w:bookmarkEnd w:id="6551"/>
      </w:hyperlink>
    </w:p>
    <w:p w14:paraId="675D2689" w14:textId="7B9C560B" w:rsidR="00412DD0" w:rsidRPr="0034137D" w:rsidRDefault="00412DD0" w:rsidP="00412DD0">
      <w:pPr>
        <w:jc w:val="center"/>
        <w:rPr>
          <w:rFonts w:ascii="Times New Roman" w:hAnsi="Times New Roman"/>
          <w:szCs w:val="24"/>
        </w:rPr>
      </w:pPr>
      <w:r w:rsidRPr="0034137D">
        <w:rPr>
          <w:rFonts w:ascii="Times New Roman" w:hAnsi="Times New Roman"/>
          <w:szCs w:val="24"/>
        </w:rPr>
        <w:t>15 U.S.C. 1601 et seq</w:t>
      </w:r>
    </w:p>
    <w:p w14:paraId="2B4F2892" w14:textId="54923D74" w:rsidR="00412DD0" w:rsidRPr="0034137D" w:rsidRDefault="00412DD0" w:rsidP="00412DD0">
      <w:pPr>
        <w:jc w:val="center"/>
        <w:rPr>
          <w:rFonts w:ascii="Times New Roman" w:hAnsi="Times New Roman"/>
          <w:b/>
          <w:szCs w:val="24"/>
        </w:rPr>
      </w:pPr>
      <w:r w:rsidRPr="0034137D">
        <w:rPr>
          <w:rFonts w:ascii="Times New Roman" w:hAnsi="Times New Roman"/>
          <w:b/>
          <w:szCs w:val="24"/>
        </w:rPr>
        <w:t>[Note: bolding has been added to the original text.]</w:t>
      </w:r>
    </w:p>
    <w:p w14:paraId="16D42582" w14:textId="77777777" w:rsidR="00412DD0" w:rsidRPr="0034137D" w:rsidRDefault="00412DD0" w:rsidP="00412DD0">
      <w:pPr>
        <w:jc w:val="both"/>
        <w:rPr>
          <w:rStyle w:val="Strong"/>
          <w:rFonts w:ascii="Times New Roman" w:hAnsi="Times New Roman"/>
          <w:szCs w:val="24"/>
        </w:rPr>
      </w:pPr>
      <w:r w:rsidRPr="0034137D">
        <w:rPr>
          <w:rFonts w:ascii="Times New Roman" w:hAnsi="Times New Roman"/>
          <w:szCs w:val="24"/>
        </w:rPr>
        <w:t>[T]he Consumer Credit Protection Act (15 U.S.C. 1601 et seq.) is amended by adding at the end thereof the following new title:</w:t>
      </w:r>
    </w:p>
    <w:p w14:paraId="63AFB61B" w14:textId="1409A98A" w:rsidR="00412DD0" w:rsidRPr="0034137D" w:rsidRDefault="00412DD0" w:rsidP="00312B56">
      <w:pPr>
        <w:pStyle w:val="Statutory1"/>
        <w:rPr>
          <w:rFonts w:ascii="Times New Roman" w:hAnsi="Times New Roman"/>
          <w:szCs w:val="24"/>
        </w:rPr>
      </w:pPr>
      <w:r w:rsidRPr="0034137D">
        <w:rPr>
          <w:rFonts w:ascii="Times New Roman" w:hAnsi="Times New Roman"/>
          <w:szCs w:val="24"/>
        </w:rPr>
        <w:t>§ 801</w:t>
      </w:r>
      <w:r w:rsidR="005F6A8B" w:rsidRPr="0034137D">
        <w:rPr>
          <w:rFonts w:ascii="Times New Roman" w:hAnsi="Times New Roman"/>
          <w:szCs w:val="24"/>
        </w:rPr>
        <w:t xml:space="preserve">. </w:t>
      </w:r>
      <w:r w:rsidRPr="0034137D">
        <w:rPr>
          <w:rFonts w:ascii="Times New Roman" w:hAnsi="Times New Roman"/>
          <w:szCs w:val="24"/>
        </w:rPr>
        <w:t>Short Title [15 USC 1601 note] This title may be cited as the "Fair Debt Collection Practices Act."</w:t>
      </w:r>
    </w:p>
    <w:p w14:paraId="66EA0764" w14:textId="5E3EC944" w:rsidR="00412DD0" w:rsidRPr="0034137D" w:rsidRDefault="00412DD0" w:rsidP="00312B56">
      <w:pPr>
        <w:pStyle w:val="Statutory1"/>
        <w:rPr>
          <w:rFonts w:ascii="Times New Roman" w:hAnsi="Times New Roman"/>
          <w:szCs w:val="24"/>
        </w:rPr>
      </w:pPr>
      <w:r w:rsidRPr="0034137D">
        <w:rPr>
          <w:rFonts w:ascii="Times New Roman" w:hAnsi="Times New Roman"/>
          <w:szCs w:val="24"/>
        </w:rPr>
        <w:t>§ 802</w:t>
      </w:r>
      <w:r w:rsidR="005F6A8B" w:rsidRPr="0034137D">
        <w:rPr>
          <w:rFonts w:ascii="Times New Roman" w:hAnsi="Times New Roman"/>
          <w:szCs w:val="24"/>
        </w:rPr>
        <w:t xml:space="preserve">. </w:t>
      </w:r>
      <w:r w:rsidRPr="0034137D">
        <w:rPr>
          <w:rFonts w:ascii="Times New Roman" w:hAnsi="Times New Roman"/>
          <w:szCs w:val="24"/>
        </w:rPr>
        <w:t>Congressional findings and declarations of purpose [15 USC 1692] [omitted]</w:t>
      </w:r>
    </w:p>
    <w:p w14:paraId="3B2A8283" w14:textId="0AAB5AE3" w:rsidR="00412DD0" w:rsidRPr="0034137D" w:rsidRDefault="00412DD0" w:rsidP="00312B56">
      <w:pPr>
        <w:pStyle w:val="Statutory1"/>
        <w:rPr>
          <w:rFonts w:ascii="Times New Roman" w:hAnsi="Times New Roman"/>
          <w:szCs w:val="24"/>
        </w:rPr>
      </w:pPr>
      <w:r w:rsidRPr="0034137D">
        <w:rPr>
          <w:rFonts w:ascii="Times New Roman" w:hAnsi="Times New Roman"/>
          <w:szCs w:val="24"/>
        </w:rPr>
        <w:t>§ 803</w:t>
      </w:r>
      <w:r w:rsidR="005F6A8B" w:rsidRPr="0034137D">
        <w:rPr>
          <w:rFonts w:ascii="Times New Roman" w:hAnsi="Times New Roman"/>
          <w:szCs w:val="24"/>
        </w:rPr>
        <w:t xml:space="preserve">. </w:t>
      </w:r>
      <w:r w:rsidRPr="0034137D">
        <w:rPr>
          <w:rFonts w:ascii="Times New Roman" w:hAnsi="Times New Roman"/>
          <w:szCs w:val="24"/>
        </w:rPr>
        <w:t>Definitions [15 USC 1692a]</w:t>
      </w:r>
      <w:r w:rsidR="005F6A8B" w:rsidRPr="0034137D">
        <w:rPr>
          <w:rFonts w:ascii="Times New Roman" w:hAnsi="Times New Roman"/>
          <w:szCs w:val="24"/>
        </w:rPr>
        <w:t xml:space="preserve">. </w:t>
      </w:r>
      <w:r w:rsidRPr="0034137D">
        <w:rPr>
          <w:rFonts w:ascii="Times New Roman" w:hAnsi="Times New Roman"/>
          <w:szCs w:val="24"/>
        </w:rPr>
        <w:t>As used in this title --</w:t>
      </w:r>
    </w:p>
    <w:p w14:paraId="68DDA6B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The term "Commission" means the Federal Trade Commission.</w:t>
      </w:r>
    </w:p>
    <w:p w14:paraId="1A52A7F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term "communication" means the conveying of information regarding a debt directly or indirectly to any person through any medium.</w:t>
      </w:r>
    </w:p>
    <w:p w14:paraId="700323A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term "consumer" means any natural person obligated or allegedly obligated to pay any debt.</w:t>
      </w:r>
    </w:p>
    <w:p w14:paraId="437C4F02"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(4) The term "creditor" means any person who offers or extends credit creating a debt or to whom a debt is owed, but such term </w:t>
      </w:r>
      <w:r w:rsidRPr="0034137D">
        <w:rPr>
          <w:rFonts w:ascii="Times New Roman" w:hAnsi="Times New Roman" w:cs="Times New Roman"/>
          <w:b/>
          <w:szCs w:val="24"/>
        </w:rPr>
        <w:t>does not include any person</w:t>
      </w:r>
      <w:r w:rsidRPr="0034137D">
        <w:rPr>
          <w:rFonts w:ascii="Times New Roman" w:hAnsi="Times New Roman" w:cs="Times New Roman"/>
          <w:szCs w:val="24"/>
        </w:rPr>
        <w:t xml:space="preserve"> to the extent that he </w:t>
      </w:r>
      <w:r w:rsidRPr="0034137D">
        <w:rPr>
          <w:rFonts w:ascii="Times New Roman" w:hAnsi="Times New Roman" w:cs="Times New Roman"/>
          <w:b/>
          <w:szCs w:val="24"/>
        </w:rPr>
        <w:t>receives an assignment or transfer of a debt in default</w:t>
      </w:r>
      <w:r w:rsidRPr="0034137D">
        <w:rPr>
          <w:rFonts w:ascii="Times New Roman" w:hAnsi="Times New Roman" w:cs="Times New Roman"/>
          <w:szCs w:val="24"/>
        </w:rPr>
        <w:t xml:space="preserve"> solely for the purpose of facilitating collection of such debt for another.</w:t>
      </w:r>
    </w:p>
    <w:p w14:paraId="12EFCB2F" w14:textId="27FD950F" w:rsidR="00412DD0" w:rsidRPr="0034137D" w:rsidRDefault="00412DD0" w:rsidP="00312B56">
      <w:pPr>
        <w:pStyle w:val="Statutory2"/>
        <w:rPr>
          <w:rFonts w:ascii="Times New Roman" w:hAnsi="Times New Roman" w:cs="Times New Roman"/>
          <w:szCs w:val="24"/>
        </w:rPr>
      </w:pPr>
      <w:bookmarkStart w:id="6552" w:name="FDCPA8035"/>
      <w:r w:rsidRPr="0034137D">
        <w:rPr>
          <w:rFonts w:ascii="Times New Roman" w:hAnsi="Times New Roman" w:cs="Times New Roman"/>
          <w:szCs w:val="24"/>
        </w:rPr>
        <w:t xml:space="preserve">(5) </w:t>
      </w:r>
      <w:bookmarkEnd w:id="6552"/>
      <w:r w:rsidRPr="0034137D">
        <w:rPr>
          <w:rFonts w:ascii="Times New Roman" w:hAnsi="Times New Roman" w:cs="Times New Roman"/>
          <w:szCs w:val="24"/>
        </w:rPr>
        <w:t xml:space="preserve">The term "debt" means any obligation or alleged </w:t>
      </w:r>
      <w:r w:rsidRPr="0034137D">
        <w:rPr>
          <w:rFonts w:ascii="Times New Roman" w:hAnsi="Times New Roman" w:cs="Times New Roman"/>
          <w:b/>
          <w:szCs w:val="24"/>
        </w:rPr>
        <w:t>obligation of a consumer to pay money</w:t>
      </w:r>
      <w:r w:rsidRPr="0034137D">
        <w:rPr>
          <w:rFonts w:ascii="Times New Roman" w:hAnsi="Times New Roman" w:cs="Times New Roman"/>
          <w:szCs w:val="24"/>
        </w:rPr>
        <w:t xml:space="preserve"> arising out of a transaction in which the money, property, insurance or services which are the subject of the transaction are </w:t>
      </w:r>
      <w:r w:rsidRPr="0034137D">
        <w:rPr>
          <w:rFonts w:ascii="Times New Roman" w:hAnsi="Times New Roman" w:cs="Times New Roman"/>
          <w:b/>
          <w:szCs w:val="24"/>
        </w:rPr>
        <w:t>primarily for personal, family, or household purposes</w:t>
      </w:r>
      <w:r w:rsidRPr="0034137D">
        <w:rPr>
          <w:rFonts w:ascii="Times New Roman" w:hAnsi="Times New Roman" w:cs="Times New Roman"/>
          <w:szCs w:val="24"/>
        </w:rPr>
        <w:t>, whether or not such obligation has been reduced to judgment.</w:t>
      </w:r>
    </w:p>
    <w:p w14:paraId="14527A2E" w14:textId="36AB4758" w:rsidR="00412DD0" w:rsidRPr="0034137D" w:rsidRDefault="00412DD0" w:rsidP="00312B56">
      <w:pPr>
        <w:pStyle w:val="Statutory2"/>
        <w:rPr>
          <w:rFonts w:ascii="Times New Roman" w:hAnsi="Times New Roman" w:cs="Times New Roman"/>
          <w:szCs w:val="24"/>
        </w:rPr>
      </w:pPr>
      <w:bookmarkStart w:id="6553" w:name="FDCPA8036"/>
      <w:r w:rsidRPr="0034137D">
        <w:rPr>
          <w:rFonts w:ascii="Times New Roman" w:hAnsi="Times New Roman" w:cs="Times New Roman"/>
          <w:szCs w:val="24"/>
        </w:rPr>
        <w:t xml:space="preserve">(6) </w:t>
      </w:r>
      <w:bookmarkEnd w:id="6553"/>
      <w:r w:rsidRPr="0034137D">
        <w:rPr>
          <w:rFonts w:ascii="Times New Roman" w:hAnsi="Times New Roman" w:cs="Times New Roman"/>
          <w:szCs w:val="24"/>
        </w:rPr>
        <w:t>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of interstate commerce or the mails in any business the principal purpose of which is the enforcement of security interests. The term does not include --</w:t>
      </w:r>
    </w:p>
    <w:p w14:paraId="3B2601B7"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(A) any officer or employee of a creditor while, in the name of the creditor, collecting debts for such creditor; </w:t>
      </w:r>
    </w:p>
    <w:p w14:paraId="3C1C9C80" w14:textId="0DF5E532"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[Omitted </w:t>
      </w:r>
      <w:r w:rsidR="0083669A" w:rsidRPr="0034137D">
        <w:rPr>
          <w:rFonts w:ascii="Times New Roman" w:hAnsi="Times New Roman" w:cs="Times New Roman"/>
          <w:szCs w:val="24"/>
        </w:rPr>
        <w:t>captive</w:t>
      </w:r>
      <w:r w:rsidRPr="0034137D">
        <w:rPr>
          <w:rFonts w:ascii="Times New Roman" w:hAnsi="Times New Roman" w:cs="Times New Roman"/>
          <w:szCs w:val="24"/>
        </w:rPr>
        <w:t xml:space="preserve"> debt collectors, government collectors, process servers; credit counselors, escrow agents and secured parties, and debts assigned when not in default]</w:t>
      </w:r>
    </w:p>
    <w:p w14:paraId="30ACBE3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(7) The term "location information" means a consumer's place of abode and his telephone number at such place, or his place of employment.</w:t>
      </w:r>
    </w:p>
    <w:p w14:paraId="6E0AAE34" w14:textId="7339B1FD" w:rsidR="00412DD0" w:rsidRPr="0034137D" w:rsidRDefault="00412DD0" w:rsidP="00312B56">
      <w:pPr>
        <w:pStyle w:val="Statutory1"/>
        <w:rPr>
          <w:rFonts w:ascii="Times New Roman" w:hAnsi="Times New Roman"/>
          <w:szCs w:val="24"/>
        </w:rPr>
      </w:pPr>
      <w:r w:rsidRPr="0034137D">
        <w:rPr>
          <w:rFonts w:ascii="Times New Roman" w:hAnsi="Times New Roman"/>
          <w:szCs w:val="24"/>
        </w:rPr>
        <w:t>§ 804</w:t>
      </w:r>
      <w:r w:rsidR="005F6A8B" w:rsidRPr="0034137D">
        <w:rPr>
          <w:rFonts w:ascii="Times New Roman" w:hAnsi="Times New Roman"/>
          <w:szCs w:val="24"/>
        </w:rPr>
        <w:t xml:space="preserve">. </w:t>
      </w:r>
      <w:r w:rsidRPr="0034137D">
        <w:rPr>
          <w:rFonts w:ascii="Times New Roman" w:hAnsi="Times New Roman"/>
          <w:szCs w:val="24"/>
        </w:rPr>
        <w:t>Acquisition of location information [15 USC 1692b]</w:t>
      </w:r>
      <w:r w:rsidR="005F6A8B" w:rsidRPr="0034137D">
        <w:rPr>
          <w:rFonts w:ascii="Times New Roman" w:hAnsi="Times New Roman"/>
          <w:szCs w:val="24"/>
        </w:rPr>
        <w:t xml:space="preserve">. </w:t>
      </w:r>
      <w:r w:rsidRPr="0034137D">
        <w:rPr>
          <w:rFonts w:ascii="Times New Roman" w:hAnsi="Times New Roman"/>
          <w:szCs w:val="24"/>
        </w:rPr>
        <w:t xml:space="preserve">Any debt collector </w:t>
      </w:r>
      <w:r w:rsidRPr="0034137D">
        <w:rPr>
          <w:rFonts w:ascii="Times New Roman" w:hAnsi="Times New Roman"/>
          <w:b/>
          <w:szCs w:val="24"/>
        </w:rPr>
        <w:t>communicating with any person other than the consumer</w:t>
      </w:r>
      <w:r w:rsidRPr="0034137D">
        <w:rPr>
          <w:rFonts w:ascii="Times New Roman" w:hAnsi="Times New Roman"/>
          <w:szCs w:val="24"/>
        </w:rPr>
        <w:t xml:space="preserve"> for the purpose of acquiring location information about the consumer shall --</w:t>
      </w:r>
    </w:p>
    <w:p w14:paraId="2AC9F9C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identify himself, state that he is confirming or correcting location information concerning the consumer, and, only if expressly requested, identify his employer;</w:t>
      </w:r>
    </w:p>
    <w:p w14:paraId="217F142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not state that such consumer owes any debt;</w:t>
      </w:r>
    </w:p>
    <w:p w14:paraId="2334774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[other limitations on communications that would lead the contacted person to believe the communication is from a debt collector]</w:t>
      </w:r>
    </w:p>
    <w:p w14:paraId="2ED1B71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(6) after the debt collector knows the </w:t>
      </w:r>
      <w:r w:rsidRPr="0034137D">
        <w:rPr>
          <w:rFonts w:ascii="Times New Roman" w:hAnsi="Times New Roman" w:cs="Times New Roman"/>
          <w:b/>
          <w:szCs w:val="24"/>
        </w:rPr>
        <w:t>consumer is represented by an attorney</w:t>
      </w:r>
      <w:r w:rsidRPr="0034137D">
        <w:rPr>
          <w:rFonts w:ascii="Times New Roman" w:hAnsi="Times New Roman" w:cs="Times New Roman"/>
          <w:szCs w:val="24"/>
        </w:rPr>
        <w:t xml:space="preserve"> with regard to the subject debt and has knowledge of, or can readily ascertain, such attorney's name and address, not communicate with any person other than that attorney, </w:t>
      </w:r>
      <w:r w:rsidRPr="0034137D">
        <w:rPr>
          <w:rFonts w:ascii="Times New Roman" w:hAnsi="Times New Roman" w:cs="Times New Roman"/>
          <w:b/>
          <w:szCs w:val="24"/>
        </w:rPr>
        <w:t>unless the attorney fails to respond</w:t>
      </w:r>
      <w:r w:rsidRPr="0034137D">
        <w:rPr>
          <w:rFonts w:ascii="Times New Roman" w:hAnsi="Times New Roman" w:cs="Times New Roman"/>
          <w:szCs w:val="24"/>
        </w:rPr>
        <w:t xml:space="preserve"> within a reasonable period of time to the communication from the debt collector.</w:t>
      </w:r>
    </w:p>
    <w:p w14:paraId="3E69B955" w14:textId="26FDCB0C" w:rsidR="00412DD0" w:rsidRPr="0034137D" w:rsidRDefault="00412DD0" w:rsidP="00312B56">
      <w:pPr>
        <w:pStyle w:val="Statutory1"/>
        <w:rPr>
          <w:rFonts w:ascii="Times New Roman" w:hAnsi="Times New Roman"/>
          <w:szCs w:val="24"/>
        </w:rPr>
      </w:pPr>
      <w:r w:rsidRPr="0034137D">
        <w:rPr>
          <w:rFonts w:ascii="Times New Roman" w:hAnsi="Times New Roman"/>
          <w:szCs w:val="24"/>
        </w:rPr>
        <w:t>§ 805</w:t>
      </w:r>
      <w:r w:rsidR="005F6A8B" w:rsidRPr="0034137D">
        <w:rPr>
          <w:rFonts w:ascii="Times New Roman" w:hAnsi="Times New Roman"/>
          <w:szCs w:val="24"/>
        </w:rPr>
        <w:t xml:space="preserve">. </w:t>
      </w:r>
      <w:r w:rsidRPr="0034137D">
        <w:rPr>
          <w:rFonts w:ascii="Times New Roman" w:hAnsi="Times New Roman"/>
          <w:szCs w:val="24"/>
        </w:rPr>
        <w:t>Communication in connection with debt collection   [15 USC 1692c]</w:t>
      </w:r>
    </w:p>
    <w:p w14:paraId="78F7D2C2" w14:textId="0A84E5DA"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COMMUNICATION WITH THE CONSUMER GENERALLY</w:t>
      </w:r>
      <w:r w:rsidR="005F6A8B" w:rsidRPr="0034137D">
        <w:rPr>
          <w:rFonts w:ascii="Times New Roman" w:hAnsi="Times New Roman" w:cs="Times New Roman"/>
          <w:szCs w:val="24"/>
        </w:rPr>
        <w:t xml:space="preserve">. </w:t>
      </w:r>
      <w:r w:rsidRPr="0034137D">
        <w:rPr>
          <w:rFonts w:ascii="Times New Roman" w:hAnsi="Times New Roman" w:cs="Times New Roman"/>
          <w:szCs w:val="24"/>
        </w:rPr>
        <w:t xml:space="preserve">Without the prior consent of the consumer given directly to the debt collector or the express permission of a court of competent jurisdiction, a debt collector may </w:t>
      </w:r>
      <w:r w:rsidRPr="0034137D">
        <w:rPr>
          <w:rFonts w:ascii="Times New Roman" w:hAnsi="Times New Roman" w:cs="Times New Roman"/>
          <w:b/>
          <w:szCs w:val="24"/>
        </w:rPr>
        <w:t>not communicate with a consumer</w:t>
      </w:r>
      <w:r w:rsidRPr="0034137D">
        <w:rPr>
          <w:rFonts w:ascii="Times New Roman" w:hAnsi="Times New Roman" w:cs="Times New Roman"/>
          <w:szCs w:val="24"/>
        </w:rPr>
        <w:t xml:space="preserve"> in connection with the collection of any debt --</w:t>
      </w:r>
    </w:p>
    <w:p w14:paraId="565D575C"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(1) at any </w:t>
      </w:r>
      <w:r w:rsidRPr="0034137D">
        <w:rPr>
          <w:rFonts w:ascii="Times New Roman" w:hAnsi="Times New Roman" w:cs="Times New Roman"/>
          <w:b/>
          <w:szCs w:val="24"/>
        </w:rPr>
        <w:t>unusual time or place</w:t>
      </w:r>
      <w:r w:rsidRPr="0034137D">
        <w:rPr>
          <w:rFonts w:ascii="Times New Roman" w:hAnsi="Times New Roman" w:cs="Times New Roman"/>
          <w:szCs w:val="24"/>
        </w:rPr>
        <w:t xml:space="preserv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if the debt collector knows the consumer is </w:t>
      </w:r>
      <w:r w:rsidRPr="0034137D">
        <w:rPr>
          <w:rFonts w:ascii="Times New Roman" w:hAnsi="Times New Roman" w:cs="Times New Roman"/>
          <w:b/>
          <w:szCs w:val="24"/>
        </w:rPr>
        <w:t>represented by an attorney</w:t>
      </w:r>
      <w:r w:rsidRPr="0034137D">
        <w:rPr>
          <w:rFonts w:ascii="Times New Roman" w:hAnsi="Times New Roman" w:cs="Times New Roman"/>
          <w:szCs w:val="24"/>
        </w:rPr>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(3) at the consumer's place of employment if the debt collector knows or has reason to know that the </w:t>
      </w:r>
      <w:r w:rsidRPr="0034137D">
        <w:rPr>
          <w:rFonts w:ascii="Times New Roman" w:hAnsi="Times New Roman" w:cs="Times New Roman"/>
          <w:b/>
          <w:szCs w:val="24"/>
        </w:rPr>
        <w:t>consumer's employer</w:t>
      </w:r>
      <w:r w:rsidRPr="0034137D">
        <w:rPr>
          <w:rFonts w:ascii="Times New Roman" w:hAnsi="Times New Roman" w:cs="Times New Roman"/>
          <w:szCs w:val="24"/>
        </w:rPr>
        <w:t xml:space="preserve"> prohibits the consumer from receiving such communication.</w:t>
      </w:r>
    </w:p>
    <w:p w14:paraId="17A7BC9B" w14:textId="7393AD69"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COMMUNICATION WITH THIRD PARTIES</w:t>
      </w:r>
      <w:r w:rsidR="005F6A8B" w:rsidRPr="0034137D">
        <w:rPr>
          <w:rFonts w:ascii="Times New Roman" w:hAnsi="Times New Roman" w:cs="Times New Roman"/>
          <w:szCs w:val="24"/>
        </w:rPr>
        <w:t xml:space="preserve">. </w:t>
      </w:r>
      <w:r w:rsidRPr="0034137D">
        <w:rPr>
          <w:rFonts w:ascii="Times New Roman" w:hAnsi="Times New Roman" w:cs="Times New Roman"/>
          <w:b/>
          <w:szCs w:val="24"/>
        </w:rPr>
        <w:t>Except as provided in section 804, without the prior consent of the consumer</w:t>
      </w:r>
      <w:r w:rsidRPr="0034137D">
        <w:rPr>
          <w:rFonts w:ascii="Times New Roman" w:hAnsi="Times New Roman" w:cs="Times New Roman"/>
          <w:szCs w:val="24"/>
        </w:rPr>
        <w:t xml:space="preserve"> given directly to the debt collector, or the express permission of a court of competent jurisdiction, or as reasonably necessary to effectuate a post judgment judicial remedy, a </w:t>
      </w:r>
      <w:r w:rsidRPr="0034137D">
        <w:rPr>
          <w:rFonts w:ascii="Times New Roman" w:hAnsi="Times New Roman" w:cs="Times New Roman"/>
          <w:b/>
          <w:szCs w:val="24"/>
        </w:rPr>
        <w:t>debt collector may not communicate</w:t>
      </w:r>
      <w:r w:rsidRPr="0034137D">
        <w:rPr>
          <w:rFonts w:ascii="Times New Roman" w:hAnsi="Times New Roman" w:cs="Times New Roman"/>
          <w:szCs w:val="24"/>
        </w:rPr>
        <w:t xml:space="preserve">, in connection with the collection of any debt, with </w:t>
      </w:r>
      <w:r w:rsidRPr="0034137D">
        <w:rPr>
          <w:rFonts w:ascii="Times New Roman" w:hAnsi="Times New Roman" w:cs="Times New Roman"/>
          <w:b/>
          <w:szCs w:val="24"/>
        </w:rPr>
        <w:t>any person other than a consumer, his attorney</w:t>
      </w:r>
      <w:r w:rsidRPr="0034137D">
        <w:rPr>
          <w:rFonts w:ascii="Times New Roman" w:hAnsi="Times New Roman" w:cs="Times New Roman"/>
          <w:szCs w:val="24"/>
        </w:rPr>
        <w:t>, a consumer reporting agency if otherwise permitted by law, the creditor, the attorney of the creditor, or the attorney of the debt collector.</w:t>
      </w:r>
    </w:p>
    <w:p w14:paraId="18FB3F8E" w14:textId="5E218411" w:rsidR="00412DD0" w:rsidRPr="0034137D" w:rsidRDefault="00412DD0" w:rsidP="00312B56">
      <w:pPr>
        <w:pStyle w:val="Statutory2"/>
        <w:rPr>
          <w:rFonts w:ascii="Times New Roman" w:hAnsi="Times New Roman" w:cs="Times New Roman"/>
          <w:szCs w:val="24"/>
        </w:rPr>
      </w:pPr>
      <w:bookmarkStart w:id="6554" w:name="FDCPA805c"/>
      <w:r w:rsidRPr="0034137D">
        <w:rPr>
          <w:rFonts w:ascii="Times New Roman" w:hAnsi="Times New Roman" w:cs="Times New Roman"/>
          <w:szCs w:val="24"/>
        </w:rPr>
        <w:t xml:space="preserve">(c) </w:t>
      </w:r>
      <w:bookmarkEnd w:id="6554"/>
      <w:r w:rsidRPr="0034137D">
        <w:rPr>
          <w:rFonts w:ascii="Times New Roman" w:hAnsi="Times New Roman" w:cs="Times New Roman"/>
          <w:szCs w:val="24"/>
        </w:rPr>
        <w:t>CEASING COMMUNICATION</w:t>
      </w:r>
      <w:r w:rsidR="005F6A8B" w:rsidRPr="0034137D">
        <w:rPr>
          <w:rFonts w:ascii="Times New Roman" w:hAnsi="Times New Roman" w:cs="Times New Roman"/>
          <w:szCs w:val="24"/>
        </w:rPr>
        <w:t xml:space="preserve">. </w:t>
      </w:r>
      <w:r w:rsidRPr="0034137D">
        <w:rPr>
          <w:rFonts w:ascii="Times New Roman" w:hAnsi="Times New Roman" w:cs="Times New Roman"/>
          <w:szCs w:val="24"/>
        </w:rPr>
        <w:t xml:space="preserve">If a </w:t>
      </w:r>
      <w:r w:rsidRPr="0034137D">
        <w:rPr>
          <w:rFonts w:ascii="Times New Roman" w:hAnsi="Times New Roman" w:cs="Times New Roman"/>
          <w:b/>
          <w:szCs w:val="24"/>
        </w:rPr>
        <w:t xml:space="preserve">consumer notifies a debt collector in </w:t>
      </w:r>
      <w:r w:rsidRPr="0034137D">
        <w:rPr>
          <w:rFonts w:ascii="Times New Roman" w:hAnsi="Times New Roman" w:cs="Times New Roman"/>
          <w:b/>
          <w:szCs w:val="24"/>
          <w:u w:val="single"/>
        </w:rPr>
        <w:t>writing</w:t>
      </w:r>
      <w:r w:rsidRPr="0034137D">
        <w:rPr>
          <w:rFonts w:ascii="Times New Roman" w:hAnsi="Times New Roman" w:cs="Times New Roman"/>
          <w:b/>
          <w:szCs w:val="24"/>
        </w:rPr>
        <w:t xml:space="preserve"> that the consumer refuses to pay a debt</w:t>
      </w:r>
      <w:r w:rsidRPr="0034137D">
        <w:rPr>
          <w:rFonts w:ascii="Times New Roman" w:hAnsi="Times New Roman" w:cs="Times New Roman"/>
          <w:szCs w:val="24"/>
        </w:rPr>
        <w:t xml:space="preserve"> or that the consumer wishes the debt collector to cease further communication with the consumer, the </w:t>
      </w:r>
      <w:r w:rsidRPr="0034137D">
        <w:rPr>
          <w:rFonts w:ascii="Times New Roman" w:hAnsi="Times New Roman" w:cs="Times New Roman"/>
          <w:b/>
          <w:szCs w:val="24"/>
        </w:rPr>
        <w:t>debt collector shall not communicate</w:t>
      </w:r>
      <w:r w:rsidRPr="0034137D">
        <w:rPr>
          <w:rFonts w:ascii="Times New Roman" w:hAnsi="Times New Roman" w:cs="Times New Roman"/>
          <w:szCs w:val="24"/>
        </w:rPr>
        <w:t xml:space="preserve"> further with the consumer with respect to such debt, except--</w:t>
      </w:r>
    </w:p>
    <w:p w14:paraId="79C1FBBB"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to advise the consumer that the debt collector's further efforts are being terminated;</w:t>
      </w:r>
    </w:p>
    <w:p w14:paraId="21E32A46"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to notify the consumer that the debt collector or creditor </w:t>
      </w:r>
      <w:r w:rsidRPr="0034137D">
        <w:rPr>
          <w:rFonts w:ascii="Times New Roman" w:hAnsi="Times New Roman" w:cs="Times New Roman"/>
          <w:b/>
          <w:szCs w:val="24"/>
        </w:rPr>
        <w:t>may invoke specified remedies</w:t>
      </w:r>
      <w:r w:rsidRPr="0034137D">
        <w:rPr>
          <w:rFonts w:ascii="Times New Roman" w:hAnsi="Times New Roman" w:cs="Times New Roman"/>
          <w:szCs w:val="24"/>
        </w:rPr>
        <w:t xml:space="preserve"> which are ordinarily invoked by such debt collector or creditor; or</w:t>
      </w:r>
    </w:p>
    <w:p w14:paraId="22D9844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(3) where applicable, to notify the consumer that the debt collector or creditor intends to invoke a specified remedy.</w:t>
      </w:r>
    </w:p>
    <w:p w14:paraId="0DB4E1F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If such notice from the consumer is made by mail, notification shall be complete upon receipt.</w:t>
      </w:r>
    </w:p>
    <w:p w14:paraId="6F4D03A9"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(d) For the purpose of this section, the term "consumer" includes the consumer's spouse, parent (if the consumer is a minor), guardian, executor, or administrator.</w:t>
      </w:r>
    </w:p>
    <w:p w14:paraId="7892692C" w14:textId="49623E33" w:rsidR="00412DD0" w:rsidRPr="0034137D" w:rsidRDefault="00412DD0" w:rsidP="00312B56">
      <w:pPr>
        <w:pStyle w:val="Statutory1"/>
        <w:rPr>
          <w:rFonts w:ascii="Times New Roman" w:hAnsi="Times New Roman"/>
          <w:szCs w:val="24"/>
        </w:rPr>
      </w:pPr>
      <w:r w:rsidRPr="0034137D">
        <w:rPr>
          <w:rFonts w:ascii="Times New Roman" w:hAnsi="Times New Roman"/>
          <w:szCs w:val="24"/>
        </w:rPr>
        <w:t>§ 806</w:t>
      </w:r>
      <w:r w:rsidR="005F6A8B" w:rsidRPr="0034137D">
        <w:rPr>
          <w:rFonts w:ascii="Times New Roman" w:hAnsi="Times New Roman"/>
          <w:szCs w:val="24"/>
        </w:rPr>
        <w:t xml:space="preserve">. </w:t>
      </w:r>
      <w:r w:rsidRPr="0034137D">
        <w:rPr>
          <w:rFonts w:ascii="Times New Roman" w:hAnsi="Times New Roman"/>
          <w:szCs w:val="24"/>
        </w:rPr>
        <w:t>Harassment or abuse [15 USC 1692d]</w:t>
      </w:r>
      <w:r w:rsidR="005F6A8B" w:rsidRPr="0034137D">
        <w:rPr>
          <w:rFonts w:ascii="Times New Roman" w:hAnsi="Times New Roman"/>
          <w:szCs w:val="24"/>
        </w:rPr>
        <w:t xml:space="preserve">. </w:t>
      </w:r>
      <w:r w:rsidRPr="0034137D">
        <w:rPr>
          <w:rFonts w:ascii="Times New Roman" w:hAnsi="Times New Roman"/>
          <w:szCs w:val="24"/>
        </w:rPr>
        <w:t xml:space="preserve">A debt collector </w:t>
      </w:r>
      <w:r w:rsidRPr="0034137D">
        <w:rPr>
          <w:rFonts w:ascii="Times New Roman" w:hAnsi="Times New Roman"/>
          <w:b/>
          <w:szCs w:val="24"/>
        </w:rPr>
        <w:t>may not engage in any conduct</w:t>
      </w:r>
      <w:r w:rsidRPr="0034137D">
        <w:rPr>
          <w:rFonts w:ascii="Times New Roman" w:hAnsi="Times New Roman"/>
          <w:szCs w:val="24"/>
        </w:rPr>
        <w:t xml:space="preserve"> the natural consequence of which is </w:t>
      </w:r>
      <w:r w:rsidRPr="0034137D">
        <w:rPr>
          <w:rFonts w:ascii="Times New Roman" w:hAnsi="Times New Roman"/>
          <w:b/>
          <w:szCs w:val="24"/>
        </w:rPr>
        <w:t>to harass, oppress, or abuse</w:t>
      </w:r>
      <w:r w:rsidRPr="0034137D">
        <w:rPr>
          <w:rFonts w:ascii="Times New Roman" w:hAnsi="Times New Roman"/>
          <w:szCs w:val="24"/>
        </w:rPr>
        <w:t xml:space="preserve"> any person in connection with the collection of a debt. Without limiting the general application of the foregoing, the following conduct is a violation of this section:</w:t>
      </w:r>
    </w:p>
    <w:p w14:paraId="23D9A3B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 The use or threat of use of violence or other criminal means to harm the physical person, reputation, or property of any person.</w:t>
      </w:r>
    </w:p>
    <w:p w14:paraId="6F6A582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use of obscene or profane language or language the natural consequence of which is to abuse the hearer or reader.</w:t>
      </w:r>
    </w:p>
    <w:p w14:paraId="5DC4C49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publication of a list of consumers who allegedly refuse to pay debts, except to a consumer reporting agency or to persons meeting the requirements of section 603(f) or 604(3)1 of this Act.</w:t>
      </w:r>
    </w:p>
    <w:p w14:paraId="60B752A3"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(4) The advertisement for sale of any debt to coerce payment of the debt.</w:t>
      </w:r>
    </w:p>
    <w:p w14:paraId="73EA195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(5) Causing a telephone to ring or engaging any person in telephone conversation repeatedly or continuously with intent to annoy, abuse, or harass any person at the called number.</w:t>
      </w:r>
    </w:p>
    <w:p w14:paraId="76DC296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Except as provided in section 804, the placement of telephone calls without meaningful disclosure of the caller's identity.</w:t>
      </w:r>
    </w:p>
    <w:p w14:paraId="772D30CD" w14:textId="3E9C1188" w:rsidR="00412DD0" w:rsidRPr="0034137D" w:rsidRDefault="00412DD0" w:rsidP="00312B56">
      <w:pPr>
        <w:pStyle w:val="Statutory1"/>
        <w:rPr>
          <w:rFonts w:ascii="Times New Roman" w:hAnsi="Times New Roman"/>
          <w:szCs w:val="24"/>
        </w:rPr>
      </w:pPr>
      <w:bookmarkStart w:id="6555" w:name="FDCPA807"/>
      <w:r w:rsidRPr="0034137D">
        <w:rPr>
          <w:rFonts w:ascii="Times New Roman" w:hAnsi="Times New Roman"/>
          <w:szCs w:val="24"/>
        </w:rPr>
        <w:t>§ 807</w:t>
      </w:r>
      <w:bookmarkEnd w:id="6555"/>
      <w:r w:rsidR="005F6A8B" w:rsidRPr="0034137D">
        <w:rPr>
          <w:rFonts w:ascii="Times New Roman" w:hAnsi="Times New Roman"/>
          <w:szCs w:val="24"/>
        </w:rPr>
        <w:t xml:space="preserve">. </w:t>
      </w:r>
      <w:r w:rsidRPr="0034137D">
        <w:rPr>
          <w:rFonts w:ascii="Times New Roman" w:hAnsi="Times New Roman"/>
          <w:szCs w:val="24"/>
        </w:rPr>
        <w:t>False or misleading representations [15 USC 1692e]</w:t>
      </w:r>
      <w:r w:rsidR="005F6A8B" w:rsidRPr="0034137D">
        <w:rPr>
          <w:rFonts w:ascii="Times New Roman" w:hAnsi="Times New Roman"/>
          <w:szCs w:val="24"/>
        </w:rPr>
        <w:t xml:space="preserve">. </w:t>
      </w:r>
      <w:r w:rsidRPr="0034137D">
        <w:rPr>
          <w:rFonts w:ascii="Times New Roman" w:hAnsi="Times New Roman"/>
          <w:szCs w:val="24"/>
        </w:rPr>
        <w:t xml:space="preserve">A debt collector may not use any </w:t>
      </w:r>
      <w:r w:rsidRPr="0034137D">
        <w:rPr>
          <w:rFonts w:ascii="Times New Roman" w:hAnsi="Times New Roman"/>
          <w:b/>
          <w:szCs w:val="24"/>
        </w:rPr>
        <w:t>false, deceptive, or misleading</w:t>
      </w:r>
      <w:r w:rsidRPr="0034137D">
        <w:rPr>
          <w:rFonts w:ascii="Times New Roman" w:hAnsi="Times New Roman"/>
          <w:szCs w:val="24"/>
        </w:rPr>
        <w:t xml:space="preserve"> representation or means in connection with the collection of any debt. Without limiting the general application of the foregoing, the following conduct is a violation of this section:</w:t>
      </w:r>
    </w:p>
    <w:p w14:paraId="1BB6275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 The false representation or implication that the debt collector is vouched for, bonded by, or affiliated with the </w:t>
      </w:r>
      <w:r w:rsidRPr="0034137D">
        <w:rPr>
          <w:rFonts w:ascii="Times New Roman" w:hAnsi="Times New Roman" w:cs="Times New Roman"/>
          <w:b/>
          <w:szCs w:val="24"/>
        </w:rPr>
        <w:t>United States or any State</w:t>
      </w:r>
      <w:r w:rsidRPr="0034137D">
        <w:rPr>
          <w:rFonts w:ascii="Times New Roman" w:hAnsi="Times New Roman" w:cs="Times New Roman"/>
          <w:szCs w:val="24"/>
        </w:rPr>
        <w:t>, including the use of any badge, uniform, or facsimile thereof.</w:t>
      </w:r>
    </w:p>
    <w:p w14:paraId="360F88E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(2) The false representation of --</w:t>
      </w:r>
    </w:p>
    <w:p w14:paraId="0D04A38C"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(A) the character, amount, or legal status of any debt; or</w:t>
      </w:r>
    </w:p>
    <w:p w14:paraId="0602F539"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any services rendered or compensation which may be lawfully received by any debt collector for the collection of a debt.</w:t>
      </w:r>
    </w:p>
    <w:p w14:paraId="3A864A7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(3) The </w:t>
      </w:r>
      <w:r w:rsidRPr="0034137D">
        <w:rPr>
          <w:rFonts w:ascii="Times New Roman" w:hAnsi="Times New Roman" w:cs="Times New Roman"/>
          <w:b/>
          <w:szCs w:val="24"/>
        </w:rPr>
        <w:t>false</w:t>
      </w:r>
      <w:r w:rsidRPr="0034137D">
        <w:rPr>
          <w:rFonts w:ascii="Times New Roman" w:hAnsi="Times New Roman" w:cs="Times New Roman"/>
          <w:szCs w:val="24"/>
        </w:rPr>
        <w:t xml:space="preserve"> representation or implication that any individual is an </w:t>
      </w:r>
      <w:r w:rsidRPr="0034137D">
        <w:rPr>
          <w:rFonts w:ascii="Times New Roman" w:hAnsi="Times New Roman" w:cs="Times New Roman"/>
          <w:b/>
          <w:szCs w:val="24"/>
        </w:rPr>
        <w:t>attorney</w:t>
      </w:r>
      <w:r w:rsidRPr="0034137D">
        <w:rPr>
          <w:rFonts w:ascii="Times New Roman" w:hAnsi="Times New Roman" w:cs="Times New Roman"/>
          <w:szCs w:val="24"/>
        </w:rPr>
        <w:t xml:space="preserve"> or that any communication is from an attorney.</w:t>
      </w:r>
    </w:p>
    <w:p w14:paraId="4CE4CC38"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(4) The representation or implication that </w:t>
      </w:r>
      <w:r w:rsidRPr="0034137D">
        <w:rPr>
          <w:rFonts w:ascii="Times New Roman" w:hAnsi="Times New Roman" w:cs="Times New Roman"/>
          <w:b/>
          <w:szCs w:val="24"/>
        </w:rPr>
        <w:t xml:space="preserve">nonpayment of any debt will result in the arrest or imprisonment </w:t>
      </w:r>
      <w:r w:rsidRPr="0034137D">
        <w:rPr>
          <w:rFonts w:ascii="Times New Roman" w:hAnsi="Times New Roman" w:cs="Times New Roman"/>
          <w:szCs w:val="24"/>
        </w:rPr>
        <w:t>of any person or the seizure, garnishment, attachment, or sale of any property or wages of any person unless such action is lawful and the debt collector or creditor intends to take such action.</w:t>
      </w:r>
    </w:p>
    <w:p w14:paraId="007B514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(5) The threat to take any action that cannot legally be taken or that is not intended to be taken.</w:t>
      </w:r>
    </w:p>
    <w:p w14:paraId="15E97E2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The false representation or implication that a sale, referral, or other transfer of any interest in a debt shall cause the consumer to --</w:t>
      </w:r>
    </w:p>
    <w:p w14:paraId="3998D5C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(A) lose any claim or defense to payment of the debt; or</w:t>
      </w:r>
    </w:p>
    <w:p w14:paraId="374E79E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become subject to any practice prohibited by this title.</w:t>
      </w:r>
    </w:p>
    <w:p w14:paraId="58A6F758"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(7) The false representation or implication that the consumer committed any crime or other conduct in order to disgrace the consumer.</w:t>
      </w:r>
    </w:p>
    <w:p w14:paraId="186BCACE"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(8) Communicating or threatening to communicate to any person </w:t>
      </w:r>
      <w:r w:rsidRPr="0034137D">
        <w:rPr>
          <w:rFonts w:ascii="Times New Roman" w:hAnsi="Times New Roman" w:cs="Times New Roman"/>
          <w:b/>
          <w:szCs w:val="24"/>
        </w:rPr>
        <w:t>credit information</w:t>
      </w:r>
      <w:r w:rsidRPr="0034137D">
        <w:rPr>
          <w:rFonts w:ascii="Times New Roman" w:hAnsi="Times New Roman" w:cs="Times New Roman"/>
          <w:szCs w:val="24"/>
        </w:rPr>
        <w:t xml:space="preserve"> which is known or which should be known to be false, including the failure to communicate that a disputed debt is disputed.</w:t>
      </w:r>
    </w:p>
    <w:p w14:paraId="7A50008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(10) The use of any false representation or deceptive means to collect or attempt to collect any debt or to obtain information concerning a consumer.</w:t>
      </w:r>
    </w:p>
    <w:p w14:paraId="747FDBF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(11) The failure to disclose in the </w:t>
      </w:r>
      <w:r w:rsidRPr="0034137D">
        <w:rPr>
          <w:rFonts w:ascii="Times New Roman" w:hAnsi="Times New Roman" w:cs="Times New Roman"/>
          <w:b/>
          <w:szCs w:val="24"/>
        </w:rPr>
        <w:t>initial written communication</w:t>
      </w:r>
      <w:r w:rsidRPr="0034137D">
        <w:rPr>
          <w:rFonts w:ascii="Times New Roman" w:hAnsi="Times New Roman" w:cs="Times New Roman"/>
          <w:szCs w:val="24"/>
        </w:rPr>
        <w:t xml:space="preserve"> with the consumer and, in addition, if the initial communication with the consumer is oral, in that initial oral communication, that the debt collector is </w:t>
      </w:r>
      <w:r w:rsidRPr="0034137D">
        <w:rPr>
          <w:rFonts w:ascii="Times New Roman" w:hAnsi="Times New Roman" w:cs="Times New Roman"/>
          <w:b/>
          <w:szCs w:val="24"/>
        </w:rPr>
        <w:t>attempting to collect a debt</w:t>
      </w:r>
      <w:r w:rsidRPr="0034137D">
        <w:rPr>
          <w:rFonts w:ascii="Times New Roman" w:hAnsi="Times New Roman" w:cs="Times New Roman"/>
          <w:szCs w:val="24"/>
        </w:rPr>
        <w:t xml:space="preserve"> and that </w:t>
      </w:r>
      <w:r w:rsidRPr="0034137D">
        <w:rPr>
          <w:rFonts w:ascii="Times New Roman" w:hAnsi="Times New Roman" w:cs="Times New Roman"/>
          <w:b/>
          <w:szCs w:val="24"/>
        </w:rPr>
        <w:t>any information obtained will be used for that purpose</w:t>
      </w:r>
      <w:r w:rsidRPr="0034137D">
        <w:rPr>
          <w:rFonts w:ascii="Times New Roman" w:hAnsi="Times New Roman" w:cs="Times New Roman"/>
          <w:szCs w:val="24"/>
        </w:rPr>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(12) The false representation or implication that accounts have been turned over to innocent purchasers for value.</w:t>
      </w:r>
    </w:p>
    <w:p w14:paraId="7F967F0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(13) The false representation or implication that documents are legal process.</w:t>
      </w:r>
    </w:p>
    <w:p w14:paraId="4B94CD0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(14) The use of any business, company, or organization name other than the true name of the debt collector's business, company, or organization.</w:t>
      </w:r>
    </w:p>
    <w:p w14:paraId="268A14C1"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(15) The false representation or implication that documents are not legal process forms or do not require action by the consumer.</w:t>
      </w:r>
    </w:p>
    <w:p w14:paraId="1A4B051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(16) The false representation or implication that a debt collector operates or is employed by a consumer reporting agency as defined by section 603(f) of this Act.</w:t>
      </w:r>
    </w:p>
    <w:p w14:paraId="4B0ECFB8" w14:textId="3728EA96" w:rsidR="00412DD0" w:rsidRPr="0034137D" w:rsidRDefault="00412DD0" w:rsidP="00312B56">
      <w:pPr>
        <w:pStyle w:val="Statutory1"/>
        <w:rPr>
          <w:rFonts w:ascii="Times New Roman" w:hAnsi="Times New Roman"/>
          <w:szCs w:val="24"/>
        </w:rPr>
      </w:pPr>
      <w:r w:rsidRPr="0034137D">
        <w:rPr>
          <w:rFonts w:ascii="Times New Roman" w:hAnsi="Times New Roman"/>
          <w:szCs w:val="24"/>
        </w:rPr>
        <w:t>§ 808</w:t>
      </w:r>
      <w:r w:rsidR="005F6A8B" w:rsidRPr="0034137D">
        <w:rPr>
          <w:rFonts w:ascii="Times New Roman" w:hAnsi="Times New Roman"/>
          <w:szCs w:val="24"/>
        </w:rPr>
        <w:t xml:space="preserve">. </w:t>
      </w:r>
      <w:r w:rsidRPr="0034137D">
        <w:rPr>
          <w:rFonts w:ascii="Times New Roman" w:hAnsi="Times New Roman"/>
          <w:szCs w:val="24"/>
        </w:rPr>
        <w:t>Unfair practices [15 USC 1692f]</w:t>
      </w:r>
      <w:r w:rsidR="005F6A8B" w:rsidRPr="0034137D">
        <w:rPr>
          <w:rFonts w:ascii="Times New Roman" w:hAnsi="Times New Roman"/>
          <w:szCs w:val="24"/>
        </w:rPr>
        <w:t xml:space="preserve">. </w:t>
      </w:r>
      <w:r w:rsidRPr="0034137D">
        <w:rPr>
          <w:rFonts w:ascii="Times New Roman" w:hAnsi="Times New Roman"/>
          <w:szCs w:val="24"/>
        </w:rPr>
        <w:t xml:space="preserve">A debt collector </w:t>
      </w:r>
      <w:r w:rsidRPr="0034137D">
        <w:rPr>
          <w:rFonts w:ascii="Times New Roman" w:hAnsi="Times New Roman"/>
          <w:b/>
          <w:szCs w:val="24"/>
        </w:rPr>
        <w:t>may not use unfair or unconscionable means</w:t>
      </w:r>
      <w:r w:rsidRPr="0034137D">
        <w:rPr>
          <w:rFonts w:ascii="Times New Roman" w:hAnsi="Times New Roman"/>
          <w:szCs w:val="24"/>
        </w:rPr>
        <w:t xml:space="preserve"> to collect or attempt to collect any debt. Without limiting the general application of the foregoing, the following conduct is a violation of this section:</w:t>
      </w:r>
    </w:p>
    <w:p w14:paraId="12439E9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(1) The </w:t>
      </w:r>
      <w:r w:rsidRPr="0034137D">
        <w:rPr>
          <w:rFonts w:ascii="Times New Roman" w:hAnsi="Times New Roman" w:cs="Times New Roman"/>
          <w:b/>
          <w:szCs w:val="24"/>
        </w:rPr>
        <w:t>collection of any amount</w:t>
      </w:r>
      <w:r w:rsidRPr="0034137D">
        <w:rPr>
          <w:rFonts w:ascii="Times New Roman" w:hAnsi="Times New Roman" w:cs="Times New Roman"/>
          <w:szCs w:val="24"/>
        </w:rPr>
        <w:t xml:space="preserve"> (including any interest, fee, charge, or expense incidental to the principal obligation) unless such amount is </w:t>
      </w:r>
      <w:r w:rsidRPr="0034137D">
        <w:rPr>
          <w:rFonts w:ascii="Times New Roman" w:hAnsi="Times New Roman" w:cs="Times New Roman"/>
          <w:b/>
          <w:szCs w:val="24"/>
        </w:rPr>
        <w:t>expressly authorized</w:t>
      </w:r>
      <w:r w:rsidRPr="0034137D">
        <w:rPr>
          <w:rFonts w:ascii="Times New Roman" w:hAnsi="Times New Roman" w:cs="Times New Roman"/>
          <w:szCs w:val="24"/>
        </w:rPr>
        <w:t xml:space="preserve"> by the agreement creating the debt </w:t>
      </w:r>
      <w:r w:rsidRPr="0034137D">
        <w:rPr>
          <w:rFonts w:ascii="Times New Roman" w:hAnsi="Times New Roman" w:cs="Times New Roman"/>
          <w:b/>
          <w:szCs w:val="24"/>
        </w:rPr>
        <w:t>or permitted</w:t>
      </w:r>
      <w:r w:rsidRPr="0034137D">
        <w:rPr>
          <w:rFonts w:ascii="Times New Roman" w:hAnsi="Times New Roman" w:cs="Times New Roman"/>
          <w:szCs w:val="24"/>
        </w:rPr>
        <w:t xml:space="preserve"> by law.</w:t>
      </w:r>
    </w:p>
    <w:p w14:paraId="4726B030"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(2) The acceptance by a debt collector from any person of a check or other payment instrument </w:t>
      </w:r>
      <w:r w:rsidRPr="0034137D">
        <w:rPr>
          <w:rFonts w:ascii="Times New Roman" w:hAnsi="Times New Roman" w:cs="Times New Roman"/>
          <w:b/>
          <w:szCs w:val="24"/>
        </w:rPr>
        <w:t>postdated by more than five days</w:t>
      </w:r>
      <w:r w:rsidRPr="0034137D">
        <w:rPr>
          <w:rFonts w:ascii="Times New Roman" w:hAnsi="Times New Roman" w:cs="Times New Roman"/>
          <w:szCs w:val="24"/>
        </w:rPr>
        <w:t xml:space="preserve"> unless such person is notified in writing of the debt collector's intent to deposit such check or instrument not more than ten nor less than three business days prior to such deposit.</w:t>
      </w:r>
    </w:p>
    <w:p w14:paraId="3241EBE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(3) The solicitation by a debt collector of any postdated check or other postdated payment instrument for the purpose of threatening or instituting criminal prosecution.</w:t>
      </w:r>
    </w:p>
    <w:p w14:paraId="26045EF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(4) Depositing or threatening to deposit any postdated check or other postdated payment instrument prior to the date on such check or instrument.</w:t>
      </w:r>
    </w:p>
    <w:p w14:paraId="10BC770A"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(5) Causing charges to be made to any person for communications by concealment of the true purpose of the communication. Such charges include, but are not limited to, </w:t>
      </w:r>
      <w:r w:rsidRPr="0034137D">
        <w:rPr>
          <w:rFonts w:ascii="Times New Roman" w:hAnsi="Times New Roman" w:cs="Times New Roman"/>
          <w:b/>
          <w:szCs w:val="24"/>
        </w:rPr>
        <w:t>collect telephone calls</w:t>
      </w:r>
      <w:r w:rsidRPr="0034137D">
        <w:rPr>
          <w:rFonts w:ascii="Times New Roman" w:hAnsi="Times New Roman" w:cs="Times New Roman"/>
          <w:szCs w:val="24"/>
        </w:rPr>
        <w:t xml:space="preserve"> and telegram fees.</w:t>
      </w:r>
    </w:p>
    <w:p w14:paraId="292F626C"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(6) Taking or threatening to take any non-judicial action to effect dispossession or disablement of property if --</w:t>
      </w:r>
    </w:p>
    <w:p w14:paraId="19DF8E05"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(A) there is no present right to possession of the property claimed as collateral through an enforceable security interest;</w:t>
      </w:r>
    </w:p>
    <w:p w14:paraId="305825EB"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(B) there is no present intention to take possession of the property; or</w:t>
      </w:r>
    </w:p>
    <w:p w14:paraId="40B36284"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(C) the property is exempt by law from such dispossession or disablement.</w:t>
      </w:r>
    </w:p>
    <w:p w14:paraId="3CD739F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(7) Communicating with a consumer regarding a debt by post card.</w:t>
      </w:r>
    </w:p>
    <w:p w14:paraId="27D8AF86"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694CA145" w:rsidR="00412DD0" w:rsidRPr="0034137D" w:rsidRDefault="00412DD0" w:rsidP="00312B56">
      <w:pPr>
        <w:pStyle w:val="Statutory1"/>
        <w:rPr>
          <w:rFonts w:ascii="Times New Roman" w:hAnsi="Times New Roman"/>
          <w:szCs w:val="24"/>
        </w:rPr>
      </w:pPr>
      <w:bookmarkStart w:id="6556" w:name="FDCPA809"/>
      <w:r w:rsidRPr="0034137D">
        <w:rPr>
          <w:rFonts w:ascii="Times New Roman" w:hAnsi="Times New Roman"/>
          <w:szCs w:val="24"/>
        </w:rPr>
        <w:t>§ 809</w:t>
      </w:r>
      <w:bookmarkEnd w:id="6556"/>
      <w:r w:rsidR="005F6A8B" w:rsidRPr="0034137D">
        <w:rPr>
          <w:rFonts w:ascii="Times New Roman" w:hAnsi="Times New Roman"/>
          <w:szCs w:val="24"/>
        </w:rPr>
        <w:t xml:space="preserve">. </w:t>
      </w:r>
      <w:r w:rsidRPr="0034137D">
        <w:rPr>
          <w:rFonts w:ascii="Times New Roman" w:hAnsi="Times New Roman"/>
          <w:szCs w:val="24"/>
        </w:rPr>
        <w:t>Validation of debts   [15 USC 1692g]</w:t>
      </w:r>
    </w:p>
    <w:p w14:paraId="2A4179B3"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(a) </w:t>
      </w:r>
      <w:r w:rsidRPr="0034137D">
        <w:rPr>
          <w:rFonts w:ascii="Times New Roman" w:hAnsi="Times New Roman" w:cs="Times New Roman"/>
          <w:b/>
          <w:szCs w:val="24"/>
        </w:rPr>
        <w:t>Within five days after the initial communication</w:t>
      </w:r>
      <w:r w:rsidRPr="0034137D">
        <w:rPr>
          <w:rFonts w:ascii="Times New Roman" w:hAnsi="Times New Roman" w:cs="Times New Roman"/>
          <w:szCs w:val="24"/>
        </w:rPr>
        <w:t xml:space="preserve"> with a consumer in connection with the collection of any debt, a debt collector shall, unless the following information is contained in the initial communication or the consumer has paid the debt, </w:t>
      </w:r>
      <w:r w:rsidRPr="0034137D">
        <w:rPr>
          <w:rFonts w:ascii="Times New Roman" w:hAnsi="Times New Roman" w:cs="Times New Roman"/>
          <w:b/>
          <w:szCs w:val="24"/>
        </w:rPr>
        <w:t>send the consumer a written notice containing</w:t>
      </w:r>
      <w:r w:rsidRPr="0034137D">
        <w:rPr>
          <w:rFonts w:ascii="Times New Roman" w:hAnsi="Times New Roman" w:cs="Times New Roman"/>
          <w:szCs w:val="24"/>
        </w:rPr>
        <w:t xml:space="preserve"> --</w:t>
      </w:r>
    </w:p>
    <w:p w14:paraId="2CE69B93"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the amount of the debt;</w:t>
      </w:r>
    </w:p>
    <w:p w14:paraId="25EB1E3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(2) the name of the creditor to whom the debt is owed;</w:t>
      </w:r>
    </w:p>
    <w:p w14:paraId="47F1CB5D"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(3) a statement that unless the consumer, within thirty days after receipt of the notice, disputes the validity of the debt, or any portion thereof, the debt will be assumed to be valid by the debt collector;</w:t>
      </w:r>
    </w:p>
    <w:p w14:paraId="221383E8"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(5) a statement that, upon the consumer's written request within the thirty-day period, the debt collector will provide the consumer with the name and address of the original creditor, if different from the current creditor.</w:t>
      </w:r>
    </w:p>
    <w:p w14:paraId="6F14E362" w14:textId="4C73AAF5" w:rsidR="00412DD0" w:rsidRPr="0034137D" w:rsidRDefault="00412DD0" w:rsidP="00312B56">
      <w:pPr>
        <w:pStyle w:val="Statutory2"/>
        <w:rPr>
          <w:rFonts w:ascii="Times New Roman" w:hAnsi="Times New Roman" w:cs="Times New Roman"/>
          <w:szCs w:val="24"/>
        </w:rPr>
      </w:pPr>
      <w:bookmarkStart w:id="6557" w:name="FDCPA809b"/>
      <w:r w:rsidRPr="0034137D">
        <w:rPr>
          <w:rFonts w:ascii="Times New Roman" w:hAnsi="Times New Roman" w:cs="Times New Roman"/>
          <w:szCs w:val="24"/>
        </w:rPr>
        <w:t xml:space="preserve">(b) </w:t>
      </w:r>
      <w:bookmarkEnd w:id="6557"/>
      <w:r w:rsidRPr="0034137D">
        <w:rPr>
          <w:rFonts w:ascii="Times New Roman" w:hAnsi="Times New Roman" w:cs="Times New Roman"/>
          <w:szCs w:val="24"/>
        </w:rPr>
        <w:t xml:space="preserve">If the consumer notifies the debt collector in writing within the thirty-day period described in subsection (a) that the debt, or any portion thereof, is disputed, or that the consumer requests the name and address of the original creditor, the </w:t>
      </w:r>
      <w:r w:rsidRPr="0034137D">
        <w:rPr>
          <w:rFonts w:ascii="Times New Roman" w:hAnsi="Times New Roman" w:cs="Times New Roman"/>
          <w:b/>
          <w:szCs w:val="24"/>
        </w:rPr>
        <w:t>debt collector shall cease collection</w:t>
      </w:r>
      <w:r w:rsidRPr="0034137D">
        <w:rPr>
          <w:rFonts w:ascii="Times New Roman" w:hAnsi="Times New Roman" w:cs="Times New Roman"/>
          <w:szCs w:val="24"/>
        </w:rPr>
        <w:t xml:space="preserve"> of the debt, or any disputed portion thereof, </w:t>
      </w:r>
      <w:r w:rsidRPr="0034137D">
        <w:rPr>
          <w:rFonts w:ascii="Times New Roman" w:hAnsi="Times New Roman" w:cs="Times New Roman"/>
          <w:b/>
          <w:szCs w:val="24"/>
        </w:rPr>
        <w:t>until the debt collector obtains verification</w:t>
      </w:r>
      <w:r w:rsidRPr="0034137D">
        <w:rPr>
          <w:rFonts w:ascii="Times New Roman" w:hAnsi="Times New Roman" w:cs="Times New Roman"/>
          <w:szCs w:val="24"/>
        </w:rPr>
        <w:t xml:space="preserve"> of the debt or any copy of a judgment, or the name and address of the original creditor, </w:t>
      </w:r>
      <w:r w:rsidRPr="0034137D">
        <w:rPr>
          <w:rFonts w:ascii="Times New Roman" w:hAnsi="Times New Roman" w:cs="Times New Roman"/>
          <w:b/>
          <w:szCs w:val="24"/>
        </w:rPr>
        <w:t>and a copy of such verification or judgment, or name and address of the original creditor, is mailed to the consumer by the debt collector</w:t>
      </w:r>
      <w:r w:rsidRPr="0034137D">
        <w:rPr>
          <w:rFonts w:ascii="Times New Roman" w:hAnsi="Times New Roman" w:cs="Times New Roman"/>
          <w:szCs w:val="24"/>
        </w:rPr>
        <w:t>.</w:t>
      </w:r>
    </w:p>
    <w:p w14:paraId="0F6429F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(c) The failure of a consumer to dispute the validity of a debt under this section may not be construed by any court as an admission of liability by the consumer.</w:t>
      </w:r>
    </w:p>
    <w:p w14:paraId="10AA3927" w14:textId="3615B37B" w:rsidR="00412DD0" w:rsidRPr="0034137D" w:rsidRDefault="00412DD0" w:rsidP="00312B56">
      <w:pPr>
        <w:pStyle w:val="Statutory1"/>
        <w:rPr>
          <w:rFonts w:ascii="Times New Roman" w:hAnsi="Times New Roman"/>
          <w:szCs w:val="24"/>
        </w:rPr>
      </w:pPr>
      <w:r w:rsidRPr="0034137D">
        <w:rPr>
          <w:rFonts w:ascii="Times New Roman" w:hAnsi="Times New Roman"/>
          <w:szCs w:val="24"/>
        </w:rPr>
        <w:t>§ 810</w:t>
      </w:r>
      <w:r w:rsidR="005F6A8B" w:rsidRPr="0034137D">
        <w:rPr>
          <w:rFonts w:ascii="Times New Roman" w:hAnsi="Times New Roman"/>
          <w:szCs w:val="24"/>
        </w:rPr>
        <w:t xml:space="preserve">. </w:t>
      </w:r>
      <w:r w:rsidRPr="0034137D">
        <w:rPr>
          <w:rFonts w:ascii="Times New Roman" w:hAnsi="Times New Roman"/>
          <w:szCs w:val="24"/>
        </w:rPr>
        <w:t>Multiple debts [15 USC 1692h]</w:t>
      </w:r>
      <w:r w:rsidR="005F6A8B" w:rsidRPr="0034137D">
        <w:rPr>
          <w:rFonts w:ascii="Times New Roman" w:hAnsi="Times New Roman"/>
          <w:szCs w:val="24"/>
        </w:rPr>
        <w:t xml:space="preserve">. </w:t>
      </w:r>
      <w:r w:rsidRPr="0034137D">
        <w:rPr>
          <w:rFonts w:ascii="Times New Roman" w:hAnsi="Times New Roman"/>
          <w:szCs w:val="24"/>
        </w:rPr>
        <w:t xml:space="preserve">If any consumer owes multiple debts and makes any single payment to any debt collector with respect to such debts, such debt collector </w:t>
      </w:r>
      <w:r w:rsidRPr="0034137D">
        <w:rPr>
          <w:rFonts w:ascii="Times New Roman" w:hAnsi="Times New Roman"/>
          <w:b/>
          <w:szCs w:val="24"/>
        </w:rPr>
        <w:t>may not apply such payment to any debt which is disputed</w:t>
      </w:r>
      <w:r w:rsidRPr="0034137D">
        <w:rPr>
          <w:rFonts w:ascii="Times New Roman" w:hAnsi="Times New Roman"/>
          <w:szCs w:val="24"/>
        </w:rPr>
        <w:t xml:space="preserve"> by the consumer </w:t>
      </w:r>
      <w:r w:rsidRPr="0034137D">
        <w:rPr>
          <w:rFonts w:ascii="Times New Roman" w:hAnsi="Times New Roman"/>
          <w:b/>
          <w:szCs w:val="24"/>
        </w:rPr>
        <w:t>and</w:t>
      </w:r>
      <w:r w:rsidRPr="0034137D">
        <w:rPr>
          <w:rFonts w:ascii="Times New Roman" w:hAnsi="Times New Roman"/>
          <w:szCs w:val="24"/>
        </w:rPr>
        <w:t xml:space="preserve">, where applicable, </w:t>
      </w:r>
      <w:r w:rsidRPr="0034137D">
        <w:rPr>
          <w:rFonts w:ascii="Times New Roman" w:hAnsi="Times New Roman"/>
          <w:b/>
          <w:szCs w:val="24"/>
        </w:rPr>
        <w:t>shall apply such payment in accordance with the consumer's directions</w:t>
      </w:r>
      <w:r w:rsidRPr="0034137D">
        <w:rPr>
          <w:rFonts w:ascii="Times New Roman" w:hAnsi="Times New Roman"/>
          <w:szCs w:val="24"/>
        </w:rPr>
        <w:t>.</w:t>
      </w:r>
    </w:p>
    <w:p w14:paraId="6D5F59E4" w14:textId="22534562" w:rsidR="00412DD0" w:rsidRPr="0034137D" w:rsidRDefault="00412DD0" w:rsidP="00312B56">
      <w:pPr>
        <w:pStyle w:val="Statutory1"/>
        <w:rPr>
          <w:rFonts w:ascii="Times New Roman" w:hAnsi="Times New Roman"/>
          <w:szCs w:val="24"/>
        </w:rPr>
      </w:pPr>
      <w:r w:rsidRPr="0034137D">
        <w:rPr>
          <w:rFonts w:ascii="Times New Roman" w:hAnsi="Times New Roman"/>
          <w:szCs w:val="24"/>
        </w:rPr>
        <w:t>§ 811</w:t>
      </w:r>
      <w:r w:rsidR="005F6A8B" w:rsidRPr="0034137D">
        <w:rPr>
          <w:rFonts w:ascii="Times New Roman" w:hAnsi="Times New Roman"/>
          <w:szCs w:val="24"/>
        </w:rPr>
        <w:t xml:space="preserve">. </w:t>
      </w:r>
      <w:r w:rsidRPr="0034137D">
        <w:rPr>
          <w:rFonts w:ascii="Times New Roman" w:hAnsi="Times New Roman"/>
          <w:szCs w:val="24"/>
        </w:rPr>
        <w:t>Legal actions by debt collectors   [15 USC 1692i]</w:t>
      </w:r>
    </w:p>
    <w:p w14:paraId="7E088007"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Any debt collector who brings any legal action on a debt against any consumer shall --</w:t>
      </w:r>
    </w:p>
    <w:p w14:paraId="272484A8"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(1) in the case of an action to enforce an interest in real property securing the consumer's obligation, bring such action only in a judicial district or similar legal entity in which such </w:t>
      </w:r>
      <w:r w:rsidRPr="0034137D">
        <w:rPr>
          <w:rFonts w:ascii="Times New Roman" w:hAnsi="Times New Roman" w:cs="Times New Roman"/>
          <w:b/>
          <w:szCs w:val="24"/>
        </w:rPr>
        <w:t>real property is located</w:t>
      </w:r>
      <w:r w:rsidRPr="0034137D">
        <w:rPr>
          <w:rFonts w:ascii="Times New Roman" w:hAnsi="Times New Roman" w:cs="Times New Roman"/>
          <w:szCs w:val="24"/>
        </w:rPr>
        <w:t>; or</w:t>
      </w:r>
    </w:p>
    <w:p w14:paraId="3F01DB1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(2) in the case of an action not described in paragraph (1), bring such action only in the judicial district or similar legal entity --</w:t>
      </w:r>
    </w:p>
    <w:p w14:paraId="453F4585"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(A) in which such consumer signed the contract sued upon; or</w:t>
      </w:r>
    </w:p>
    <w:p w14:paraId="275AC753"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(B) in which such consumer resides at the commencement of the action.</w:t>
      </w:r>
    </w:p>
    <w:p w14:paraId="609D83FB"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Nothing in this title shall be construed to authorize the bringing of legal actions by debt collectors.</w:t>
      </w:r>
    </w:p>
    <w:p w14:paraId="15DD234E" w14:textId="6CEA363A" w:rsidR="00412DD0" w:rsidRPr="0034137D" w:rsidRDefault="00412DD0" w:rsidP="00312B56">
      <w:pPr>
        <w:pStyle w:val="Statutory1"/>
        <w:rPr>
          <w:rFonts w:ascii="Times New Roman" w:hAnsi="Times New Roman"/>
          <w:szCs w:val="24"/>
        </w:rPr>
      </w:pPr>
      <w:r w:rsidRPr="0034137D">
        <w:rPr>
          <w:rFonts w:ascii="Times New Roman" w:hAnsi="Times New Roman"/>
          <w:szCs w:val="24"/>
        </w:rPr>
        <w:t>§ 812</w:t>
      </w:r>
      <w:r w:rsidR="005F6A8B" w:rsidRPr="0034137D">
        <w:rPr>
          <w:rFonts w:ascii="Times New Roman" w:hAnsi="Times New Roman"/>
          <w:szCs w:val="24"/>
        </w:rPr>
        <w:t xml:space="preserve">. </w:t>
      </w:r>
      <w:r w:rsidRPr="0034137D">
        <w:rPr>
          <w:rFonts w:ascii="Times New Roman" w:hAnsi="Times New Roman"/>
          <w:szCs w:val="24"/>
        </w:rPr>
        <w:t>Furnishing certain deceptive forms [15 USC 1692j]</w:t>
      </w:r>
    </w:p>
    <w:p w14:paraId="5FA0291F"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Any person who violates this section shall be liable to the same extent and in the same manner as a debt collector is liable under section 813 for failure to comply with a provision of this title.</w:t>
      </w:r>
    </w:p>
    <w:p w14:paraId="760E2B4D" w14:textId="15184660" w:rsidR="00412DD0" w:rsidRPr="0034137D" w:rsidRDefault="00412DD0" w:rsidP="00312B56">
      <w:pPr>
        <w:pStyle w:val="Statutory1"/>
        <w:rPr>
          <w:rFonts w:ascii="Times New Roman" w:hAnsi="Times New Roman"/>
          <w:szCs w:val="24"/>
        </w:rPr>
      </w:pPr>
      <w:bookmarkStart w:id="6558" w:name="FDCPA813"/>
      <w:r w:rsidRPr="0034137D">
        <w:rPr>
          <w:rFonts w:ascii="Times New Roman" w:hAnsi="Times New Roman"/>
          <w:szCs w:val="24"/>
        </w:rPr>
        <w:t>§ 813</w:t>
      </w:r>
      <w:bookmarkEnd w:id="6558"/>
      <w:r w:rsidR="005F6A8B" w:rsidRPr="0034137D">
        <w:rPr>
          <w:rFonts w:ascii="Times New Roman" w:hAnsi="Times New Roman"/>
          <w:szCs w:val="24"/>
        </w:rPr>
        <w:t xml:space="preserve">. </w:t>
      </w:r>
      <w:r w:rsidRPr="0034137D">
        <w:rPr>
          <w:rFonts w:ascii="Times New Roman" w:hAnsi="Times New Roman"/>
          <w:szCs w:val="24"/>
        </w:rPr>
        <w:t>Civil liability [15 USC 1692k]</w:t>
      </w:r>
    </w:p>
    <w:p w14:paraId="18A0186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any actual damage sustained by such person as a result of such failure;</w:t>
      </w:r>
    </w:p>
    <w:p w14:paraId="05F45292"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(2) </w:t>
      </w:r>
    </w:p>
    <w:p w14:paraId="09106DF4"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(A) in the case of any action by an individual, such additional damages as the court may allow, but not exceeding $1,000; or</w:t>
      </w:r>
    </w:p>
    <w:p w14:paraId="5656E4FC" w14:textId="77777777" w:rsidR="00412DD0" w:rsidRPr="0034137D" w:rsidRDefault="00412DD0" w:rsidP="00F1200B">
      <w:pPr>
        <w:pStyle w:val="Statutory4"/>
        <w:rPr>
          <w:rFonts w:ascii="Times New Roman" w:hAnsi="Times New Roman" w:cs="Times New Roman"/>
          <w:szCs w:val="24"/>
        </w:rPr>
      </w:pPr>
      <w:r w:rsidRPr="0034137D">
        <w:rPr>
          <w:rFonts w:ascii="Times New Roman" w:hAnsi="Times New Roman" w:cs="Times New Roman"/>
          <w:szCs w:val="24"/>
        </w:rPr>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 xml:space="preserve">(3) in the case of any successful action to enforce the foregoing liability, </w:t>
      </w:r>
      <w:r w:rsidRPr="0034137D">
        <w:rPr>
          <w:rFonts w:ascii="Times New Roman" w:hAnsi="Times New Roman" w:cs="Times New Roman"/>
          <w:b/>
          <w:szCs w:val="24"/>
        </w:rPr>
        <w:t>the costs of the action, together with a reasonable attorney's fee as determined by the court</w:t>
      </w:r>
      <w:r w:rsidRPr="0034137D">
        <w:rPr>
          <w:rFonts w:ascii="Times New Roman" w:hAnsi="Times New Roman" w:cs="Times New Roman"/>
          <w:szCs w:val="24"/>
        </w:rPr>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(b) In determining the amount of liability in any action under subsection (a), the court shall consider, among other relevant factors --</w:t>
      </w:r>
    </w:p>
    <w:p w14:paraId="64A5E27A"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34137D" w:rsidRDefault="00412DD0" w:rsidP="00312B56">
      <w:pPr>
        <w:pStyle w:val="Statutory3"/>
        <w:rPr>
          <w:rFonts w:ascii="Times New Roman" w:hAnsi="Times New Roman" w:cs="Times New Roman"/>
          <w:szCs w:val="24"/>
        </w:rPr>
      </w:pPr>
      <w:r w:rsidRPr="0034137D">
        <w:rPr>
          <w:rFonts w:ascii="Times New Roman" w:hAnsi="Times New Roman" w:cs="Times New Roman"/>
          <w:szCs w:val="24"/>
        </w:rPr>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 xml:space="preserve">(c) A debt collector may not be held liable in any action brought under this title if the debt collector shows by a preponderance of evidence that the </w:t>
      </w:r>
      <w:r w:rsidRPr="0034137D">
        <w:rPr>
          <w:rFonts w:ascii="Times New Roman" w:hAnsi="Times New Roman" w:cs="Times New Roman"/>
          <w:b/>
          <w:szCs w:val="24"/>
        </w:rPr>
        <w:t>violation was not intentional and resulted from a bona fide error notwithstanding the maintenance of procedures reasonably adapted to avoid any such error</w:t>
      </w:r>
      <w:r w:rsidRPr="0034137D">
        <w:rPr>
          <w:rFonts w:ascii="Times New Roman" w:hAnsi="Times New Roman" w:cs="Times New Roman"/>
          <w:szCs w:val="24"/>
        </w:rPr>
        <w:t>.</w:t>
      </w:r>
    </w:p>
    <w:p w14:paraId="720FD064"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34137D" w:rsidRDefault="00412DD0" w:rsidP="00312B56">
      <w:pPr>
        <w:pStyle w:val="Statutory2"/>
        <w:rPr>
          <w:rFonts w:ascii="Times New Roman" w:hAnsi="Times New Roman" w:cs="Times New Roman"/>
          <w:szCs w:val="24"/>
        </w:rPr>
      </w:pPr>
      <w:r w:rsidRPr="0034137D">
        <w:rPr>
          <w:rFonts w:ascii="Times New Roman" w:hAnsi="Times New Roman" w:cs="Times New Roman"/>
          <w:szCs w:val="24"/>
        </w:rPr>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738DC837" w:rsidR="00412DD0" w:rsidRPr="0034137D" w:rsidRDefault="00412DD0" w:rsidP="00312B56">
      <w:pPr>
        <w:pStyle w:val="Statutory1"/>
        <w:rPr>
          <w:rFonts w:ascii="Times New Roman" w:hAnsi="Times New Roman"/>
          <w:szCs w:val="24"/>
        </w:rPr>
      </w:pPr>
      <w:r w:rsidRPr="0034137D">
        <w:rPr>
          <w:rFonts w:ascii="Times New Roman" w:hAnsi="Times New Roman"/>
          <w:szCs w:val="24"/>
        </w:rPr>
        <w:t>§ 814</w:t>
      </w:r>
      <w:r w:rsidR="005F6A8B" w:rsidRPr="0034137D">
        <w:rPr>
          <w:rFonts w:ascii="Times New Roman" w:hAnsi="Times New Roman"/>
          <w:szCs w:val="24"/>
        </w:rPr>
        <w:t xml:space="preserve">. </w:t>
      </w:r>
      <w:r w:rsidRPr="0034137D">
        <w:rPr>
          <w:rFonts w:ascii="Times New Roman" w:hAnsi="Times New Roman"/>
          <w:szCs w:val="24"/>
        </w:rPr>
        <w:t>Administrative enforcement   [15 USC 1692l] [omitted]</w:t>
      </w:r>
    </w:p>
    <w:p w14:paraId="23C5DA1D" w14:textId="35A94577" w:rsidR="00412DD0" w:rsidRPr="0034137D" w:rsidRDefault="00412DD0" w:rsidP="00312B56">
      <w:pPr>
        <w:pStyle w:val="Statutory1"/>
        <w:rPr>
          <w:rFonts w:ascii="Times New Roman" w:hAnsi="Times New Roman"/>
          <w:szCs w:val="24"/>
        </w:rPr>
      </w:pPr>
      <w:r w:rsidRPr="0034137D">
        <w:rPr>
          <w:rFonts w:ascii="Times New Roman" w:hAnsi="Times New Roman"/>
          <w:szCs w:val="24"/>
        </w:rPr>
        <w:t>§ 815</w:t>
      </w:r>
      <w:r w:rsidR="005F6A8B" w:rsidRPr="0034137D">
        <w:rPr>
          <w:rFonts w:ascii="Times New Roman" w:hAnsi="Times New Roman"/>
          <w:szCs w:val="24"/>
        </w:rPr>
        <w:t xml:space="preserve">. </w:t>
      </w:r>
      <w:r w:rsidRPr="0034137D">
        <w:rPr>
          <w:rFonts w:ascii="Times New Roman" w:hAnsi="Times New Roman"/>
          <w:szCs w:val="24"/>
        </w:rPr>
        <w:t>Reports to Congress by the Commission [15 USC 1692m] [omitted]</w:t>
      </w:r>
    </w:p>
    <w:p w14:paraId="784D61AC" w14:textId="64529328" w:rsidR="00412DD0" w:rsidRPr="0034137D" w:rsidRDefault="00412DD0" w:rsidP="00312B56">
      <w:pPr>
        <w:pStyle w:val="Statutory1"/>
        <w:rPr>
          <w:rFonts w:ascii="Times New Roman" w:hAnsi="Times New Roman"/>
          <w:szCs w:val="24"/>
        </w:rPr>
      </w:pPr>
      <w:r w:rsidRPr="0034137D">
        <w:rPr>
          <w:rFonts w:ascii="Times New Roman" w:hAnsi="Times New Roman"/>
          <w:szCs w:val="24"/>
        </w:rPr>
        <w:t>§ 816</w:t>
      </w:r>
      <w:r w:rsidR="005F6A8B" w:rsidRPr="0034137D">
        <w:rPr>
          <w:rFonts w:ascii="Times New Roman" w:hAnsi="Times New Roman"/>
          <w:szCs w:val="24"/>
        </w:rPr>
        <w:t xml:space="preserve">. </w:t>
      </w:r>
      <w:r w:rsidRPr="0034137D">
        <w:rPr>
          <w:rFonts w:ascii="Times New Roman" w:hAnsi="Times New Roman"/>
          <w:szCs w:val="24"/>
        </w:rPr>
        <w:t>Relation to State laws [15 USC 1692n]</w:t>
      </w:r>
      <w:r w:rsidR="005F6A8B" w:rsidRPr="0034137D">
        <w:rPr>
          <w:rFonts w:ascii="Times New Roman" w:hAnsi="Times New Roman"/>
          <w:szCs w:val="24"/>
        </w:rPr>
        <w:t xml:space="preserve">. </w:t>
      </w:r>
      <w:r w:rsidRPr="0034137D">
        <w:rPr>
          <w:rFonts w:ascii="Times New Roman" w:hAnsi="Times New Roman"/>
          <w:szCs w:val="24"/>
        </w:rPr>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a </w:t>
      </w:r>
      <w:r w:rsidRPr="0034137D">
        <w:rPr>
          <w:rFonts w:ascii="Times New Roman" w:hAnsi="Times New Roman"/>
          <w:b/>
          <w:szCs w:val="24"/>
        </w:rPr>
        <w:t>State law is not inconsistent with this title if the protection such law affords any consumer is greater</w:t>
      </w:r>
      <w:r w:rsidRPr="0034137D">
        <w:rPr>
          <w:rFonts w:ascii="Times New Roman" w:hAnsi="Times New Roman"/>
          <w:szCs w:val="24"/>
        </w:rPr>
        <w:t xml:space="preserve"> than the protection provided by this title.</w:t>
      </w:r>
    </w:p>
    <w:p w14:paraId="4BA90D34" w14:textId="422BFD7D" w:rsidR="00412DD0" w:rsidRPr="0034137D" w:rsidRDefault="00412DD0" w:rsidP="00312B56">
      <w:pPr>
        <w:pStyle w:val="Statutory1"/>
        <w:rPr>
          <w:rFonts w:ascii="Times New Roman" w:hAnsi="Times New Roman"/>
          <w:szCs w:val="24"/>
        </w:rPr>
      </w:pPr>
      <w:r w:rsidRPr="0034137D">
        <w:rPr>
          <w:rFonts w:ascii="Times New Roman" w:hAnsi="Times New Roman"/>
          <w:szCs w:val="24"/>
        </w:rPr>
        <w:t>§ 817</w:t>
      </w:r>
      <w:r w:rsidR="005F6A8B" w:rsidRPr="0034137D">
        <w:rPr>
          <w:rFonts w:ascii="Times New Roman" w:hAnsi="Times New Roman"/>
          <w:szCs w:val="24"/>
        </w:rPr>
        <w:t xml:space="preserve">. </w:t>
      </w:r>
      <w:r w:rsidRPr="0034137D">
        <w:rPr>
          <w:rFonts w:ascii="Times New Roman" w:hAnsi="Times New Roman"/>
          <w:szCs w:val="24"/>
        </w:rPr>
        <w:t>Exemption for State regulation   [15 USC 1692o]</w:t>
      </w:r>
      <w:r w:rsidR="005F6A8B" w:rsidRPr="0034137D">
        <w:rPr>
          <w:rFonts w:ascii="Times New Roman" w:hAnsi="Times New Roman"/>
          <w:szCs w:val="24"/>
        </w:rPr>
        <w:t xml:space="preserve">. </w:t>
      </w:r>
      <w:r w:rsidRPr="0034137D">
        <w:rPr>
          <w:rFonts w:ascii="Times New Roman" w:hAnsi="Times New Roman"/>
          <w:szCs w:val="24"/>
        </w:rPr>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34137D" w:rsidRDefault="00E6269F">
      <w:pPr>
        <w:spacing w:after="0"/>
        <w:rPr>
          <w:rFonts w:ascii="Times New Roman" w:hAnsi="Times New Roman"/>
          <w:szCs w:val="24"/>
        </w:rPr>
      </w:pPr>
      <w:r w:rsidRPr="0034137D">
        <w:rPr>
          <w:rFonts w:ascii="Times New Roman" w:hAnsi="Times New Roman"/>
          <w:szCs w:val="24"/>
        </w:rPr>
        <w:br w:type="page"/>
      </w:r>
    </w:p>
    <w:p w14:paraId="5FAC93CF" w14:textId="2EEA192A" w:rsidR="00E6269F" w:rsidRPr="004C0288" w:rsidRDefault="00AB4BE5" w:rsidP="007E61C1">
      <w:pPr>
        <w:pStyle w:val="APPENDIX"/>
        <w:numPr>
          <w:ilvl w:val="0"/>
          <w:numId w:val="0"/>
        </w:numPr>
      </w:pPr>
      <w:bookmarkStart w:id="6559" w:name="APPENDIXB"/>
      <w:bookmarkStart w:id="6560" w:name="_Toc90983835"/>
      <w:r>
        <w:t>Appendix B.</w:t>
      </w:r>
      <w:r w:rsidR="009A00A1">
        <w:t xml:space="preserve"> </w:t>
      </w:r>
      <w:bookmarkStart w:id="6561" w:name="_Toc79693529"/>
      <w:bookmarkStart w:id="6562" w:name="_Toc79693849"/>
      <w:bookmarkStart w:id="6563" w:name="_Toc79694802"/>
      <w:bookmarkStart w:id="6564" w:name="_Toc79695434"/>
      <w:bookmarkStart w:id="6565" w:name="_Toc79697680"/>
      <w:bookmarkStart w:id="6566" w:name="_Toc79699351"/>
      <w:bookmarkStart w:id="6567" w:name="_Toc79699677"/>
      <w:bookmarkStart w:id="6568" w:name="_Toc79700015"/>
      <w:bookmarkStart w:id="6569" w:name="_Toc87039439"/>
      <w:bookmarkEnd w:id="6559"/>
      <w:r w:rsidR="00E6269F" w:rsidRPr="004C0288">
        <w:t>Federal Wage Garnishment Limits</w:t>
      </w:r>
      <w:bookmarkEnd w:id="6560"/>
      <w:bookmarkEnd w:id="6561"/>
      <w:bookmarkEnd w:id="6562"/>
      <w:bookmarkEnd w:id="6563"/>
      <w:bookmarkEnd w:id="6564"/>
      <w:bookmarkEnd w:id="6565"/>
      <w:bookmarkEnd w:id="6566"/>
      <w:bookmarkEnd w:id="6567"/>
      <w:bookmarkEnd w:id="6568"/>
      <w:bookmarkEnd w:id="6569"/>
    </w:p>
    <w:bookmarkStart w:id="6570" w:name="AppB1672"/>
    <w:p w14:paraId="60B1A332" w14:textId="20C92189" w:rsidR="00E6269F" w:rsidRPr="00746DA8" w:rsidRDefault="00F1200B"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"https://www.law.cornell.edu/uscode/text/15/1672" </w:instrText>
      </w:r>
      <w:r w:rsidRPr="00746DA8">
        <w:rPr>
          <w:rFonts w:ascii="Times New Roman" w:hAnsi="Times New Roman"/>
          <w:szCs w:val="24"/>
        </w:rPr>
        <w:fldChar w:fldCharType="separate"/>
      </w:r>
      <w:r w:rsidR="00E6269F" w:rsidRPr="00746DA8">
        <w:rPr>
          <w:rStyle w:val="Hyperlink"/>
          <w:rFonts w:ascii="Times New Roman" w:hAnsi="Times New Roman"/>
          <w:szCs w:val="24"/>
        </w:rPr>
        <w:t>15 U.S.C. § 1672</w:t>
      </w:r>
      <w:bookmarkEnd w:id="6570"/>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Definitions</w:t>
      </w:r>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For the purposes of this subchapter:</w:t>
      </w:r>
      <w:r w:rsidRPr="00746DA8">
        <w:rPr>
          <w:rFonts w:ascii="Times New Roman" w:hAnsi="Times New Roman"/>
          <w:szCs w:val="24"/>
        </w:rPr>
        <w:fldChar w:fldCharType="end"/>
      </w:r>
    </w:p>
    <w:p w14:paraId="19CE98D2"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The term “disposable earnings” means that part of the earnings of any individual remaining after the deduction from those earnings of any amounts required by law to be withheld.</w:t>
      </w:r>
    </w:p>
    <w:p w14:paraId="3D5DC156"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(c) The term “garnishment” means any legal or equitable procedure through which the earnings of any individual are required to be withheld for payment of any debt.</w:t>
      </w:r>
    </w:p>
    <w:bookmarkStart w:id="6571" w:name="APPB1673"/>
    <w:p w14:paraId="50CED92E" w14:textId="5F183BB1" w:rsidR="00E6269F" w:rsidRPr="00746DA8" w:rsidRDefault="00F1200B"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"https://www.law.cornell.edu/uscode/text/15/1673" </w:instrText>
      </w:r>
      <w:r w:rsidRPr="00746DA8">
        <w:rPr>
          <w:rFonts w:ascii="Times New Roman" w:hAnsi="Times New Roman"/>
          <w:szCs w:val="24"/>
        </w:rPr>
        <w:fldChar w:fldCharType="separate"/>
      </w:r>
      <w:r w:rsidR="00E6269F" w:rsidRPr="00746DA8">
        <w:rPr>
          <w:rStyle w:val="Hyperlink"/>
          <w:rFonts w:ascii="Times New Roman" w:hAnsi="Times New Roman"/>
          <w:szCs w:val="24"/>
        </w:rPr>
        <w:t>15 U.S.C. 1673</w:t>
      </w:r>
      <w:bookmarkEnd w:id="6571"/>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Restriction on garnishment</w:t>
      </w:r>
      <w:r w:rsidRPr="00746DA8">
        <w:rPr>
          <w:rFonts w:ascii="Times New Roman" w:hAnsi="Times New Roman"/>
          <w:szCs w:val="24"/>
        </w:rPr>
        <w:fldChar w:fldCharType="end"/>
      </w:r>
      <w:r w:rsidR="00375CFD" w:rsidRPr="00746DA8">
        <w:rPr>
          <w:rFonts w:ascii="Times New Roman" w:hAnsi="Times New Roman"/>
          <w:szCs w:val="24"/>
        </w:rPr>
        <w:t>.</w:t>
      </w:r>
    </w:p>
    <w:p w14:paraId="2A6EAADB" w14:textId="2DC7F595"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Maximum allowable garnishment</w:t>
      </w:r>
      <w:r w:rsidR="005F6A8B" w:rsidRPr="00746DA8">
        <w:rPr>
          <w:rFonts w:ascii="Times New Roman" w:hAnsi="Times New Roman" w:cs="Times New Roman"/>
          <w:szCs w:val="24"/>
        </w:rPr>
        <w:t xml:space="preserve">. </w:t>
      </w:r>
      <w:r w:rsidRPr="00746DA8">
        <w:rPr>
          <w:rFonts w:ascii="Times New Roman" w:hAnsi="Times New Roman" w:cs="Times New Roman"/>
          <w:szCs w:val="24"/>
        </w:rPr>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(1) 25 per centum of his disposable earnings for that week, or</w:t>
      </w:r>
    </w:p>
    <w:p w14:paraId="18532394"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(2) the amount by which his disposable earnings for that week exceed thirty times the Federal minimum hourly wage prescribed by section 206 (a)(1) of title 29 in effect at the time the earnings are payable,</w:t>
      </w:r>
    </w:p>
    <w:p w14:paraId="4888B46A"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Exceptions</w:t>
      </w:r>
    </w:p>
    <w:p w14:paraId="65276271"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(1) The restrictions of subsection (a) of this section do not apply in the case of</w:t>
      </w:r>
    </w:p>
    <w:p w14:paraId="32F8710D"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(B) any order of any court of the United States having jurisdiction over cases under chapter 13 of title 11.</w:t>
      </w:r>
    </w:p>
    <w:p w14:paraId="61F4B339"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(C) any debt due for any State or Federal tax.</w:t>
      </w:r>
    </w:p>
    <w:p w14:paraId="038C8062" w14:textId="77777777" w:rsidR="00E6269F" w:rsidRPr="00746DA8" w:rsidRDefault="00E6269F" w:rsidP="00F1200B">
      <w:pPr>
        <w:pStyle w:val="Statutory3"/>
        <w:ind w:left="2160"/>
        <w:rPr>
          <w:rFonts w:ascii="Times New Roman" w:hAnsi="Times New Roman" w:cs="Times New Roman"/>
          <w:szCs w:val="24"/>
        </w:rPr>
      </w:pPr>
      <w:r w:rsidRPr="00746DA8">
        <w:rPr>
          <w:rFonts w:ascii="Times New Roman" w:hAnsi="Times New Roman" w:cs="Times New Roman"/>
          <w:szCs w:val="24"/>
        </w:rPr>
        <w:t>(2) The maximum part of the aggregate disposable earnings of an individual for any workweek which is subject to garnishment to enforce any order for the support of any person shall not exceed—</w:t>
      </w:r>
    </w:p>
    <w:p w14:paraId="4025D537" w14:textId="77777777"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(A) where such individual is supporting his spouse or dependent child (other than a spouse or child with respect to whose support such order is used), 50 per centum of such individual’s disposable earnings for that week; and</w:t>
      </w:r>
    </w:p>
    <w:p w14:paraId="4B4315CE" w14:textId="6C9B036F"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(B) where such individual is not supporting such a spouse or dependent child described in clause (A), 60 per centum of such individual’s disposable earnings for that week;</w:t>
      </w:r>
      <w:r w:rsidR="00F1200B" w:rsidRPr="00746DA8">
        <w:rPr>
          <w:rFonts w:ascii="Times New Roman" w:hAnsi="Times New Roman" w:cs="Times New Roman"/>
          <w:szCs w:val="24"/>
        </w:rPr>
        <w:t xml:space="preserve"> </w:t>
      </w:r>
      <w:r w:rsidRPr="00746DA8">
        <w:rPr>
          <w:rFonts w:ascii="Times New Roman" w:hAnsi="Times New Roman" w:cs="Times New Roman"/>
          <w:szCs w:val="24"/>
        </w:rPr>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46DA8" w:rsidRDefault="00E6269F" w:rsidP="00F1200B">
      <w:pPr>
        <w:pStyle w:val="Statutory4"/>
        <w:rPr>
          <w:rFonts w:ascii="Times New Roman" w:hAnsi="Times New Roman" w:cs="Times New Roman"/>
          <w:szCs w:val="24"/>
        </w:rPr>
      </w:pPr>
      <w:r w:rsidRPr="00746DA8">
        <w:rPr>
          <w:rFonts w:ascii="Times New Roman" w:hAnsi="Times New Roman" w:cs="Times New Roman"/>
          <w:szCs w:val="24"/>
        </w:rPr>
        <w:t>(c) Execution or enforcement of garnishment order or process prohibited</w:t>
      </w:r>
      <w:r w:rsidR="005F6A8B" w:rsidRPr="00746DA8">
        <w:rPr>
          <w:rFonts w:ascii="Times New Roman" w:hAnsi="Times New Roman" w:cs="Times New Roman"/>
          <w:szCs w:val="24"/>
        </w:rPr>
        <w:t xml:space="preserve">. </w:t>
      </w:r>
      <w:r w:rsidRPr="00746DA8">
        <w:rPr>
          <w:rFonts w:ascii="Times New Roman" w:hAnsi="Times New Roman" w:cs="Times New Roman"/>
          <w:szCs w:val="24"/>
        </w:rPr>
        <w:t>No court of the United States or any State, and no State (or officer or agency thereof), may make, execute, or enforce any order or process in violation of this section.</w:t>
      </w:r>
    </w:p>
    <w:bookmarkStart w:id="6572" w:name="APPB1674"/>
    <w:p w14:paraId="3FE41AC3" w14:textId="3FB6D49C" w:rsidR="00E6269F" w:rsidRPr="00746DA8" w:rsidRDefault="00375CFD"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"https://www.law.cornell.edu/uscode/text/15/1674" </w:instrText>
      </w:r>
      <w:r w:rsidRPr="00746DA8">
        <w:rPr>
          <w:rFonts w:ascii="Times New Roman" w:hAnsi="Times New Roman"/>
          <w:szCs w:val="24"/>
        </w:rPr>
        <w:fldChar w:fldCharType="separate"/>
      </w:r>
      <w:r w:rsidR="00E6269F" w:rsidRPr="00746DA8">
        <w:rPr>
          <w:rStyle w:val="Hyperlink"/>
          <w:rFonts w:ascii="Times New Roman" w:hAnsi="Times New Roman"/>
          <w:szCs w:val="24"/>
        </w:rPr>
        <w:t xml:space="preserve">15 U.S. Code § 1674 </w:t>
      </w:r>
      <w:bookmarkEnd w:id="6572"/>
      <w:r w:rsidR="00E6269F" w:rsidRPr="00746DA8">
        <w:rPr>
          <w:rStyle w:val="Hyperlink"/>
          <w:rFonts w:ascii="Times New Roman" w:hAnsi="Times New Roman"/>
          <w:szCs w:val="24"/>
        </w:rPr>
        <w:t>- Restriction on discharge from employment by reason of garnishment</w:t>
      </w:r>
      <w:r w:rsidRPr="00746DA8">
        <w:rPr>
          <w:rFonts w:ascii="Times New Roman" w:hAnsi="Times New Roman"/>
          <w:szCs w:val="24"/>
        </w:rPr>
        <w:fldChar w:fldCharType="end"/>
      </w:r>
      <w:r w:rsidRPr="00746DA8">
        <w:rPr>
          <w:rFonts w:ascii="Times New Roman" w:hAnsi="Times New Roman"/>
          <w:szCs w:val="24"/>
        </w:rPr>
        <w:t>.</w:t>
      </w:r>
    </w:p>
    <w:p w14:paraId="2CE384D5" w14:textId="31EA31F1"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(a) Termination of employment</w:t>
      </w:r>
      <w:r w:rsidR="005F6A8B" w:rsidRPr="00746DA8">
        <w:rPr>
          <w:rFonts w:ascii="Times New Roman" w:hAnsi="Times New Roman" w:cs="Times New Roman"/>
          <w:szCs w:val="24"/>
        </w:rPr>
        <w:t xml:space="preserve">. </w:t>
      </w:r>
      <w:r w:rsidRPr="00746DA8">
        <w:rPr>
          <w:rFonts w:ascii="Times New Roman" w:hAnsi="Times New Roman" w:cs="Times New Roman"/>
          <w:szCs w:val="24"/>
        </w:rPr>
        <w:t>No employer may discharge any employee by reason of the fact that his earnings have been subjected to garnishment for any one indebtedness.</w:t>
      </w:r>
    </w:p>
    <w:p w14:paraId="2F6B98A0" w14:textId="65AB8CDD"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(b) Penalties</w:t>
      </w:r>
      <w:r w:rsidR="005F6A8B" w:rsidRPr="00746DA8">
        <w:rPr>
          <w:rFonts w:ascii="Times New Roman" w:hAnsi="Times New Roman" w:cs="Times New Roman"/>
          <w:szCs w:val="24"/>
        </w:rPr>
        <w:t xml:space="preserve">. </w:t>
      </w:r>
      <w:r w:rsidRPr="00746DA8">
        <w:rPr>
          <w:rFonts w:ascii="Times New Roman" w:hAnsi="Times New Roman" w:cs="Times New Roman"/>
          <w:szCs w:val="24"/>
        </w:rPr>
        <w:t>Whoever willfully violates subsection (a) of this section shall be fined not more than $1,000, or imprisoned not more than one year, or both.</w:t>
      </w:r>
    </w:p>
    <w:bookmarkStart w:id="6573" w:name="App61677"/>
    <w:p w14:paraId="4DCB0346" w14:textId="6407404F" w:rsidR="00E6269F" w:rsidRPr="00746DA8" w:rsidRDefault="00375CFD" w:rsidP="00312B56">
      <w:pPr>
        <w:pStyle w:val="Statutory1"/>
        <w:rPr>
          <w:rFonts w:ascii="Times New Roman" w:hAnsi="Times New Roman"/>
          <w:szCs w:val="24"/>
        </w:rPr>
      </w:pPr>
      <w:r w:rsidRPr="00746DA8">
        <w:rPr>
          <w:rFonts w:ascii="Times New Roman" w:hAnsi="Times New Roman"/>
          <w:szCs w:val="24"/>
        </w:rPr>
        <w:fldChar w:fldCharType="begin"/>
      </w:r>
      <w:r w:rsidRPr="00746DA8">
        <w:rPr>
          <w:rFonts w:ascii="Times New Roman" w:hAnsi="Times New Roman"/>
          <w:szCs w:val="24"/>
        </w:rPr>
        <w:instrText xml:space="preserve"> HYPERLINK "https://www.law.cornell.edu/uscode/text/15/1677" </w:instrText>
      </w:r>
      <w:r w:rsidRPr="00746DA8">
        <w:rPr>
          <w:rFonts w:ascii="Times New Roman" w:hAnsi="Times New Roman"/>
          <w:szCs w:val="24"/>
        </w:rPr>
        <w:fldChar w:fldCharType="separate"/>
      </w:r>
      <w:r w:rsidR="00E6269F" w:rsidRPr="00746DA8">
        <w:rPr>
          <w:rStyle w:val="Hyperlink"/>
          <w:rFonts w:ascii="Times New Roman" w:hAnsi="Times New Roman"/>
          <w:szCs w:val="24"/>
        </w:rPr>
        <w:t xml:space="preserve">15 U.S. Code § 1677 </w:t>
      </w:r>
      <w:bookmarkEnd w:id="6573"/>
      <w:r w:rsidR="00E6269F" w:rsidRPr="00746DA8">
        <w:rPr>
          <w:rStyle w:val="Hyperlink"/>
          <w:rFonts w:ascii="Times New Roman" w:hAnsi="Times New Roman"/>
          <w:szCs w:val="24"/>
        </w:rPr>
        <w:t>- Effect on State laws</w:t>
      </w:r>
      <w:r w:rsidR="005F6A8B" w:rsidRPr="00746DA8">
        <w:rPr>
          <w:rStyle w:val="Hyperlink"/>
          <w:rFonts w:ascii="Times New Roman" w:hAnsi="Times New Roman"/>
          <w:szCs w:val="24"/>
        </w:rPr>
        <w:t xml:space="preserve">. </w:t>
      </w:r>
      <w:r w:rsidR="00E6269F" w:rsidRPr="00746DA8">
        <w:rPr>
          <w:rStyle w:val="Hyperlink"/>
          <w:rFonts w:ascii="Times New Roman" w:hAnsi="Times New Roman"/>
          <w:szCs w:val="24"/>
        </w:rPr>
        <w:t>This subchapter does not annul, alter, or affect, or exempt any person from complying with, the laws of any State</w:t>
      </w:r>
      <w:r w:rsidRPr="00746DA8">
        <w:rPr>
          <w:rFonts w:ascii="Times New Roman" w:hAnsi="Times New Roman"/>
          <w:szCs w:val="24"/>
        </w:rPr>
        <w:fldChar w:fldCharType="end"/>
      </w:r>
      <w:r w:rsidRPr="00746DA8">
        <w:rPr>
          <w:rFonts w:ascii="Times New Roman" w:hAnsi="Times New Roman"/>
          <w:szCs w:val="24"/>
        </w:rPr>
        <w:t>.</w:t>
      </w:r>
    </w:p>
    <w:p w14:paraId="00496369" w14:textId="77777777" w:rsidR="00E6269F" w:rsidRPr="00746DA8" w:rsidRDefault="00E6269F" w:rsidP="00312B56">
      <w:pPr>
        <w:pStyle w:val="Statutory2"/>
        <w:rPr>
          <w:rFonts w:ascii="Times New Roman" w:hAnsi="Times New Roman" w:cs="Times New Roman"/>
          <w:szCs w:val="24"/>
        </w:rPr>
      </w:pPr>
      <w:r w:rsidRPr="00746DA8">
        <w:rPr>
          <w:rFonts w:ascii="Times New Roman" w:hAnsi="Times New Roman" w:cs="Times New Roman"/>
          <w:szCs w:val="24"/>
        </w:rPr>
        <w:t>(1) prohibiting garnishments or providing for more limited garnishment than are allowed under this subchapter, or</w:t>
      </w:r>
    </w:p>
    <w:p w14:paraId="59D52322" w14:textId="1A77517E" w:rsidR="00E6269F" w:rsidRPr="00746DA8" w:rsidRDefault="00E6269F" w:rsidP="00375CFD">
      <w:pPr>
        <w:ind w:left="1440"/>
        <w:rPr>
          <w:rFonts w:ascii="Times New Roman" w:hAnsi="Times New Roman"/>
          <w:szCs w:val="24"/>
        </w:rPr>
      </w:pPr>
      <w:r w:rsidRPr="00746DA8">
        <w:rPr>
          <w:rFonts w:ascii="Times New Roman" w:hAnsi="Times New Roman"/>
          <w:szCs w:val="24"/>
        </w:rPr>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4C519E1F" w:rsidR="00385CFC" w:rsidRPr="004C0288" w:rsidRDefault="00AB4BE5" w:rsidP="007E61C1">
      <w:pPr>
        <w:pStyle w:val="APPENDIX"/>
        <w:numPr>
          <w:ilvl w:val="0"/>
          <w:numId w:val="0"/>
        </w:numPr>
      </w:pPr>
      <w:bookmarkStart w:id="6574" w:name="_APPENDIX_C:_"/>
      <w:bookmarkStart w:id="6575" w:name="AppendixC"/>
      <w:bookmarkStart w:id="6576" w:name="_Toc90983836"/>
      <w:bookmarkEnd w:id="6574"/>
      <w:r>
        <w:t>Appendix C.</w:t>
      </w:r>
      <w:r w:rsidR="009A00A1">
        <w:t xml:space="preserve"> </w:t>
      </w:r>
      <w:bookmarkStart w:id="6577" w:name="_Toc79693530"/>
      <w:bookmarkStart w:id="6578" w:name="_Toc79693850"/>
      <w:bookmarkStart w:id="6579" w:name="_Toc79694803"/>
      <w:bookmarkStart w:id="6580" w:name="_Toc79695435"/>
      <w:bookmarkStart w:id="6581" w:name="_Toc79697681"/>
      <w:bookmarkStart w:id="6582" w:name="_Toc79699352"/>
      <w:bookmarkStart w:id="6583" w:name="_Toc79699678"/>
      <w:bookmarkStart w:id="6584" w:name="_Toc79700016"/>
      <w:bookmarkStart w:id="6585" w:name="_Toc87039440"/>
      <w:bookmarkEnd w:id="6575"/>
      <w:r w:rsidR="00B45943" w:rsidRPr="004C0288">
        <w:t xml:space="preserve">New York </w:t>
      </w:r>
      <w:r w:rsidR="00385CFC" w:rsidRPr="004C0288">
        <w:t>Exemptions</w:t>
      </w:r>
      <w:bookmarkEnd w:id="6576"/>
      <w:bookmarkEnd w:id="6577"/>
      <w:bookmarkEnd w:id="6578"/>
      <w:bookmarkEnd w:id="6579"/>
      <w:bookmarkEnd w:id="6580"/>
      <w:bookmarkEnd w:id="6581"/>
      <w:bookmarkEnd w:id="6582"/>
      <w:bookmarkEnd w:id="6583"/>
      <w:bookmarkEnd w:id="6584"/>
      <w:bookmarkEnd w:id="6585"/>
    </w:p>
    <w:p w14:paraId="7BD8DAB8" w14:textId="77A06A74" w:rsidR="00B9718B" w:rsidRPr="00746DA8" w:rsidRDefault="0091145C" w:rsidP="00AB4BE5">
      <w:pPr>
        <w:pStyle w:val="Heading2"/>
        <w:numPr>
          <w:ilvl w:val="0"/>
          <w:numId w:val="0"/>
        </w:numPr>
        <w:ind w:left="1224" w:hanging="864"/>
      </w:pPr>
      <w:bookmarkStart w:id="6586" w:name="_Toc79700334"/>
      <w:bookmarkStart w:id="6587" w:name="_Toc79700656"/>
      <w:bookmarkStart w:id="6588" w:name="_Toc90983837"/>
      <w:r w:rsidRPr="00746DA8">
        <w:t>C.1.</w:t>
      </w:r>
      <w:r w:rsidRPr="00746DA8">
        <w:tab/>
      </w:r>
      <w:hyperlink r:id="rId357" w:history="1">
        <w:r w:rsidR="00B9718B" w:rsidRPr="00746DA8">
          <w:rPr>
            <w:rStyle w:val="Hyperlink"/>
          </w:rPr>
          <w:t>CPLR § 5201</w:t>
        </w:r>
        <w:r w:rsidR="00083725" w:rsidRPr="00746DA8">
          <w:rPr>
            <w:rStyle w:val="Hyperlink"/>
          </w:rPr>
          <w:t xml:space="preserve">. </w:t>
        </w:r>
        <w:r w:rsidR="00312B56" w:rsidRPr="00746DA8">
          <w:rPr>
            <w:rStyle w:val="Hyperlink"/>
          </w:rPr>
          <w:t>Debt or property subject to enforcement;  proper garnishee</w:t>
        </w:r>
      </w:hyperlink>
      <w:r w:rsidR="00F1200B" w:rsidRPr="00746DA8">
        <w:t>.</w:t>
      </w:r>
      <w:bookmarkEnd w:id="6586"/>
      <w:bookmarkEnd w:id="6587"/>
      <w:bookmarkEnd w:id="6588"/>
    </w:p>
    <w:p w14:paraId="182DCA78" w14:textId="77777777" w:rsidR="00B9718B" w:rsidRPr="00746DA8" w:rsidRDefault="00B9718B" w:rsidP="00B9718B">
      <w:pPr>
        <w:pStyle w:val="0-NORMAL"/>
      </w:pPr>
      <w:r w:rsidRPr="00746DA8">
        <w:t>a) Debt against which a money judgment may be enforced.  A money judgment may be enforced against any debt, which is past due or which is yet to become due, certainly or upon demand of the judgment debtor, whether it was incurred within or without the state, to or from a resident or non-resident, unless it is exempt from application to the satisfaction of the judgment.  A debt may consist of a cause of action which could be assigned or transferred accruing within or without the state.</w:t>
      </w:r>
    </w:p>
    <w:p w14:paraId="064CCE4C" w14:textId="77777777" w:rsidR="00B9718B" w:rsidRPr="00746DA8" w:rsidRDefault="00B9718B" w:rsidP="00B9718B">
      <w:pPr>
        <w:pStyle w:val="0-NORMAL"/>
      </w:pPr>
      <w:r w:rsidRPr="00746DA8">
        <w:t>(b) Property against which a money judgment may be enforced.  A money judgment may be enforced against any property which could be assigned or transferred, whether it consists of a present or future right or interest and whether or not it is vested, unless it is exempt from application to the satisfaction of the judgment.  A money judgment entered upon a joint liability of two or more persons may be enforced against individual property of those persons summoned and joint property of such persons with any other persons against whom the judgment is entered.</w:t>
      </w:r>
    </w:p>
    <w:p w14:paraId="5E8737B2" w14:textId="77777777" w:rsidR="00B9718B" w:rsidRPr="00746DA8" w:rsidRDefault="00B9718B" w:rsidP="00B9718B">
      <w:pPr>
        <w:pStyle w:val="0-NORMAL"/>
      </w:pPr>
      <w:r w:rsidRPr="00746DA8">
        <w:t>(c) Proper garnishee for particular property or debt</w:t>
      </w:r>
    </w:p>
    <w:p w14:paraId="59729733" w14:textId="77777777" w:rsidR="00312B56" w:rsidRPr="00746DA8" w:rsidRDefault="00B9718B" w:rsidP="00312B56">
      <w:pPr>
        <w:pStyle w:val="0-NORMAL"/>
        <w:ind w:left="720"/>
      </w:pPr>
      <w:r w:rsidRPr="00746DA8">
        <w:t>1. Where property consists of a right or share in the stock of an association or corporation, or interests or profits therein, for which a certificate of stock or other negotiable instrument is not outstanding, the corporation, or the president or treasurer of the association on behalf of the association, shall be the garnishee.</w:t>
      </w:r>
    </w:p>
    <w:p w14:paraId="5F3C0AF6" w14:textId="77777777" w:rsidR="00312B56" w:rsidRPr="00746DA8" w:rsidRDefault="00B9718B" w:rsidP="00312B56">
      <w:pPr>
        <w:pStyle w:val="0-NORMAL"/>
        <w:ind w:left="720"/>
      </w:pPr>
      <w:r w:rsidRPr="00746DA8">
        <w:t>2. Where property consists of a right or interest to or in a decedent's estate or any other property or fund held or controlled by a fiduciary, the executor or trustee under the will, administrator or other fiduciary shall be the garnishee.</w:t>
      </w:r>
    </w:p>
    <w:p w14:paraId="6F0AB2BD" w14:textId="77777777" w:rsidR="00312B56" w:rsidRPr="00746DA8" w:rsidRDefault="00B9718B" w:rsidP="00312B56">
      <w:pPr>
        <w:pStyle w:val="0-NORMAL"/>
        <w:ind w:left="720"/>
      </w:pPr>
      <w:r w:rsidRPr="00746DA8">
        <w:t>3. Where property consists of an interest in a partnership, any partner other than the judgment debtor, on behalf of the partnership, shall be the garnishee.</w:t>
      </w:r>
    </w:p>
    <w:p w14:paraId="5126131F" w14:textId="4EC1774D" w:rsidR="00B9718B" w:rsidRPr="00746DA8" w:rsidRDefault="00B9718B" w:rsidP="00312B56">
      <w:pPr>
        <w:pStyle w:val="0-NORMAL"/>
        <w:ind w:left="720"/>
      </w:pPr>
      <w:r w:rsidRPr="00746DA8">
        <w:t>4. Where property or a debt is evidenced by a negotiable instrument for the payment of money, a negotiable document of title or a certificate of stock of an association or corporation, the instrument, document or certificate shall be treated as property capable of delivery and the person holding it shall be the garnishee;  except that section 8-112 of the uniform commercial code shall govern the extent to which and the means by which any interest in a certificated security, uncertificated security or security entitlement (as defined in article eight of the uniform commercial code) may be reached by garnishment, attachment or other legal process.</w:t>
      </w:r>
    </w:p>
    <w:p w14:paraId="137C46E5" w14:textId="6CFFC4E2" w:rsidR="00312B56" w:rsidRPr="00746DA8" w:rsidRDefault="00312B56" w:rsidP="00AB4BE5">
      <w:pPr>
        <w:pStyle w:val="Heading2"/>
        <w:numPr>
          <w:ilvl w:val="0"/>
          <w:numId w:val="0"/>
        </w:numPr>
        <w:ind w:left="1224" w:hanging="864"/>
      </w:pPr>
      <w:bookmarkStart w:id="6589" w:name="_Toc79700335"/>
      <w:bookmarkStart w:id="6590" w:name="_Toc79700657"/>
      <w:bookmarkStart w:id="6591" w:name="_Toc90983838"/>
      <w:r w:rsidRPr="00746DA8">
        <w:t>C.2.</w:t>
      </w:r>
      <w:r w:rsidRPr="00746DA8">
        <w:tab/>
      </w:r>
      <w:hyperlink r:id="rId358" w:history="1">
        <w:r w:rsidRPr="00746DA8">
          <w:rPr>
            <w:rStyle w:val="Hyperlink"/>
          </w:rPr>
          <w:t>CPLR § 5202</w:t>
        </w:r>
        <w:r w:rsidR="00083725" w:rsidRPr="00746DA8">
          <w:rPr>
            <w:rStyle w:val="Hyperlink"/>
          </w:rPr>
          <w:t xml:space="preserve">. </w:t>
        </w:r>
        <w:r w:rsidRPr="00746DA8">
          <w:rPr>
            <w:rStyle w:val="Hyperlink"/>
          </w:rPr>
          <w:t>Judgment creditor's rights in personal property</w:t>
        </w:r>
      </w:hyperlink>
      <w:r w:rsidRPr="00746DA8">
        <w:t>.</w:t>
      </w:r>
      <w:bookmarkEnd w:id="6589"/>
      <w:bookmarkEnd w:id="6590"/>
      <w:bookmarkEnd w:id="6591"/>
    </w:p>
    <w:p w14:paraId="2BF1E2A4"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(a) Execution creditor's rights.  Where a judgment creditor has delivered an execution to a sheriff, the judgment creditor's rights in a debt owed to the judgment debtor or in an interest of the judgment debtor in personal property, against which debt or property the judgment may be enforced, are superior to the extent of the amount of the execution to the rights of any transferee of the debt or property, except:</w:t>
      </w:r>
    </w:p>
    <w:p w14:paraId="1551B692"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1. a transferee who acquired the debt or property for fair consideration before it was levied upon;  or</w:t>
      </w:r>
    </w:p>
    <w:p w14:paraId="61001551" w14:textId="2D5447C2" w:rsidR="00312B56" w:rsidRPr="00746DA8" w:rsidRDefault="00312B56" w:rsidP="00312B56">
      <w:pPr>
        <w:ind w:left="1440"/>
        <w:rPr>
          <w:rFonts w:ascii="Times New Roman" w:hAnsi="Times New Roman"/>
          <w:szCs w:val="24"/>
        </w:rPr>
      </w:pPr>
      <w:r w:rsidRPr="00746DA8">
        <w:rPr>
          <w:rFonts w:ascii="Times New Roman" w:hAnsi="Times New Roman"/>
          <w:szCs w:val="24"/>
        </w:rPr>
        <w:t>2. a transferee who acquired a debt or personal property not capable of delivery for fair consideration after it was levied upon without knowledge of the levy.</w:t>
      </w:r>
    </w:p>
    <w:p w14:paraId="7B576927" w14:textId="0ECB6B8A" w:rsidR="00B9718B" w:rsidRPr="00746DA8" w:rsidRDefault="00312B56" w:rsidP="00312B56">
      <w:pPr>
        <w:ind w:left="720"/>
        <w:rPr>
          <w:rFonts w:ascii="Times New Roman" w:hAnsi="Times New Roman"/>
          <w:szCs w:val="24"/>
        </w:rPr>
      </w:pPr>
      <w:r w:rsidRPr="00746DA8">
        <w:rPr>
          <w:rFonts w:ascii="Times New Roman" w:hAnsi="Times New Roman"/>
          <w:szCs w:val="24"/>
        </w:rPr>
        <w:t>(b) Other judgment creditor's rights.  Where a judgment creditor has secured an order for delivery of, payment of, or appointment of a receiver of, a debt owed to the judgment debtor or an interest of the judgment debtor in personal property, the judgment creditor's rights in the debt or property are superior to the rights of any transferee of the debt or property, except a transferee who acquired the debt or property for fair consideration and without notice of such order.</w:t>
      </w:r>
    </w:p>
    <w:p w14:paraId="0B6C9785" w14:textId="00139BC8" w:rsidR="00312B56" w:rsidRPr="00746DA8" w:rsidRDefault="00312B56" w:rsidP="00AB4BE5">
      <w:pPr>
        <w:pStyle w:val="Heading2"/>
        <w:numPr>
          <w:ilvl w:val="0"/>
          <w:numId w:val="0"/>
        </w:numPr>
        <w:ind w:left="1224" w:hanging="864"/>
      </w:pPr>
      <w:bookmarkStart w:id="6592" w:name="_Toc79700336"/>
      <w:bookmarkStart w:id="6593" w:name="_Toc79700658"/>
      <w:bookmarkStart w:id="6594" w:name="_Toc90983839"/>
      <w:r w:rsidRPr="00746DA8">
        <w:t>C.3.</w:t>
      </w:r>
      <w:r w:rsidRPr="00746DA8">
        <w:tab/>
      </w:r>
      <w:hyperlink r:id="rId359" w:history="1">
        <w:r w:rsidRPr="00746DA8">
          <w:rPr>
            <w:rStyle w:val="Hyperlink"/>
          </w:rPr>
          <w:t>CPLR § 5203</w:t>
        </w:r>
        <w:r w:rsidR="00083725" w:rsidRPr="00746DA8">
          <w:rPr>
            <w:rStyle w:val="Hyperlink"/>
          </w:rPr>
          <w:t xml:space="preserve">. </w:t>
        </w:r>
        <w:r w:rsidRPr="00746DA8">
          <w:rPr>
            <w:rStyle w:val="Hyperlink"/>
          </w:rPr>
          <w:t>Priorities and liens upon real property</w:t>
        </w:r>
      </w:hyperlink>
      <w:r w:rsidRPr="00746DA8">
        <w:t>.</w:t>
      </w:r>
      <w:bookmarkEnd w:id="6592"/>
      <w:bookmarkEnd w:id="6593"/>
      <w:bookmarkEnd w:id="6594"/>
    </w:p>
    <w:p w14:paraId="57CCEE6E"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(a) Priority and lien on docketing judgment.  No transfer of an interest of the judgment debtor in real property, against which property a money judgment may be enforced, is effective against the judgment creditor either from the time of the docketing of the judgment with the clerk of the county in which the property is located until ten years after filing of the judgment-roll, or from the time of the filing with such clerk of a notice of levy pursuant to an execution until the execution is returned, except:</w:t>
      </w:r>
    </w:p>
    <w:p w14:paraId="1CC94C40"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1. a transfer or the payment of the proceeds of a judicial sale, which shall include an execution sale, in satisfaction either of a judgment previously so docketed or of a judgment where a notice of levy pursuant to an execution thereon was previously so filed;  or</w:t>
      </w:r>
    </w:p>
    <w:p w14:paraId="2FAD997B"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2. a transfer in satisfaction of a mortgage given to secure the payment of the purchase price of the judgment debtor's interest in the property;  or</w:t>
      </w:r>
    </w:p>
    <w:p w14:paraId="5848482E"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3. a transfer to a purchaser for value at a judicial sale, which shall include an execution sale;  or</w:t>
      </w:r>
    </w:p>
    <w:p w14:paraId="48F11849"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4. when the judgment was entered after the death of the judgment debtor;  or</w:t>
      </w:r>
    </w:p>
    <w:p w14:paraId="283A4406"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5. when the judgment debtor is the state, an officer, department, board or commission of the state, or a municipal corporation;  or</w:t>
      </w:r>
    </w:p>
    <w:p w14:paraId="4E660229" w14:textId="77777777" w:rsidR="00312B56" w:rsidRPr="00746DA8" w:rsidRDefault="00312B56" w:rsidP="00312B56">
      <w:pPr>
        <w:ind w:left="1440"/>
        <w:rPr>
          <w:rFonts w:ascii="Times New Roman" w:hAnsi="Times New Roman"/>
          <w:szCs w:val="24"/>
        </w:rPr>
      </w:pPr>
      <w:r w:rsidRPr="00746DA8">
        <w:rPr>
          <w:rFonts w:ascii="Times New Roman" w:hAnsi="Times New Roman"/>
          <w:szCs w:val="24"/>
        </w:rPr>
        <w:t>6. when the judgment debtor is the personal representative of a decedent and the judgment was awarded in an action against him in his representative capacity.</w:t>
      </w:r>
    </w:p>
    <w:p w14:paraId="214BB3D4" w14:textId="77777777" w:rsidR="00312B56" w:rsidRPr="00746DA8" w:rsidRDefault="00312B56" w:rsidP="00312B56">
      <w:pPr>
        <w:ind w:left="720"/>
        <w:rPr>
          <w:rFonts w:ascii="Times New Roman" w:hAnsi="Times New Roman"/>
          <w:szCs w:val="24"/>
        </w:rPr>
      </w:pPr>
      <w:r w:rsidRPr="00746DA8">
        <w:rPr>
          <w:rFonts w:ascii="Times New Roman" w:hAnsi="Times New Roman"/>
          <w:szCs w:val="24"/>
        </w:rPr>
        <w:t>(b) Extension of lien.  Upon motion of the judgment creditor, upon notice to the judgment debtor, served personally or by registered or certified mail, return receipt requested, to the last known address of the judgment debtor, the court may order that the lien of a money judgment upon real property be effective after the expiration of ten years from the filing of the judgment-roll, for a period no longer than the time during which the judgment creditor was stayed from enforcing the judgment, or the time necessary to complete advertisement and sale of real property in accordance with section 5236 , pursuant to an execution delivered to a sheriff prior to the expiration of ten years from the filing of the judgment-roll.  The order shall be effective from the time it is filed with the clerk of the county in which the property is located and an appropriate entry is made upon the docket of the judgment.</w:t>
      </w:r>
    </w:p>
    <w:p w14:paraId="39113FC4" w14:textId="275CA19E" w:rsidR="00312B56" w:rsidRPr="00746DA8" w:rsidRDefault="00312B56" w:rsidP="00312B56">
      <w:pPr>
        <w:ind w:left="720"/>
        <w:rPr>
          <w:rFonts w:ascii="Times New Roman" w:hAnsi="Times New Roman"/>
          <w:szCs w:val="24"/>
        </w:rPr>
      </w:pPr>
      <w:r w:rsidRPr="00746DA8">
        <w:rPr>
          <w:rFonts w:ascii="Times New Roman" w:hAnsi="Times New Roman"/>
          <w:szCs w:val="24"/>
        </w:rPr>
        <w:t>(c) Notwithstanding any other provision of law, where a court makes an oral or written determination on the record awarding ownership of an interest in real property, and a judgment effectuating such determination is docketed with the clerk of the county in which such property is located not later than thirty days thereafter, such judgement shall be deemed entered and docketed on the day immediately preceding the date of such determination solely for purposes of establishing the priority thereof against a judicial lien on such property created upon the simultaneous or later filing of a petition in bankruptcy pursuant to the United States bankruptcy code, as amended.</w:t>
      </w:r>
    </w:p>
    <w:p w14:paraId="3CE3EB4B" w14:textId="116F95F8" w:rsidR="00B45943" w:rsidRPr="00746DA8" w:rsidRDefault="00312B56" w:rsidP="00AB4BE5">
      <w:pPr>
        <w:pStyle w:val="Heading2"/>
        <w:numPr>
          <w:ilvl w:val="0"/>
          <w:numId w:val="0"/>
        </w:numPr>
        <w:ind w:left="1224" w:hanging="864"/>
      </w:pPr>
      <w:bookmarkStart w:id="6595" w:name="_Toc79700337"/>
      <w:bookmarkStart w:id="6596" w:name="_Toc79700659"/>
      <w:bookmarkStart w:id="6597" w:name="_Toc90983840"/>
      <w:r w:rsidRPr="00746DA8">
        <w:t>C.4</w:t>
      </w:r>
      <w:r w:rsidRPr="00746DA8">
        <w:tab/>
      </w:r>
      <w:hyperlink r:id="rId360" w:history="1">
        <w:r w:rsidR="00385CFC" w:rsidRPr="00746DA8">
          <w:rPr>
            <w:rStyle w:val="Hyperlink"/>
          </w:rPr>
          <w:t xml:space="preserve">CPLR </w:t>
        </w:r>
        <w:r w:rsidR="00B45943" w:rsidRPr="00746DA8">
          <w:rPr>
            <w:rStyle w:val="Hyperlink"/>
          </w:rPr>
          <w:t>§ 5205. Personal property exempt from application to the satisfaction of money judgments</w:t>
        </w:r>
      </w:hyperlink>
      <w:r w:rsidR="00B45943" w:rsidRPr="00746DA8">
        <w:t>.</w:t>
      </w:r>
      <w:bookmarkEnd w:id="6595"/>
      <w:bookmarkEnd w:id="6596"/>
      <w:bookmarkEnd w:id="6597"/>
    </w:p>
    <w:p w14:paraId="0EC674AA"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3. a seat or pew occupied by the judgment debtor or the family in a place of public worship; </w:t>
      </w:r>
    </w:p>
    <w:p w14:paraId="69B35463"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6. a wedding ring; a watch, jewelry and art not exceeding one thousand dollars in value;</w:t>
      </w:r>
    </w:p>
    <w:p w14:paraId="5AC0806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9. if no homestead exemption is claimed, then one thousand dollars in personal property, bank account or cash.</w:t>
      </w:r>
    </w:p>
    <w:p w14:paraId="52805A97" w14:textId="77777777" w:rsidR="00B45943" w:rsidRPr="00746DA8" w:rsidRDefault="00B45943" w:rsidP="00B45943">
      <w:pPr>
        <w:jc w:val="center"/>
        <w:rPr>
          <w:rFonts w:ascii="Times New Roman" w:hAnsi="Times New Roman"/>
          <w:szCs w:val="24"/>
        </w:rPr>
      </w:pPr>
      <w:r w:rsidRPr="00746DA8">
        <w:rPr>
          <w:rFonts w:ascii="Times New Roman" w:hAnsi="Times New Roman"/>
          <w:szCs w:val="24"/>
        </w:rPr>
        <w:t>* * *</w:t>
      </w:r>
    </w:p>
    <w:p w14:paraId="2120291A"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(g) Security deposit exemption. Money deposited as security for the rental of real property to be used as the residence of the judgment debtor or the judgment debtor's family; and money deposited as security with a gas, electric, water, steam, telegraph or telephone corporation, or a municipality rendering equivalent utility services, for services to judgment debtor's residence or the residence of judgment debtor's family, are exempt from application to the satisfaction of a money judgment</w:t>
      </w:r>
    </w:p>
    <w:p w14:paraId="3EB133E1" w14:textId="2D028DFF" w:rsidR="00B45943" w:rsidRPr="00746DA8" w:rsidRDefault="0091145C" w:rsidP="00AB4BE5">
      <w:pPr>
        <w:pStyle w:val="Heading2"/>
        <w:numPr>
          <w:ilvl w:val="0"/>
          <w:numId w:val="0"/>
        </w:numPr>
        <w:ind w:left="1224" w:hanging="864"/>
      </w:pPr>
      <w:bookmarkStart w:id="6598" w:name="_Toc79700338"/>
      <w:bookmarkStart w:id="6599" w:name="_Toc79700660"/>
      <w:bookmarkStart w:id="6600" w:name="_Toc90983841"/>
      <w:r w:rsidRPr="00746DA8">
        <w:t>C.</w:t>
      </w:r>
      <w:r w:rsidR="00312B56" w:rsidRPr="00746DA8">
        <w:t>5</w:t>
      </w:r>
      <w:r w:rsidRPr="00746DA8">
        <w:t>.</w:t>
      </w:r>
      <w:r w:rsidRPr="00746DA8">
        <w:tab/>
      </w:r>
      <w:hyperlink r:id="rId361" w:history="1">
        <w:r w:rsidR="00B45943" w:rsidRPr="00746DA8">
          <w:rPr>
            <w:rStyle w:val="Hyperlink"/>
          </w:rPr>
          <w:t>CPLR § 5206</w:t>
        </w:r>
        <w:r w:rsidR="005F6A8B" w:rsidRPr="00746DA8">
          <w:rPr>
            <w:rStyle w:val="Hyperlink"/>
          </w:rPr>
          <w:t xml:space="preserve">. </w:t>
        </w:r>
        <w:r w:rsidR="00B45943" w:rsidRPr="00746DA8">
          <w:rPr>
            <w:rStyle w:val="Hyperlink"/>
          </w:rPr>
          <w:t>Real property exempt from application to the satisfaction of money judgments</w:t>
        </w:r>
      </w:hyperlink>
      <w:r w:rsidR="00B45943" w:rsidRPr="00746DA8">
        <w:t>.</w:t>
      </w:r>
      <w:bookmarkEnd w:id="6598"/>
      <w:bookmarkEnd w:id="6599"/>
      <w:bookmarkEnd w:id="6600"/>
    </w:p>
    <w:p w14:paraId="2F202158"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1. a lot of land with a dwelling thereon,</w:t>
      </w:r>
    </w:p>
    <w:p w14:paraId="28C7824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2. shares of stock in a cooperative apartment corporation,</w:t>
      </w:r>
    </w:p>
    <w:p w14:paraId="08DDFE5E"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3. units of a condominium apartment, or</w:t>
      </w:r>
    </w:p>
    <w:p w14:paraId="47741971"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4. a mobile home.</w:t>
      </w:r>
    </w:p>
    <w:p w14:paraId="4C00CDDB"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But no exempt homestead shall be exempt from taxation or from sale for non-payment of taxes or assessments.</w:t>
      </w:r>
    </w:p>
    <w:p w14:paraId="55E6212D"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continued after the judgment debtor's death, or where he dies after the sale and before payment to him of his portion of the proceeds of the sale, the court may direct that portion of the proceeds which represents his interest be invested for the benefit of the person or persons entitled to the benefit of the exemption, or be otherwise disposed of as justice requires. </w:t>
      </w:r>
    </w:p>
    <w:p w14:paraId="0C9EA2D9" w14:textId="6249CECF" w:rsidR="00B45943" w:rsidRPr="00746DA8" w:rsidRDefault="00B45943" w:rsidP="00312B56">
      <w:pPr>
        <w:pStyle w:val="Statutory1"/>
        <w:rPr>
          <w:rFonts w:ascii="Times New Roman" w:hAnsi="Times New Roman"/>
          <w:szCs w:val="24"/>
        </w:rPr>
      </w:pPr>
      <w:r w:rsidRPr="00746DA8">
        <w:rPr>
          <w:rFonts w:ascii="Times New Roman" w:hAnsi="Times New Roman"/>
          <w:szCs w:val="24"/>
        </w:rPr>
        <w:t xml:space="preserve">(f) Exemption of burying ground. Land, set apart as a family or private burying ground, is exempt from application to the satisfaction of a money judgment, upon the following conditions only: </w:t>
      </w:r>
    </w:p>
    <w:p w14:paraId="3CDA263D"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1. a portion of it must have been actually used for that purpose;</w:t>
      </w:r>
    </w:p>
    <w:p w14:paraId="17F9CFF9"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2. it must not exceed in extent one-fourth of an acre; and</w:t>
      </w:r>
    </w:p>
    <w:p w14:paraId="65AC46D1" w14:textId="77777777" w:rsidR="00B45943" w:rsidRPr="00746DA8" w:rsidRDefault="00B45943" w:rsidP="00312B56">
      <w:pPr>
        <w:pStyle w:val="Statutory2"/>
        <w:rPr>
          <w:rFonts w:ascii="Times New Roman" w:hAnsi="Times New Roman" w:cs="Times New Roman"/>
          <w:szCs w:val="24"/>
        </w:rPr>
      </w:pPr>
      <w:r w:rsidRPr="00746DA8">
        <w:rPr>
          <w:rFonts w:ascii="Times New Roman" w:hAnsi="Times New Roman" w:cs="Times New Roman"/>
          <w:szCs w:val="24"/>
        </w:rPr>
        <w:t>3. it must not contain any building or structure, except one or more vaults or other places of deposit for the dead, or mortuary monuments.</w:t>
      </w:r>
    </w:p>
    <w:p w14:paraId="27B3978E" w14:textId="63E014DF" w:rsidR="004E0737" w:rsidRPr="00746DA8" w:rsidRDefault="004E0737" w:rsidP="00AB4BE5">
      <w:pPr>
        <w:pStyle w:val="Heading2"/>
        <w:numPr>
          <w:ilvl w:val="0"/>
          <w:numId w:val="0"/>
        </w:numPr>
        <w:ind w:left="1224" w:hanging="864"/>
      </w:pPr>
      <w:bookmarkStart w:id="6601" w:name="_Toc79700339"/>
      <w:bookmarkStart w:id="6602" w:name="_Toc79700661"/>
      <w:bookmarkStart w:id="6603" w:name="_Toc90983842"/>
      <w:r w:rsidRPr="00746DA8">
        <w:t>C.</w:t>
      </w:r>
      <w:r w:rsidR="00312B56" w:rsidRPr="00746DA8">
        <w:t>6</w:t>
      </w:r>
      <w:r w:rsidRPr="00746DA8">
        <w:t>.</w:t>
      </w:r>
      <w:r w:rsidRPr="00746DA8">
        <w:tab/>
      </w:r>
      <w:hyperlink r:id="rId362" w:history="1">
        <w:r w:rsidRPr="00746DA8">
          <w:rPr>
            <w:rStyle w:val="Hyperlink"/>
          </w:rPr>
          <w:t>New York Debtor Creditor Law, Art. 10A, § 282</w:t>
        </w:r>
      </w:hyperlink>
      <w:r w:rsidRPr="00746DA8">
        <w:t>.</w:t>
      </w:r>
      <w:bookmarkEnd w:id="6601"/>
      <w:bookmarkEnd w:id="6602"/>
      <w:bookmarkEnd w:id="6603"/>
      <w:r w:rsidRPr="00746DA8">
        <w:t xml:space="preserve"> </w:t>
      </w:r>
    </w:p>
    <w:p w14:paraId="7E57A714" w14:textId="0DFE6702" w:rsidR="007525C4" w:rsidRPr="00746DA8" w:rsidRDefault="007525C4" w:rsidP="00312B56">
      <w:pPr>
        <w:pStyle w:val="0-NORMAL"/>
        <w:ind w:left="720"/>
      </w:pPr>
      <w:r w:rsidRPr="00746DA8">
        <w:t>Under section five hundred twenty-two of title eleven of the United States Code , entitled “Bankruptcy”, an individual debtor domiciled in this state may exempt from the property of the estate, to the extent permitted by subsection (b) thereof, only (i) personal and real property exempt from application to the satisfaction of money judgments under sections fifty-two hundred five and fifty-two hundred six of the civil practice law and rules, (ii) insurance policies and annuity contracts and the proceeds and avails thereof as provided in section three thousand two hundred twelve of the insurance law and (iii) the following property:</w:t>
      </w:r>
    </w:p>
    <w:p w14:paraId="50981E57" w14:textId="77777777" w:rsidR="007525C4" w:rsidRPr="00746DA8" w:rsidRDefault="007525C4" w:rsidP="00312B56">
      <w:pPr>
        <w:pStyle w:val="0-NORMAL"/>
        <w:ind w:left="1440" w:firstLine="0"/>
      </w:pPr>
      <w:r w:rsidRPr="00746DA8">
        <w:t xml:space="preserve">1. Bankruptcy exemption of a motor vehicle.  One motor vehicle not exceeding </w:t>
      </w:r>
      <w:r w:rsidRPr="00746DA8">
        <w:rPr>
          <w:b/>
          <w:bCs/>
        </w:rPr>
        <w:t>four thousand dollars</w:t>
      </w:r>
      <w:r w:rsidRPr="00746DA8">
        <w:t xml:space="preserve"> in value above liens and encumbrances of the debtor;  provided, however, if such vehicle has been equipped for use by a disabled debtor, then ten thousand dollars in value above liens and encumbrances of the debtor.</w:t>
      </w:r>
    </w:p>
    <w:p w14:paraId="3515E69C" w14:textId="77777777" w:rsidR="00B9718B" w:rsidRPr="00746DA8" w:rsidRDefault="007525C4" w:rsidP="00312B56">
      <w:pPr>
        <w:pStyle w:val="0-NORMAL"/>
        <w:ind w:left="1440" w:firstLine="0"/>
      </w:pPr>
      <w:r w:rsidRPr="00746DA8">
        <w:t>2. Bankruptcy exemption for right to receive benefits.  The debtor's right to receive or the debtor's interest in:  (a) a social security benefit, unemployment compensation or a local public assistance benefit;  (b) a veterans' benefit;  (c) a disability, illness, or unemployment benefit;  (d) alimony, support, or separate maintenance, to the extent reasonably necessary for the support of the debtor and any dependent of the debtor;  and (e) all payments under a stock bonus, pension, profit sharing, or similar plan or contract on account of illness, disability, death, age, or length of service unless (i) such plan or contract, except those qualified under section 401 , 408 or 408A of the United States Internal Revenue Code of 1986 ,   1 as amended, was established by the debtor or under the auspices of an insider that employed the debtor at the time the debtor's rights under such plan or contract arose, (ii) such plan is on account of age or length of service, and (iii) such plan or contract does not qualify under section four hundred one (a) , four hundred three (a) , four hundred three (b) , four hundred eight , four hundred eight A, four hundred nine or four hundred fifty-seven of the Internal Revenue Code of nineteen hundred eighty-six ,   2 as amended.</w:t>
      </w:r>
    </w:p>
    <w:p w14:paraId="26ED6F9E" w14:textId="11928F23" w:rsidR="007525C4" w:rsidRPr="00746DA8" w:rsidRDefault="007525C4" w:rsidP="00312B56">
      <w:pPr>
        <w:pStyle w:val="0-NORMAL"/>
        <w:ind w:left="1440" w:firstLine="0"/>
      </w:pPr>
      <w:r w:rsidRPr="00746DA8">
        <w:t>3. Bankruptcy exemption for right to receive certain property.  The debtor's right to receive, or property that is traceable to:  (i) an award under a crime victim's reparation law;  (ii) a payment on account of the wrongful death of an individual of whom the debtor was a dependent to the extent reasonably necessary for the support of the debtor and any dependent of the debtor;  (iii)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46782566" w:rsidR="004E0737" w:rsidRPr="00746DA8" w:rsidRDefault="004E0737" w:rsidP="00AB4BE5">
      <w:pPr>
        <w:pStyle w:val="Heading2"/>
        <w:numPr>
          <w:ilvl w:val="0"/>
          <w:numId w:val="0"/>
        </w:numPr>
        <w:ind w:left="1224" w:hanging="864"/>
      </w:pPr>
      <w:bookmarkStart w:id="6604" w:name="_Toc79700340"/>
      <w:bookmarkStart w:id="6605" w:name="_Toc79700662"/>
      <w:bookmarkStart w:id="6606" w:name="_Toc90983843"/>
      <w:r w:rsidRPr="00746DA8">
        <w:t>C.</w:t>
      </w:r>
      <w:r w:rsidR="00312B56" w:rsidRPr="00746DA8">
        <w:t>7</w:t>
      </w:r>
      <w:r w:rsidRPr="00746DA8">
        <w:t>.</w:t>
      </w:r>
      <w:r w:rsidRPr="00746DA8">
        <w:tab/>
      </w:r>
      <w:hyperlink r:id="rId363" w:history="1">
        <w:r w:rsidRPr="00746DA8">
          <w:rPr>
            <w:rStyle w:val="Hyperlink"/>
          </w:rPr>
          <w:t>New York Debtor Creditor Law, Art. 10A, § 283</w:t>
        </w:r>
      </w:hyperlink>
      <w:r w:rsidRPr="00746DA8">
        <w:t>.</w:t>
      </w:r>
      <w:bookmarkEnd w:id="6604"/>
      <w:bookmarkEnd w:id="6605"/>
      <w:bookmarkEnd w:id="6606"/>
      <w:r w:rsidRPr="00746DA8">
        <w:t xml:space="preserve"> </w:t>
      </w:r>
    </w:p>
    <w:p w14:paraId="24B0C0B9" w14:textId="3DD0518A" w:rsidR="004E0737" w:rsidRPr="00746DA8" w:rsidRDefault="004E0737" w:rsidP="004E0737">
      <w:pPr>
        <w:ind w:left="720"/>
        <w:rPr>
          <w:rFonts w:ascii="Times New Roman" w:hAnsi="Times New Roman"/>
          <w:b/>
          <w:szCs w:val="24"/>
        </w:rPr>
      </w:pPr>
      <w:r w:rsidRPr="00746DA8">
        <w:rPr>
          <w:rFonts w:ascii="Times New Roman" w:hAnsi="Times New Roman"/>
          <w:b/>
          <w:szCs w:val="24"/>
        </w:rPr>
        <w:t>Aggregate individual bankruptcy exemption for certain annuities</w:t>
      </w:r>
      <w:r w:rsidR="00B9718B" w:rsidRPr="00746DA8">
        <w:rPr>
          <w:rFonts w:ascii="Times New Roman" w:hAnsi="Times New Roman"/>
          <w:b/>
          <w:szCs w:val="24"/>
        </w:rPr>
        <w:t xml:space="preserve"> </w:t>
      </w:r>
      <w:r w:rsidRPr="00746DA8">
        <w:rPr>
          <w:rFonts w:ascii="Times New Roman" w:hAnsi="Times New Roman"/>
          <w:b/>
          <w:szCs w:val="24"/>
        </w:rPr>
        <w:t xml:space="preserve">and personal property. </w:t>
      </w:r>
    </w:p>
    <w:p w14:paraId="2BDE359A" w14:textId="72DD28E9" w:rsidR="004E0737" w:rsidRPr="00746DA8" w:rsidRDefault="004E0737" w:rsidP="007525C4">
      <w:pPr>
        <w:ind w:left="720" w:firstLine="720"/>
        <w:rPr>
          <w:rFonts w:ascii="Times New Roman" w:hAnsi="Times New Roman"/>
          <w:szCs w:val="24"/>
        </w:rPr>
      </w:pPr>
      <w:r w:rsidRPr="00746DA8">
        <w:rPr>
          <w:rFonts w:ascii="Times New Roman" w:hAnsi="Times New Roman"/>
          <w:szCs w:val="24"/>
        </w:rPr>
        <w:t xml:space="preserve">1. General application. The aggregate amount the debtor may exempt from the property of the estate </w:t>
      </w:r>
      <w:r w:rsidRPr="00746DA8">
        <w:rPr>
          <w:rFonts w:ascii="Times New Roman" w:hAnsi="Times New Roman"/>
          <w:b/>
          <w:bCs/>
          <w:szCs w:val="24"/>
        </w:rPr>
        <w:t>for personal</w:t>
      </w:r>
      <w:r w:rsidR="007525C4" w:rsidRPr="00746DA8">
        <w:rPr>
          <w:rFonts w:ascii="Times New Roman" w:hAnsi="Times New Roman"/>
          <w:b/>
          <w:bCs/>
          <w:szCs w:val="24"/>
        </w:rPr>
        <w:t xml:space="preserve"> </w:t>
      </w:r>
      <w:r w:rsidRPr="00746DA8">
        <w:rPr>
          <w:rFonts w:ascii="Times New Roman" w:hAnsi="Times New Roman"/>
          <w:b/>
          <w:bCs/>
          <w:szCs w:val="24"/>
        </w:rPr>
        <w:t>property</w:t>
      </w:r>
      <w:r w:rsidRPr="00746DA8">
        <w:rPr>
          <w:rFonts w:ascii="Times New Roman" w:hAnsi="Times New Roman"/>
          <w:szCs w:val="24"/>
        </w:rPr>
        <w:t xml:space="preserve"> exempt</w:t>
      </w:r>
      <w:r w:rsidR="007525C4" w:rsidRPr="00746DA8">
        <w:rPr>
          <w:rFonts w:ascii="Times New Roman" w:hAnsi="Times New Roman"/>
          <w:szCs w:val="24"/>
        </w:rPr>
        <w:t xml:space="preserve"> </w:t>
      </w:r>
      <w:r w:rsidRPr="00746DA8">
        <w:rPr>
          <w:rFonts w:ascii="Times New Roman" w:hAnsi="Times New Roman"/>
          <w:szCs w:val="24"/>
        </w:rPr>
        <w:t>from</w:t>
      </w:r>
      <w:r w:rsidR="007525C4" w:rsidRPr="00746DA8">
        <w:rPr>
          <w:rFonts w:ascii="Times New Roman" w:hAnsi="Times New Roman"/>
          <w:szCs w:val="24"/>
        </w:rPr>
        <w:t xml:space="preserve"> </w:t>
      </w:r>
      <w:r w:rsidRPr="00746DA8">
        <w:rPr>
          <w:rFonts w:ascii="Times New Roman" w:hAnsi="Times New Roman"/>
          <w:szCs w:val="24"/>
        </w:rPr>
        <w:t>application</w:t>
      </w:r>
      <w:r w:rsidR="007525C4" w:rsidRPr="00746DA8">
        <w:rPr>
          <w:rFonts w:ascii="Times New Roman" w:hAnsi="Times New Roman"/>
          <w:szCs w:val="24"/>
        </w:rPr>
        <w:t xml:space="preserve"> </w:t>
      </w:r>
      <w:r w:rsidRPr="00746DA8">
        <w:rPr>
          <w:rFonts w:ascii="Times New Roman" w:hAnsi="Times New Roman"/>
          <w:szCs w:val="24"/>
        </w:rPr>
        <w:t>to the satisfaction of a money judgment under subdivision (a) of section fifty-two hundred five of the civil</w:t>
      </w:r>
      <w:r w:rsidR="007525C4" w:rsidRPr="00746DA8">
        <w:rPr>
          <w:rFonts w:ascii="Times New Roman" w:hAnsi="Times New Roman"/>
          <w:szCs w:val="24"/>
        </w:rPr>
        <w:t xml:space="preserve"> </w:t>
      </w:r>
      <w:r w:rsidRPr="00746DA8">
        <w:rPr>
          <w:rFonts w:ascii="Times New Roman" w:hAnsi="Times New Roman"/>
          <w:szCs w:val="24"/>
        </w:rPr>
        <w:t>practice law</w:t>
      </w:r>
      <w:r w:rsidR="007525C4" w:rsidRPr="00746DA8">
        <w:rPr>
          <w:rFonts w:ascii="Times New Roman" w:hAnsi="Times New Roman"/>
          <w:szCs w:val="24"/>
        </w:rPr>
        <w:t xml:space="preserve"> </w:t>
      </w:r>
      <w:r w:rsidRPr="00746DA8">
        <w:rPr>
          <w:rFonts w:ascii="Times New Roman" w:hAnsi="Times New Roman"/>
          <w:szCs w:val="24"/>
        </w:rPr>
        <w:t>and</w:t>
      </w:r>
      <w:r w:rsidR="007525C4" w:rsidRPr="00746DA8">
        <w:rPr>
          <w:rFonts w:ascii="Times New Roman" w:hAnsi="Times New Roman"/>
          <w:szCs w:val="24"/>
        </w:rPr>
        <w:t xml:space="preserve"> </w:t>
      </w:r>
      <w:r w:rsidRPr="00746DA8">
        <w:rPr>
          <w:rFonts w:ascii="Times New Roman" w:hAnsi="Times New Roman"/>
          <w:szCs w:val="24"/>
        </w:rPr>
        <w:t>rules</w:t>
      </w:r>
      <w:r w:rsidR="007525C4" w:rsidRPr="00746DA8">
        <w:rPr>
          <w:rFonts w:ascii="Times New Roman" w:hAnsi="Times New Roman"/>
          <w:szCs w:val="24"/>
        </w:rPr>
        <w:t xml:space="preserve"> </w:t>
      </w:r>
      <w:r w:rsidRPr="00746DA8">
        <w:rPr>
          <w:rFonts w:ascii="Times New Roman" w:hAnsi="Times New Roman"/>
          <w:szCs w:val="24"/>
        </w:rPr>
        <w:t>and</w:t>
      </w:r>
      <w:r w:rsidR="007525C4" w:rsidRPr="00746DA8">
        <w:rPr>
          <w:rFonts w:ascii="Times New Roman" w:hAnsi="Times New Roman"/>
          <w:szCs w:val="24"/>
        </w:rPr>
        <w:t xml:space="preserve"> </w:t>
      </w:r>
      <w:r w:rsidRPr="00746DA8">
        <w:rPr>
          <w:rFonts w:ascii="Times New Roman" w:hAnsi="Times New Roman"/>
          <w:szCs w:val="24"/>
        </w:rPr>
        <w:t>for</w:t>
      </w:r>
      <w:r w:rsidR="007525C4" w:rsidRPr="00746DA8">
        <w:rPr>
          <w:rFonts w:ascii="Times New Roman" w:hAnsi="Times New Roman"/>
          <w:szCs w:val="24"/>
        </w:rPr>
        <w:t xml:space="preserve"> </w:t>
      </w:r>
      <w:r w:rsidRPr="00746DA8">
        <w:rPr>
          <w:rFonts w:ascii="Times New Roman" w:hAnsi="Times New Roman"/>
          <w:szCs w:val="24"/>
        </w:rPr>
        <w:t>benefits,</w:t>
      </w:r>
      <w:r w:rsidR="007525C4" w:rsidRPr="00746DA8">
        <w:rPr>
          <w:rFonts w:ascii="Times New Roman" w:hAnsi="Times New Roman"/>
          <w:szCs w:val="24"/>
        </w:rPr>
        <w:t xml:space="preserve"> </w:t>
      </w:r>
      <w:r w:rsidRPr="00746DA8">
        <w:rPr>
          <w:rFonts w:ascii="Times New Roman" w:hAnsi="Times New Roman"/>
          <w:szCs w:val="24"/>
        </w:rPr>
        <w:t xml:space="preserve">rights, privileges, and options of annuity contracts described in the following sentence </w:t>
      </w:r>
      <w:r w:rsidRPr="00746DA8">
        <w:rPr>
          <w:rFonts w:ascii="Times New Roman" w:hAnsi="Times New Roman"/>
          <w:b/>
          <w:bCs/>
          <w:szCs w:val="24"/>
        </w:rPr>
        <w:t>shall</w:t>
      </w:r>
      <w:r w:rsidR="007525C4" w:rsidRPr="00746DA8">
        <w:rPr>
          <w:rFonts w:ascii="Times New Roman" w:hAnsi="Times New Roman"/>
          <w:b/>
          <w:bCs/>
          <w:szCs w:val="24"/>
        </w:rPr>
        <w:t xml:space="preserve"> </w:t>
      </w:r>
      <w:r w:rsidRPr="00746DA8">
        <w:rPr>
          <w:rFonts w:ascii="Times New Roman" w:hAnsi="Times New Roman"/>
          <w:b/>
          <w:bCs/>
          <w:szCs w:val="24"/>
        </w:rPr>
        <w:t>not</w:t>
      </w:r>
      <w:r w:rsidR="007525C4" w:rsidRPr="00746DA8">
        <w:rPr>
          <w:rFonts w:ascii="Times New Roman" w:hAnsi="Times New Roman"/>
          <w:b/>
          <w:bCs/>
          <w:szCs w:val="24"/>
        </w:rPr>
        <w:t xml:space="preserve"> </w:t>
      </w:r>
      <w:r w:rsidRPr="00746DA8">
        <w:rPr>
          <w:rFonts w:ascii="Times New Roman" w:hAnsi="Times New Roman"/>
          <w:b/>
          <w:bCs/>
          <w:szCs w:val="24"/>
        </w:rPr>
        <w:t>exceed ten</w:t>
      </w:r>
      <w:r w:rsidR="007525C4" w:rsidRPr="00746DA8">
        <w:rPr>
          <w:rFonts w:ascii="Times New Roman" w:hAnsi="Times New Roman"/>
          <w:b/>
          <w:bCs/>
          <w:szCs w:val="24"/>
        </w:rPr>
        <w:t xml:space="preserve"> </w:t>
      </w:r>
      <w:r w:rsidRPr="00746DA8">
        <w:rPr>
          <w:rFonts w:ascii="Times New Roman" w:hAnsi="Times New Roman"/>
          <w:b/>
          <w:bCs/>
          <w:szCs w:val="24"/>
        </w:rPr>
        <w:t>thousand</w:t>
      </w:r>
      <w:r w:rsidR="007525C4" w:rsidRPr="00746DA8">
        <w:rPr>
          <w:rFonts w:ascii="Times New Roman" w:hAnsi="Times New Roman"/>
          <w:b/>
          <w:bCs/>
          <w:szCs w:val="24"/>
        </w:rPr>
        <w:t xml:space="preserve"> </w:t>
      </w:r>
      <w:r w:rsidRPr="00746DA8">
        <w:rPr>
          <w:rFonts w:ascii="Times New Roman" w:hAnsi="Times New Roman"/>
          <w:b/>
          <w:bCs/>
          <w:szCs w:val="24"/>
        </w:rPr>
        <w:t>dollars</w:t>
      </w:r>
      <w:r w:rsidR="005F6A8B" w:rsidRPr="00746DA8">
        <w:rPr>
          <w:rFonts w:ascii="Times New Roman" w:hAnsi="Times New Roman"/>
          <w:szCs w:val="24"/>
        </w:rPr>
        <w:t xml:space="preserve">. </w:t>
      </w:r>
      <w:r w:rsidRPr="00746DA8">
        <w:rPr>
          <w:rFonts w:ascii="Times New Roman" w:hAnsi="Times New Roman"/>
          <w:szCs w:val="24"/>
        </w:rPr>
        <w:t>Annuity</w:t>
      </w:r>
      <w:r w:rsidR="007525C4" w:rsidRPr="00746DA8">
        <w:rPr>
          <w:rFonts w:ascii="Times New Roman" w:hAnsi="Times New Roman"/>
          <w:szCs w:val="24"/>
        </w:rPr>
        <w:t xml:space="preserve"> </w:t>
      </w:r>
      <w:r w:rsidRPr="00746DA8">
        <w:rPr>
          <w:rFonts w:ascii="Times New Roman" w:hAnsi="Times New Roman"/>
          <w:szCs w:val="24"/>
        </w:rPr>
        <w:t>contracts</w:t>
      </w:r>
      <w:r w:rsidR="007525C4" w:rsidRPr="00746DA8">
        <w:rPr>
          <w:rFonts w:ascii="Times New Roman" w:hAnsi="Times New Roman"/>
          <w:szCs w:val="24"/>
        </w:rPr>
        <w:t xml:space="preserve"> </w:t>
      </w:r>
      <w:r w:rsidRPr="00746DA8">
        <w:rPr>
          <w:rFonts w:ascii="Times New Roman" w:hAnsi="Times New Roman"/>
          <w:szCs w:val="24"/>
        </w:rPr>
        <w:t>subject</w:t>
      </w:r>
      <w:r w:rsidR="007525C4" w:rsidRPr="00746DA8">
        <w:rPr>
          <w:rFonts w:ascii="Times New Roman" w:hAnsi="Times New Roman"/>
          <w:szCs w:val="24"/>
        </w:rPr>
        <w:t xml:space="preserve"> </w:t>
      </w:r>
      <w:r w:rsidRPr="00746DA8">
        <w:rPr>
          <w:rFonts w:ascii="Times New Roman" w:hAnsi="Times New Roman"/>
          <w:szCs w:val="24"/>
        </w:rPr>
        <w:t>to</w:t>
      </w:r>
      <w:r w:rsidR="007525C4" w:rsidRPr="00746DA8">
        <w:rPr>
          <w:rFonts w:ascii="Times New Roman" w:hAnsi="Times New Roman"/>
          <w:szCs w:val="24"/>
        </w:rPr>
        <w:t xml:space="preserve"> </w:t>
      </w:r>
      <w:r w:rsidRPr="00746DA8">
        <w:rPr>
          <w:rFonts w:ascii="Times New Roman" w:hAnsi="Times New Roman"/>
          <w:szCs w:val="24"/>
        </w:rPr>
        <w:t>the</w:t>
      </w:r>
      <w:r w:rsidR="007525C4" w:rsidRPr="00746DA8">
        <w:rPr>
          <w:rFonts w:ascii="Times New Roman" w:hAnsi="Times New Roman"/>
          <w:szCs w:val="24"/>
        </w:rPr>
        <w:t xml:space="preserve"> </w:t>
      </w:r>
      <w:r w:rsidRPr="00746DA8">
        <w:rPr>
          <w:rFonts w:ascii="Times New Roman" w:hAnsi="Times New Roman"/>
          <w:szCs w:val="24"/>
        </w:rPr>
        <w:t>foregoing limitation are those that are: (a) initially</w:t>
      </w:r>
      <w:r w:rsidR="007525C4" w:rsidRPr="00746DA8">
        <w:rPr>
          <w:rFonts w:ascii="Times New Roman" w:hAnsi="Times New Roman"/>
          <w:szCs w:val="24"/>
        </w:rPr>
        <w:t xml:space="preserve"> </w:t>
      </w:r>
      <w:r w:rsidRPr="00746DA8">
        <w:rPr>
          <w:rFonts w:ascii="Times New Roman" w:hAnsi="Times New Roman"/>
          <w:szCs w:val="24"/>
        </w:rPr>
        <w:t>purchased</w:t>
      </w:r>
      <w:r w:rsidR="007525C4" w:rsidRPr="00746DA8">
        <w:rPr>
          <w:rFonts w:ascii="Times New Roman" w:hAnsi="Times New Roman"/>
          <w:szCs w:val="24"/>
        </w:rPr>
        <w:t xml:space="preserve"> </w:t>
      </w:r>
      <w:r w:rsidRPr="00746DA8">
        <w:rPr>
          <w:rFonts w:ascii="Times New Roman" w:hAnsi="Times New Roman"/>
          <w:szCs w:val="24"/>
        </w:rPr>
        <w:t>by</w:t>
      </w:r>
      <w:r w:rsidR="007525C4" w:rsidRPr="00746DA8">
        <w:rPr>
          <w:rFonts w:ascii="Times New Roman" w:hAnsi="Times New Roman"/>
          <w:szCs w:val="24"/>
        </w:rPr>
        <w:t xml:space="preserve"> </w:t>
      </w:r>
      <w:r w:rsidRPr="00746DA8">
        <w:rPr>
          <w:rFonts w:ascii="Times New Roman" w:hAnsi="Times New Roman"/>
          <w:szCs w:val="24"/>
        </w:rPr>
        <w:t>the</w:t>
      </w:r>
      <w:r w:rsidR="007525C4" w:rsidRPr="00746DA8">
        <w:rPr>
          <w:rFonts w:ascii="Times New Roman" w:hAnsi="Times New Roman"/>
          <w:szCs w:val="24"/>
        </w:rPr>
        <w:t xml:space="preserve"> </w:t>
      </w:r>
      <w:r w:rsidRPr="00746DA8">
        <w:rPr>
          <w:rFonts w:ascii="Times New Roman" w:hAnsi="Times New Roman"/>
          <w:szCs w:val="24"/>
        </w:rPr>
        <w:t>debtor within</w:t>
      </w:r>
      <w:r w:rsidR="007525C4" w:rsidRPr="00746DA8">
        <w:rPr>
          <w:rFonts w:ascii="Times New Roman" w:hAnsi="Times New Roman"/>
          <w:szCs w:val="24"/>
        </w:rPr>
        <w:t xml:space="preserve"> </w:t>
      </w:r>
      <w:r w:rsidRPr="00746DA8">
        <w:rPr>
          <w:rFonts w:ascii="Times New Roman" w:hAnsi="Times New Roman"/>
          <w:szCs w:val="24"/>
        </w:rPr>
        <w:t>six</w:t>
      </w:r>
      <w:r w:rsidR="007525C4" w:rsidRPr="00746DA8">
        <w:rPr>
          <w:rFonts w:ascii="Times New Roman" w:hAnsi="Times New Roman"/>
          <w:szCs w:val="24"/>
        </w:rPr>
        <w:t xml:space="preserve"> </w:t>
      </w:r>
      <w:r w:rsidRPr="00746DA8">
        <w:rPr>
          <w:rFonts w:ascii="Times New Roman" w:hAnsi="Times New Roman"/>
          <w:szCs w:val="24"/>
        </w:rPr>
        <w:t>months of the debtor's filing a petition in bankruptcy, (b) not described in any paragraph of section eight hundred five (d) of</w:t>
      </w:r>
      <w:r w:rsidR="007525C4" w:rsidRPr="00746DA8">
        <w:rPr>
          <w:rFonts w:ascii="Times New Roman" w:hAnsi="Times New Roman"/>
          <w:szCs w:val="24"/>
        </w:rPr>
        <w:t xml:space="preserve"> </w:t>
      </w:r>
      <w:r w:rsidRPr="00746DA8">
        <w:rPr>
          <w:rFonts w:ascii="Times New Roman" w:hAnsi="Times New Roman"/>
          <w:szCs w:val="24"/>
        </w:rPr>
        <w:t>the Internal</w:t>
      </w:r>
      <w:r w:rsidR="007525C4" w:rsidRPr="00746DA8">
        <w:rPr>
          <w:rFonts w:ascii="Times New Roman" w:hAnsi="Times New Roman"/>
          <w:szCs w:val="24"/>
        </w:rPr>
        <w:t xml:space="preserve"> </w:t>
      </w:r>
      <w:r w:rsidRPr="00746DA8">
        <w:rPr>
          <w:rFonts w:ascii="Times New Roman" w:hAnsi="Times New Roman"/>
          <w:szCs w:val="24"/>
        </w:rPr>
        <w:t>Revenue</w:t>
      </w:r>
      <w:r w:rsidR="007525C4" w:rsidRPr="00746DA8">
        <w:rPr>
          <w:rFonts w:ascii="Times New Roman" w:hAnsi="Times New Roman"/>
          <w:szCs w:val="24"/>
        </w:rPr>
        <w:t xml:space="preserve"> </w:t>
      </w:r>
      <w:r w:rsidRPr="00746DA8">
        <w:rPr>
          <w:rFonts w:ascii="Times New Roman" w:hAnsi="Times New Roman"/>
          <w:szCs w:val="24"/>
        </w:rPr>
        <w:t>Code</w:t>
      </w:r>
      <w:r w:rsidR="007525C4" w:rsidRPr="00746DA8">
        <w:rPr>
          <w:rFonts w:ascii="Times New Roman" w:hAnsi="Times New Roman"/>
          <w:szCs w:val="24"/>
        </w:rPr>
        <w:t xml:space="preserve"> </w:t>
      </w:r>
      <w:r w:rsidRPr="00746DA8">
        <w:rPr>
          <w:rFonts w:ascii="Times New Roman" w:hAnsi="Times New Roman"/>
          <w:szCs w:val="24"/>
        </w:rPr>
        <w:t>of</w:t>
      </w:r>
      <w:r w:rsidR="007525C4" w:rsidRPr="00746DA8">
        <w:rPr>
          <w:rFonts w:ascii="Times New Roman" w:hAnsi="Times New Roman"/>
          <w:szCs w:val="24"/>
        </w:rPr>
        <w:t xml:space="preserve"> </w:t>
      </w:r>
      <w:r w:rsidRPr="00746DA8">
        <w:rPr>
          <w:rFonts w:ascii="Times New Roman" w:hAnsi="Times New Roman"/>
          <w:szCs w:val="24"/>
        </w:rPr>
        <w:t>nineteen</w:t>
      </w:r>
      <w:r w:rsidR="007525C4" w:rsidRPr="00746DA8">
        <w:rPr>
          <w:rFonts w:ascii="Times New Roman" w:hAnsi="Times New Roman"/>
          <w:szCs w:val="24"/>
        </w:rPr>
        <w:t xml:space="preserve"> </w:t>
      </w:r>
      <w:r w:rsidRPr="00746DA8">
        <w:rPr>
          <w:rFonts w:ascii="Times New Roman" w:hAnsi="Times New Roman"/>
          <w:szCs w:val="24"/>
        </w:rPr>
        <w:t>hundred</w:t>
      </w:r>
      <w:r w:rsidR="007525C4" w:rsidRPr="00746DA8">
        <w:rPr>
          <w:rFonts w:ascii="Times New Roman" w:hAnsi="Times New Roman"/>
          <w:szCs w:val="24"/>
        </w:rPr>
        <w:t xml:space="preserve"> </w:t>
      </w:r>
      <w:r w:rsidRPr="00746DA8">
        <w:rPr>
          <w:rFonts w:ascii="Times New Roman" w:hAnsi="Times New Roman"/>
          <w:szCs w:val="24"/>
        </w:rPr>
        <w:t>fifty-four,</w:t>
      </w:r>
      <w:r w:rsidR="007525C4" w:rsidRPr="00746DA8">
        <w:rPr>
          <w:rFonts w:ascii="Times New Roman" w:hAnsi="Times New Roman"/>
          <w:szCs w:val="24"/>
        </w:rPr>
        <w:t xml:space="preserve"> </w:t>
      </w:r>
      <w:r w:rsidRPr="00746DA8">
        <w:rPr>
          <w:rFonts w:ascii="Times New Roman" w:hAnsi="Times New Roman"/>
          <w:szCs w:val="24"/>
        </w:rPr>
        <w:t>and (c) not purchased by application of proceeds under settlement options of annuity contracts purchased more than six months before the</w:t>
      </w:r>
      <w:r w:rsidR="007525C4" w:rsidRPr="00746DA8">
        <w:rPr>
          <w:rFonts w:ascii="Times New Roman" w:hAnsi="Times New Roman"/>
          <w:szCs w:val="24"/>
        </w:rPr>
        <w:t xml:space="preserve"> </w:t>
      </w:r>
      <w:r w:rsidRPr="00746DA8">
        <w:rPr>
          <w:rFonts w:ascii="Times New Roman" w:hAnsi="Times New Roman"/>
          <w:szCs w:val="24"/>
        </w:rPr>
        <w:t>debtor's</w:t>
      </w:r>
      <w:r w:rsidR="007525C4" w:rsidRPr="00746DA8">
        <w:rPr>
          <w:rFonts w:ascii="Times New Roman" w:hAnsi="Times New Roman"/>
          <w:szCs w:val="24"/>
        </w:rPr>
        <w:t xml:space="preserve"> </w:t>
      </w:r>
      <w:r w:rsidRPr="00746DA8">
        <w:rPr>
          <w:rFonts w:ascii="Times New Roman" w:hAnsi="Times New Roman"/>
          <w:szCs w:val="24"/>
        </w:rPr>
        <w:t>filing</w:t>
      </w:r>
      <w:r w:rsidR="007525C4" w:rsidRPr="00746DA8">
        <w:rPr>
          <w:rFonts w:ascii="Times New Roman" w:hAnsi="Times New Roman"/>
          <w:szCs w:val="24"/>
        </w:rPr>
        <w:t xml:space="preserve"> </w:t>
      </w:r>
      <w:r w:rsidRPr="00746DA8">
        <w:rPr>
          <w:rFonts w:ascii="Times New Roman" w:hAnsi="Times New Roman"/>
          <w:szCs w:val="24"/>
        </w:rPr>
        <w:t>a petition</w:t>
      </w:r>
      <w:r w:rsidR="007525C4" w:rsidRPr="00746DA8">
        <w:rPr>
          <w:rFonts w:ascii="Times New Roman" w:hAnsi="Times New Roman"/>
          <w:szCs w:val="24"/>
        </w:rPr>
        <w:t xml:space="preserve"> </w:t>
      </w:r>
      <w:r w:rsidRPr="00746DA8">
        <w:rPr>
          <w:rFonts w:ascii="Times New Roman" w:hAnsi="Times New Roman"/>
          <w:szCs w:val="24"/>
        </w:rPr>
        <w:t>in</w:t>
      </w:r>
      <w:r w:rsidR="007525C4" w:rsidRPr="00746DA8">
        <w:rPr>
          <w:rFonts w:ascii="Times New Roman" w:hAnsi="Times New Roman"/>
          <w:szCs w:val="24"/>
        </w:rPr>
        <w:t xml:space="preserve"> </w:t>
      </w:r>
      <w:r w:rsidRPr="00746DA8">
        <w:rPr>
          <w:rFonts w:ascii="Times New Roman" w:hAnsi="Times New Roman"/>
          <w:szCs w:val="24"/>
        </w:rPr>
        <w:t>bankruptcy</w:t>
      </w:r>
      <w:r w:rsidR="007525C4" w:rsidRPr="00746DA8">
        <w:rPr>
          <w:rFonts w:ascii="Times New Roman" w:hAnsi="Times New Roman"/>
          <w:szCs w:val="24"/>
        </w:rPr>
        <w:t xml:space="preserve"> </w:t>
      </w:r>
      <w:r w:rsidRPr="00746DA8">
        <w:rPr>
          <w:rFonts w:ascii="Times New Roman" w:hAnsi="Times New Roman"/>
          <w:szCs w:val="24"/>
        </w:rPr>
        <w:t>or</w:t>
      </w:r>
      <w:r w:rsidR="007525C4" w:rsidRPr="00746DA8">
        <w:rPr>
          <w:rFonts w:ascii="Times New Roman" w:hAnsi="Times New Roman"/>
          <w:szCs w:val="24"/>
        </w:rPr>
        <w:t xml:space="preserve"> </w:t>
      </w:r>
      <w:r w:rsidRPr="00746DA8">
        <w:rPr>
          <w:rFonts w:ascii="Times New Roman" w:hAnsi="Times New Roman"/>
          <w:szCs w:val="24"/>
        </w:rPr>
        <w:t>under settlement options of life insurance policies.</w:t>
      </w:r>
    </w:p>
    <w:p w14:paraId="06BB17DC" w14:textId="551CB915" w:rsidR="004E0737" w:rsidRPr="00746DA8" w:rsidRDefault="004E0737" w:rsidP="007525C4">
      <w:pPr>
        <w:ind w:left="720" w:firstLine="720"/>
        <w:rPr>
          <w:rFonts w:ascii="Times New Roman" w:hAnsi="Times New Roman"/>
          <w:szCs w:val="24"/>
        </w:rPr>
      </w:pPr>
      <w:r w:rsidRPr="00746DA8">
        <w:rPr>
          <w:rFonts w:ascii="Times New Roman" w:hAnsi="Times New Roman"/>
          <w:szCs w:val="24"/>
        </w:rPr>
        <w:t>2</w:t>
      </w:r>
      <w:r w:rsidR="005F6A8B" w:rsidRPr="00746DA8">
        <w:rPr>
          <w:rFonts w:ascii="Times New Roman" w:hAnsi="Times New Roman"/>
          <w:szCs w:val="24"/>
        </w:rPr>
        <w:t xml:space="preserve">. </w:t>
      </w:r>
      <w:r w:rsidR="0083669A" w:rsidRPr="00746DA8">
        <w:rPr>
          <w:rFonts w:ascii="Times New Roman" w:hAnsi="Times New Roman"/>
          <w:szCs w:val="24"/>
        </w:rPr>
        <w:t>Contingent alternative bankruptcy</w:t>
      </w:r>
      <w:r w:rsidRPr="00746DA8">
        <w:rPr>
          <w:rFonts w:ascii="Times New Roman" w:hAnsi="Times New Roman"/>
          <w:szCs w:val="24"/>
        </w:rPr>
        <w:t xml:space="preserve"> exemption</w:t>
      </w:r>
      <w:r w:rsidR="005F6A8B" w:rsidRPr="00746DA8">
        <w:rPr>
          <w:rFonts w:ascii="Times New Roman" w:hAnsi="Times New Roman"/>
          <w:szCs w:val="24"/>
        </w:rPr>
        <w:t>.</w:t>
      </w:r>
      <w:r w:rsidR="007525C4" w:rsidRPr="00746DA8">
        <w:rPr>
          <w:rFonts w:ascii="Times New Roman" w:hAnsi="Times New Roman"/>
          <w:szCs w:val="24"/>
        </w:rPr>
        <w:t xml:space="preserve"> </w:t>
      </w:r>
      <w:r w:rsidRPr="00746DA8">
        <w:rPr>
          <w:rFonts w:ascii="Times New Roman" w:hAnsi="Times New Roman"/>
          <w:szCs w:val="24"/>
        </w:rPr>
        <w:t>Notwithstanding section</w:t>
      </w:r>
      <w:r w:rsidR="007525C4" w:rsidRPr="00746DA8">
        <w:rPr>
          <w:rFonts w:ascii="Times New Roman" w:hAnsi="Times New Roman"/>
          <w:szCs w:val="24"/>
        </w:rPr>
        <w:t xml:space="preserve"> </w:t>
      </w:r>
      <w:r w:rsidRPr="00746DA8">
        <w:rPr>
          <w:rFonts w:ascii="Times New Roman" w:hAnsi="Times New Roman"/>
          <w:szCs w:val="24"/>
        </w:rPr>
        <w:t>two</w:t>
      </w:r>
      <w:r w:rsidR="007525C4" w:rsidRPr="00746DA8">
        <w:rPr>
          <w:rFonts w:ascii="Times New Roman" w:hAnsi="Times New Roman"/>
          <w:szCs w:val="24"/>
        </w:rPr>
        <w:t xml:space="preserve"> </w:t>
      </w:r>
      <w:r w:rsidRPr="00746DA8">
        <w:rPr>
          <w:rFonts w:ascii="Times New Roman" w:hAnsi="Times New Roman"/>
          <w:szCs w:val="24"/>
        </w:rPr>
        <w:t>hundred eighty-two of this article, a debtor, who (a) does not elect, claim, or otherwise avail himself of an</w:t>
      </w:r>
      <w:r w:rsidR="007525C4" w:rsidRPr="00746DA8">
        <w:rPr>
          <w:rFonts w:ascii="Times New Roman" w:hAnsi="Times New Roman"/>
          <w:szCs w:val="24"/>
        </w:rPr>
        <w:t xml:space="preserve"> </w:t>
      </w:r>
      <w:r w:rsidRPr="00746DA8">
        <w:rPr>
          <w:rFonts w:ascii="Times New Roman" w:hAnsi="Times New Roman"/>
          <w:szCs w:val="24"/>
        </w:rPr>
        <w:t>exemption</w:t>
      </w:r>
      <w:r w:rsidR="007525C4" w:rsidRPr="00746DA8">
        <w:rPr>
          <w:rFonts w:ascii="Times New Roman" w:hAnsi="Times New Roman"/>
          <w:szCs w:val="24"/>
        </w:rPr>
        <w:t xml:space="preserve"> </w:t>
      </w:r>
      <w:r w:rsidRPr="00746DA8">
        <w:rPr>
          <w:rFonts w:ascii="Times New Roman" w:hAnsi="Times New Roman"/>
          <w:szCs w:val="24"/>
        </w:rPr>
        <w:t>described in</w:t>
      </w:r>
      <w:r w:rsidR="007525C4" w:rsidRPr="00746DA8">
        <w:rPr>
          <w:rFonts w:ascii="Times New Roman" w:hAnsi="Times New Roman"/>
          <w:szCs w:val="24"/>
        </w:rPr>
        <w:t xml:space="preserve"> </w:t>
      </w:r>
      <w:r w:rsidRPr="00746DA8">
        <w:rPr>
          <w:rFonts w:ascii="Times New Roman" w:hAnsi="Times New Roman"/>
          <w:szCs w:val="24"/>
        </w:rPr>
        <w:t>section</w:t>
      </w:r>
      <w:r w:rsidR="007525C4" w:rsidRPr="00746DA8">
        <w:rPr>
          <w:rFonts w:ascii="Times New Roman" w:hAnsi="Times New Roman"/>
          <w:szCs w:val="24"/>
        </w:rPr>
        <w:t xml:space="preserve"> </w:t>
      </w:r>
      <w:r w:rsidRPr="00746DA8">
        <w:rPr>
          <w:rFonts w:ascii="Times New Roman" w:hAnsi="Times New Roman"/>
          <w:szCs w:val="24"/>
        </w:rPr>
        <w:t>fifty-two</w:t>
      </w:r>
      <w:r w:rsidR="007525C4" w:rsidRPr="00746DA8">
        <w:rPr>
          <w:rFonts w:ascii="Times New Roman" w:hAnsi="Times New Roman"/>
          <w:szCs w:val="24"/>
        </w:rPr>
        <w:t xml:space="preserve"> </w:t>
      </w:r>
      <w:r w:rsidRPr="00746DA8">
        <w:rPr>
          <w:rFonts w:ascii="Times New Roman" w:hAnsi="Times New Roman"/>
          <w:szCs w:val="24"/>
        </w:rPr>
        <w:t>hundred six of the civil practice law and rules; (b) utilizes to the fullest extent permitted by law as applied</w:t>
      </w:r>
      <w:r w:rsidR="007525C4" w:rsidRPr="00746DA8">
        <w:rPr>
          <w:rFonts w:ascii="Times New Roman" w:hAnsi="Times New Roman"/>
          <w:szCs w:val="24"/>
        </w:rPr>
        <w:t xml:space="preserve"> </w:t>
      </w:r>
      <w:r w:rsidRPr="00746DA8">
        <w:rPr>
          <w:rFonts w:ascii="Times New Roman" w:hAnsi="Times New Roman"/>
          <w:szCs w:val="24"/>
        </w:rPr>
        <w:t>to</w:t>
      </w:r>
      <w:r w:rsidR="007525C4" w:rsidRPr="00746DA8">
        <w:rPr>
          <w:rFonts w:ascii="Times New Roman" w:hAnsi="Times New Roman"/>
          <w:szCs w:val="24"/>
        </w:rPr>
        <w:t xml:space="preserve"> </w:t>
      </w:r>
      <w:r w:rsidRPr="00746DA8">
        <w:rPr>
          <w:rFonts w:ascii="Times New Roman" w:hAnsi="Times New Roman"/>
          <w:szCs w:val="24"/>
        </w:rPr>
        <w:t>said debtor's property, the exemptions referred to in subdivision one of this section</w:t>
      </w:r>
      <w:r w:rsidR="007525C4" w:rsidRPr="00746DA8">
        <w:rPr>
          <w:rFonts w:ascii="Times New Roman" w:hAnsi="Times New Roman"/>
          <w:szCs w:val="24"/>
        </w:rPr>
        <w:t xml:space="preserve"> </w:t>
      </w:r>
      <w:r w:rsidRPr="00746DA8">
        <w:rPr>
          <w:rFonts w:ascii="Times New Roman" w:hAnsi="Times New Roman"/>
          <w:szCs w:val="24"/>
        </w:rPr>
        <w:t>which</w:t>
      </w:r>
      <w:r w:rsidR="007525C4" w:rsidRPr="00746DA8">
        <w:rPr>
          <w:rFonts w:ascii="Times New Roman" w:hAnsi="Times New Roman"/>
          <w:szCs w:val="24"/>
        </w:rPr>
        <w:t xml:space="preserve"> </w:t>
      </w:r>
      <w:r w:rsidRPr="00746DA8">
        <w:rPr>
          <w:rFonts w:ascii="Times New Roman" w:hAnsi="Times New Roman"/>
          <w:szCs w:val="24"/>
        </w:rPr>
        <w:t>are</w:t>
      </w:r>
      <w:r w:rsidR="007525C4" w:rsidRPr="00746DA8">
        <w:rPr>
          <w:rFonts w:ascii="Times New Roman" w:hAnsi="Times New Roman"/>
          <w:szCs w:val="24"/>
        </w:rPr>
        <w:t xml:space="preserve"> </w:t>
      </w:r>
      <w:r w:rsidRPr="00746DA8">
        <w:rPr>
          <w:rFonts w:ascii="Times New Roman" w:hAnsi="Times New Roman"/>
          <w:szCs w:val="24"/>
        </w:rPr>
        <w:t>subject to the ten thousand dollar aggregate limit; and (c) does not reach such aggregate limit,</w:t>
      </w:r>
      <w:r w:rsidR="007525C4" w:rsidRPr="00746DA8">
        <w:rPr>
          <w:rFonts w:ascii="Times New Roman" w:hAnsi="Times New Roman"/>
          <w:szCs w:val="24"/>
        </w:rPr>
        <w:t xml:space="preserve"> </w:t>
      </w:r>
      <w:r w:rsidRPr="00746DA8">
        <w:rPr>
          <w:rFonts w:ascii="Times New Roman" w:hAnsi="Times New Roman"/>
          <w:b/>
          <w:bCs/>
          <w:szCs w:val="24"/>
        </w:rPr>
        <w:t>may</w:t>
      </w:r>
      <w:r w:rsidR="007525C4" w:rsidRPr="00746DA8">
        <w:rPr>
          <w:rFonts w:ascii="Times New Roman" w:hAnsi="Times New Roman"/>
          <w:b/>
          <w:bCs/>
          <w:szCs w:val="24"/>
        </w:rPr>
        <w:t xml:space="preserve"> </w:t>
      </w:r>
      <w:r w:rsidRPr="00746DA8">
        <w:rPr>
          <w:rFonts w:ascii="Times New Roman" w:hAnsi="Times New Roman"/>
          <w:b/>
          <w:bCs/>
          <w:szCs w:val="24"/>
        </w:rPr>
        <w:t>exempt</w:t>
      </w:r>
      <w:r w:rsidR="007525C4" w:rsidRPr="00746DA8">
        <w:rPr>
          <w:rFonts w:ascii="Times New Roman" w:hAnsi="Times New Roman"/>
          <w:b/>
          <w:bCs/>
          <w:szCs w:val="24"/>
        </w:rPr>
        <w:t xml:space="preserve"> </w:t>
      </w:r>
      <w:r w:rsidRPr="00746DA8">
        <w:rPr>
          <w:rFonts w:ascii="Times New Roman" w:hAnsi="Times New Roman"/>
          <w:b/>
          <w:bCs/>
          <w:szCs w:val="24"/>
        </w:rPr>
        <w:t>cash</w:t>
      </w:r>
      <w:r w:rsidR="007525C4" w:rsidRPr="00746DA8">
        <w:rPr>
          <w:rFonts w:ascii="Times New Roman" w:hAnsi="Times New Roman"/>
          <w:b/>
          <w:bCs/>
          <w:szCs w:val="24"/>
        </w:rPr>
        <w:t xml:space="preserve"> </w:t>
      </w:r>
      <w:r w:rsidRPr="00746DA8">
        <w:rPr>
          <w:rFonts w:ascii="Times New Roman" w:hAnsi="Times New Roman"/>
          <w:b/>
          <w:bCs/>
          <w:szCs w:val="24"/>
        </w:rPr>
        <w:t>in</w:t>
      </w:r>
      <w:r w:rsidR="007525C4" w:rsidRPr="00746DA8">
        <w:rPr>
          <w:rFonts w:ascii="Times New Roman" w:hAnsi="Times New Roman"/>
          <w:b/>
          <w:bCs/>
          <w:szCs w:val="24"/>
        </w:rPr>
        <w:t xml:space="preserve"> </w:t>
      </w:r>
      <w:r w:rsidRPr="00746DA8">
        <w:rPr>
          <w:rFonts w:ascii="Times New Roman" w:hAnsi="Times New Roman"/>
          <w:b/>
          <w:bCs/>
          <w:szCs w:val="24"/>
        </w:rPr>
        <w:t>the amount by which ten thousand dollars exceeds the aggregate of his or her exemptions</w:t>
      </w:r>
      <w:r w:rsidRPr="00746DA8">
        <w:rPr>
          <w:rFonts w:ascii="Times New Roman" w:hAnsi="Times New Roman"/>
          <w:szCs w:val="24"/>
        </w:rPr>
        <w:t xml:space="preserve"> referred to in subdivision one of this section </w:t>
      </w:r>
      <w:r w:rsidRPr="00746DA8">
        <w:rPr>
          <w:rFonts w:ascii="Times New Roman" w:hAnsi="Times New Roman"/>
          <w:b/>
          <w:bCs/>
          <w:szCs w:val="24"/>
        </w:rPr>
        <w:t>or in the amount of five thousand dollars, whichever amount is less</w:t>
      </w:r>
      <w:r w:rsidRPr="00746DA8">
        <w:rPr>
          <w:rFonts w:ascii="Times New Roman" w:hAnsi="Times New Roman"/>
          <w:szCs w:val="24"/>
        </w:rPr>
        <w:t>. For</w:t>
      </w:r>
      <w:r w:rsidR="00B9718B" w:rsidRPr="00746DA8">
        <w:rPr>
          <w:rFonts w:ascii="Times New Roman" w:hAnsi="Times New Roman"/>
          <w:szCs w:val="24"/>
        </w:rPr>
        <w:t xml:space="preserve"> </w:t>
      </w:r>
      <w:r w:rsidRPr="00746DA8">
        <w:rPr>
          <w:rFonts w:ascii="Times New Roman" w:hAnsi="Times New Roman"/>
          <w:szCs w:val="24"/>
        </w:rPr>
        <w:t>purposes of</w:t>
      </w:r>
      <w:r w:rsidR="00B9718B" w:rsidRPr="00746DA8">
        <w:rPr>
          <w:rFonts w:ascii="Times New Roman" w:hAnsi="Times New Roman"/>
          <w:szCs w:val="24"/>
        </w:rPr>
        <w:t xml:space="preserve"> </w:t>
      </w:r>
      <w:r w:rsidRPr="00746DA8">
        <w:rPr>
          <w:rFonts w:ascii="Times New Roman" w:hAnsi="Times New Roman"/>
          <w:szCs w:val="24"/>
        </w:rPr>
        <w:t>this</w:t>
      </w:r>
      <w:r w:rsidR="00B9718B" w:rsidRPr="00746DA8">
        <w:rPr>
          <w:rFonts w:ascii="Times New Roman" w:hAnsi="Times New Roman"/>
          <w:szCs w:val="24"/>
        </w:rPr>
        <w:t xml:space="preserve"> </w:t>
      </w:r>
      <w:r w:rsidRPr="00746DA8">
        <w:rPr>
          <w:rFonts w:ascii="Times New Roman" w:hAnsi="Times New Roman"/>
          <w:szCs w:val="24"/>
        </w:rPr>
        <w:t>subdivision,</w:t>
      </w:r>
      <w:r w:rsidR="00B9718B" w:rsidRPr="00746DA8">
        <w:rPr>
          <w:rFonts w:ascii="Times New Roman" w:hAnsi="Times New Roman"/>
          <w:szCs w:val="24"/>
        </w:rPr>
        <w:t xml:space="preserve"> </w:t>
      </w:r>
      <w:r w:rsidRPr="00746DA8">
        <w:rPr>
          <w:rFonts w:ascii="Times New Roman" w:hAnsi="Times New Roman"/>
          <w:szCs w:val="24"/>
        </w:rPr>
        <w:t>cash means currency of the United States at face value, savings bonds of the United States at face value,</w:t>
      </w:r>
      <w:r w:rsidR="00B9718B" w:rsidRPr="00746DA8">
        <w:rPr>
          <w:rFonts w:ascii="Times New Roman" w:hAnsi="Times New Roman"/>
          <w:szCs w:val="24"/>
        </w:rPr>
        <w:t xml:space="preserve"> </w:t>
      </w:r>
      <w:r w:rsidRPr="00746DA8">
        <w:rPr>
          <w:rFonts w:ascii="Times New Roman" w:hAnsi="Times New Roman"/>
          <w:szCs w:val="24"/>
        </w:rPr>
        <w:t>the</w:t>
      </w:r>
      <w:r w:rsidR="00B9718B" w:rsidRPr="00746DA8">
        <w:rPr>
          <w:rFonts w:ascii="Times New Roman" w:hAnsi="Times New Roman"/>
          <w:szCs w:val="24"/>
        </w:rPr>
        <w:t xml:space="preserve"> </w:t>
      </w:r>
      <w:r w:rsidRPr="00746DA8">
        <w:rPr>
          <w:rFonts w:ascii="Times New Roman" w:hAnsi="Times New Roman"/>
          <w:szCs w:val="24"/>
        </w:rPr>
        <w:t>right</w:t>
      </w:r>
      <w:r w:rsidR="00B9718B" w:rsidRPr="00746DA8">
        <w:rPr>
          <w:rFonts w:ascii="Times New Roman" w:hAnsi="Times New Roman"/>
          <w:szCs w:val="24"/>
        </w:rPr>
        <w:t xml:space="preserve"> </w:t>
      </w:r>
      <w:r w:rsidRPr="00746DA8">
        <w:rPr>
          <w:rFonts w:ascii="Times New Roman" w:hAnsi="Times New Roman"/>
          <w:szCs w:val="24"/>
        </w:rPr>
        <w:t>to receive</w:t>
      </w:r>
      <w:r w:rsidR="00B9718B" w:rsidRPr="00746DA8">
        <w:rPr>
          <w:rFonts w:ascii="Times New Roman" w:hAnsi="Times New Roman"/>
          <w:szCs w:val="24"/>
        </w:rPr>
        <w:t xml:space="preserve"> </w:t>
      </w:r>
      <w:r w:rsidRPr="00746DA8">
        <w:rPr>
          <w:rFonts w:ascii="Times New Roman" w:hAnsi="Times New Roman"/>
          <w:szCs w:val="24"/>
        </w:rPr>
        <w:t>a</w:t>
      </w:r>
      <w:r w:rsidR="00B9718B" w:rsidRPr="00746DA8">
        <w:rPr>
          <w:rFonts w:ascii="Times New Roman" w:hAnsi="Times New Roman"/>
          <w:szCs w:val="24"/>
        </w:rPr>
        <w:t xml:space="preserve"> </w:t>
      </w:r>
      <w:r w:rsidRPr="00746DA8">
        <w:rPr>
          <w:rFonts w:ascii="Times New Roman" w:hAnsi="Times New Roman"/>
          <w:szCs w:val="24"/>
        </w:rPr>
        <w:t>refund of federal, state and local income taxes, and deposit accounts in any state or federally chartered depository institution.</w:t>
      </w:r>
    </w:p>
    <w:p w14:paraId="15B8DECC" w14:textId="679B3F4F" w:rsidR="004E0737" w:rsidRPr="00746DA8" w:rsidRDefault="004E0737" w:rsidP="00AB4BE5">
      <w:pPr>
        <w:pStyle w:val="Heading2"/>
        <w:numPr>
          <w:ilvl w:val="0"/>
          <w:numId w:val="0"/>
        </w:numPr>
        <w:ind w:left="1224" w:hanging="864"/>
      </w:pPr>
      <w:bookmarkStart w:id="6607" w:name="_Toc79700341"/>
      <w:bookmarkStart w:id="6608" w:name="_Toc79700663"/>
      <w:bookmarkStart w:id="6609" w:name="_Toc90983844"/>
      <w:r w:rsidRPr="00746DA8">
        <w:t>C.</w:t>
      </w:r>
      <w:r w:rsidR="00312B56" w:rsidRPr="00746DA8">
        <w:t>8</w:t>
      </w:r>
      <w:r w:rsidRPr="00746DA8">
        <w:t>.</w:t>
      </w:r>
      <w:r w:rsidRPr="00746DA8">
        <w:tab/>
        <w:t>New York Debtor Creditor Law, Art. 10A, § 284 [</w:t>
      </w:r>
      <w:r w:rsidRPr="00746DA8">
        <w:rPr>
          <w:color w:val="FF0000"/>
        </w:rPr>
        <w:t>OLD</w:t>
      </w:r>
      <w:r w:rsidRPr="00746DA8">
        <w:t>]</w:t>
      </w:r>
      <w:r w:rsidR="005F6A8B" w:rsidRPr="00746DA8">
        <w:t>.</w:t>
      </w:r>
      <w:bookmarkEnd w:id="6607"/>
      <w:bookmarkEnd w:id="6608"/>
      <w:bookmarkEnd w:id="6609"/>
      <w:r w:rsidR="005F6A8B" w:rsidRPr="00746DA8">
        <w:t xml:space="preserve"> </w:t>
      </w:r>
    </w:p>
    <w:p w14:paraId="05E83EE2" w14:textId="7047FEB0" w:rsidR="004E0737" w:rsidRPr="00746DA8" w:rsidRDefault="004E0737" w:rsidP="004E0737">
      <w:pPr>
        <w:ind w:left="720"/>
        <w:rPr>
          <w:rFonts w:ascii="Times New Roman" w:hAnsi="Times New Roman"/>
          <w:szCs w:val="24"/>
        </w:rPr>
      </w:pPr>
      <w:r w:rsidRPr="00746DA8">
        <w:rPr>
          <w:rFonts w:ascii="Times New Roman" w:hAnsi="Times New Roman"/>
          <w:b/>
          <w:szCs w:val="24"/>
        </w:rPr>
        <w:t>Exclusivity of exemptions</w:t>
      </w:r>
      <w:r w:rsidRPr="00746DA8">
        <w:rPr>
          <w:rFonts w:ascii="Times New Roman" w:hAnsi="Times New Roman"/>
          <w:szCs w:val="24"/>
        </w:rPr>
        <w:t xml:space="preserve">. </w:t>
      </w:r>
    </w:p>
    <w:p w14:paraId="528F0E44" w14:textId="5E48B0AB" w:rsidR="004E0737" w:rsidRPr="00746DA8" w:rsidRDefault="004E0737" w:rsidP="004E0737">
      <w:pPr>
        <w:ind w:left="720"/>
        <w:rPr>
          <w:rFonts w:ascii="Times New Roman" w:hAnsi="Times New Roman"/>
          <w:szCs w:val="24"/>
        </w:rPr>
      </w:pPr>
      <w:r w:rsidRPr="00746DA8">
        <w:rPr>
          <w:rFonts w:ascii="Times New Roman" w:hAnsi="Times New Roman"/>
          <w:szCs w:val="24"/>
        </w:rPr>
        <w:t>In accordance with the provisions of section five hundred twenty-two (b) of title eleven of the United States Code,</w:t>
      </w:r>
      <w:r w:rsidR="00B9718B" w:rsidRPr="00746DA8">
        <w:rPr>
          <w:rFonts w:ascii="Times New Roman" w:hAnsi="Times New Roman"/>
          <w:szCs w:val="24"/>
        </w:rPr>
        <w:t xml:space="preserve"> </w:t>
      </w:r>
      <w:r w:rsidRPr="00746DA8">
        <w:rPr>
          <w:rFonts w:ascii="Times New Roman" w:hAnsi="Times New Roman"/>
          <w:szCs w:val="24"/>
        </w:rPr>
        <w:t>debtors domiciled in this state are not authorized to exempt from the estate property that is</w:t>
      </w:r>
      <w:r w:rsidR="00B9718B" w:rsidRPr="00746DA8">
        <w:rPr>
          <w:rFonts w:ascii="Times New Roman" w:hAnsi="Times New Roman"/>
          <w:szCs w:val="24"/>
        </w:rPr>
        <w:t xml:space="preserve"> </w:t>
      </w:r>
      <w:r w:rsidRPr="00746DA8">
        <w:rPr>
          <w:rFonts w:ascii="Times New Roman" w:hAnsi="Times New Roman"/>
          <w:szCs w:val="24"/>
        </w:rPr>
        <w:t>specified</w:t>
      </w:r>
      <w:r w:rsidR="00B9718B" w:rsidRPr="00746DA8">
        <w:rPr>
          <w:rFonts w:ascii="Times New Roman" w:hAnsi="Times New Roman"/>
          <w:szCs w:val="24"/>
        </w:rPr>
        <w:t xml:space="preserve"> </w:t>
      </w:r>
      <w:r w:rsidRPr="00746DA8">
        <w:rPr>
          <w:rFonts w:ascii="Times New Roman" w:hAnsi="Times New Roman"/>
          <w:szCs w:val="24"/>
        </w:rPr>
        <w:t>under</w:t>
      </w:r>
      <w:r w:rsidR="00B9718B" w:rsidRPr="00746DA8">
        <w:rPr>
          <w:rFonts w:ascii="Times New Roman" w:hAnsi="Times New Roman"/>
          <w:szCs w:val="24"/>
        </w:rPr>
        <w:t xml:space="preserve"> </w:t>
      </w:r>
      <w:r w:rsidRPr="00746DA8">
        <w:rPr>
          <w:rFonts w:ascii="Times New Roman" w:hAnsi="Times New Roman"/>
          <w:szCs w:val="24"/>
        </w:rPr>
        <w:t>subsection</w:t>
      </w:r>
      <w:r w:rsidR="00B9718B" w:rsidRPr="00746DA8">
        <w:rPr>
          <w:rFonts w:ascii="Times New Roman" w:hAnsi="Times New Roman"/>
          <w:szCs w:val="24"/>
        </w:rPr>
        <w:t xml:space="preserve"> </w:t>
      </w:r>
      <w:r w:rsidRPr="00746DA8">
        <w:rPr>
          <w:rFonts w:ascii="Times New Roman" w:hAnsi="Times New Roman"/>
          <w:szCs w:val="24"/>
        </w:rPr>
        <w:t>(d)</w:t>
      </w:r>
      <w:r w:rsidR="00B9718B" w:rsidRPr="00746DA8">
        <w:rPr>
          <w:rFonts w:ascii="Times New Roman" w:hAnsi="Times New Roman"/>
          <w:szCs w:val="24"/>
        </w:rPr>
        <w:t xml:space="preserve"> </w:t>
      </w:r>
      <w:r w:rsidRPr="00746DA8">
        <w:rPr>
          <w:rFonts w:ascii="Times New Roman" w:hAnsi="Times New Roman"/>
          <w:szCs w:val="24"/>
        </w:rPr>
        <w:t>of</w:t>
      </w:r>
      <w:r w:rsidR="00B9718B" w:rsidRPr="00746DA8">
        <w:rPr>
          <w:rFonts w:ascii="Times New Roman" w:hAnsi="Times New Roman"/>
          <w:szCs w:val="24"/>
        </w:rPr>
        <w:t xml:space="preserve"> </w:t>
      </w:r>
      <w:r w:rsidRPr="00746DA8">
        <w:rPr>
          <w:rFonts w:ascii="Times New Roman" w:hAnsi="Times New Roman"/>
          <w:szCs w:val="24"/>
        </w:rPr>
        <w:t>such</w:t>
      </w:r>
      <w:r w:rsidR="00B9718B" w:rsidRPr="00746DA8">
        <w:rPr>
          <w:rFonts w:ascii="Times New Roman" w:hAnsi="Times New Roman"/>
          <w:szCs w:val="24"/>
        </w:rPr>
        <w:t xml:space="preserve"> </w:t>
      </w:r>
      <w:r w:rsidRPr="00746DA8">
        <w:rPr>
          <w:rFonts w:ascii="Times New Roman" w:hAnsi="Times New Roman"/>
          <w:szCs w:val="24"/>
        </w:rPr>
        <w:t>section.</w:t>
      </w:r>
    </w:p>
    <w:p w14:paraId="1502AA30" w14:textId="57E8C26A" w:rsidR="004E0737" w:rsidRPr="00746DA8" w:rsidRDefault="004E0737" w:rsidP="00AB4BE5">
      <w:pPr>
        <w:pStyle w:val="Heading2"/>
        <w:numPr>
          <w:ilvl w:val="0"/>
          <w:numId w:val="0"/>
        </w:numPr>
        <w:ind w:left="1224" w:hanging="864"/>
      </w:pPr>
      <w:bookmarkStart w:id="6610" w:name="_Toc79700342"/>
      <w:bookmarkStart w:id="6611" w:name="_Toc79700664"/>
      <w:bookmarkStart w:id="6612" w:name="_Toc90983845"/>
      <w:r w:rsidRPr="00746DA8">
        <w:t>C.</w:t>
      </w:r>
      <w:r w:rsidR="00312B56" w:rsidRPr="00746DA8">
        <w:t>9</w:t>
      </w:r>
      <w:r w:rsidRPr="00746DA8">
        <w:t>.</w:t>
      </w:r>
      <w:r w:rsidRPr="00746DA8">
        <w:tab/>
      </w:r>
      <w:hyperlink r:id="rId364" w:history="1">
        <w:r w:rsidRPr="00746DA8">
          <w:rPr>
            <w:rStyle w:val="Hyperlink"/>
          </w:rPr>
          <w:t>New York Debtor Creditor Law, Art. 10A, § 285</w:t>
        </w:r>
      </w:hyperlink>
      <w:r w:rsidRPr="00746DA8">
        <w:t xml:space="preserve"> [NEW]</w:t>
      </w:r>
      <w:r w:rsidR="005F6A8B" w:rsidRPr="00746DA8">
        <w:t>.</w:t>
      </w:r>
      <w:bookmarkEnd w:id="6610"/>
      <w:bookmarkEnd w:id="6611"/>
      <w:bookmarkEnd w:id="6612"/>
      <w:r w:rsidR="005F6A8B" w:rsidRPr="00746DA8">
        <w:t xml:space="preserve"> </w:t>
      </w:r>
    </w:p>
    <w:p w14:paraId="3FD4D8E3" w14:textId="2F51D1F9" w:rsidR="004E0737" w:rsidRPr="00746DA8" w:rsidRDefault="0083669A" w:rsidP="004E0737">
      <w:pPr>
        <w:ind w:left="720"/>
        <w:rPr>
          <w:rFonts w:ascii="Times New Roman" w:hAnsi="Times New Roman"/>
          <w:szCs w:val="24"/>
        </w:rPr>
      </w:pPr>
      <w:r w:rsidRPr="00746DA8">
        <w:rPr>
          <w:rFonts w:ascii="Times New Roman" w:hAnsi="Times New Roman"/>
          <w:b/>
          <w:szCs w:val="24"/>
        </w:rPr>
        <w:t>Alternative federal exemptions</w:t>
      </w:r>
      <w:r w:rsidR="005F6A8B" w:rsidRPr="00746DA8">
        <w:rPr>
          <w:rFonts w:ascii="Times New Roman" w:hAnsi="Times New Roman"/>
          <w:szCs w:val="24"/>
        </w:rPr>
        <w:t>.</w:t>
      </w:r>
      <w:r w:rsidR="00B9718B" w:rsidRPr="00746DA8">
        <w:rPr>
          <w:rFonts w:ascii="Times New Roman" w:hAnsi="Times New Roman"/>
          <w:szCs w:val="24"/>
        </w:rPr>
        <w:t xml:space="preserve"> </w:t>
      </w:r>
    </w:p>
    <w:p w14:paraId="4020867B" w14:textId="1CBF3AC7" w:rsidR="004E0737" w:rsidRPr="00746DA8" w:rsidRDefault="004E0737" w:rsidP="00312B56">
      <w:pPr>
        <w:ind w:left="720"/>
        <w:rPr>
          <w:rFonts w:ascii="Times New Roman" w:hAnsi="Times New Roman"/>
          <w:szCs w:val="24"/>
        </w:rPr>
      </w:pPr>
      <w:r w:rsidRPr="00746DA8">
        <w:rPr>
          <w:rFonts w:ascii="Times New Roman" w:hAnsi="Times New Roman"/>
          <w:szCs w:val="24"/>
        </w:rPr>
        <w:t>Notwithstanding any inconsistent provision of law, an individual debtor may</w:t>
      </w:r>
      <w:r w:rsidR="00B9718B" w:rsidRPr="00746DA8">
        <w:rPr>
          <w:rFonts w:ascii="Times New Roman" w:hAnsi="Times New Roman"/>
          <w:szCs w:val="24"/>
        </w:rPr>
        <w:t xml:space="preserve"> </w:t>
      </w:r>
      <w:r w:rsidRPr="00746DA8">
        <w:rPr>
          <w:rFonts w:ascii="Times New Roman" w:hAnsi="Times New Roman"/>
          <w:szCs w:val="24"/>
        </w:rPr>
        <w:t>opt</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exempt</w:t>
      </w:r>
      <w:r w:rsidR="00B9718B" w:rsidRPr="00746DA8">
        <w:rPr>
          <w:rFonts w:ascii="Times New Roman" w:hAnsi="Times New Roman"/>
          <w:szCs w:val="24"/>
        </w:rPr>
        <w:t xml:space="preserve"> </w:t>
      </w:r>
      <w:r w:rsidRPr="00746DA8">
        <w:rPr>
          <w:rFonts w:ascii="Times New Roman" w:hAnsi="Times New Roman"/>
          <w:szCs w:val="24"/>
        </w:rPr>
        <w:t>from property of the estate such property as is permitted to be exempted</w:t>
      </w:r>
      <w:r w:rsidR="00B9718B" w:rsidRPr="00746DA8">
        <w:rPr>
          <w:rFonts w:ascii="Times New Roman" w:hAnsi="Times New Roman"/>
          <w:szCs w:val="24"/>
        </w:rPr>
        <w:t xml:space="preserve"> </w:t>
      </w:r>
      <w:r w:rsidRPr="00746DA8">
        <w:rPr>
          <w:rFonts w:ascii="Times New Roman" w:hAnsi="Times New Roman"/>
          <w:szCs w:val="24"/>
        </w:rPr>
        <w:t>pursuant</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section</w:t>
      </w:r>
      <w:r w:rsidR="00B9718B" w:rsidRPr="00746DA8">
        <w:rPr>
          <w:rFonts w:ascii="Times New Roman" w:hAnsi="Times New Roman"/>
          <w:szCs w:val="24"/>
        </w:rPr>
        <w:t xml:space="preserve"> </w:t>
      </w:r>
      <w:r w:rsidRPr="00746DA8">
        <w:rPr>
          <w:rFonts w:ascii="Times New Roman" w:hAnsi="Times New Roman"/>
          <w:szCs w:val="24"/>
        </w:rPr>
        <w:t>five</w:t>
      </w:r>
      <w:r w:rsidR="00B9718B" w:rsidRPr="00746DA8">
        <w:rPr>
          <w:rFonts w:ascii="Times New Roman" w:hAnsi="Times New Roman"/>
          <w:szCs w:val="24"/>
        </w:rPr>
        <w:t xml:space="preserve"> </w:t>
      </w:r>
      <w:r w:rsidRPr="00746DA8">
        <w:rPr>
          <w:rFonts w:ascii="Times New Roman" w:hAnsi="Times New Roman"/>
          <w:szCs w:val="24"/>
        </w:rPr>
        <w:t>hundred</w:t>
      </w:r>
      <w:r w:rsidR="00B9718B" w:rsidRPr="00746DA8">
        <w:rPr>
          <w:rFonts w:ascii="Times New Roman" w:hAnsi="Times New Roman"/>
          <w:szCs w:val="24"/>
        </w:rPr>
        <w:t xml:space="preserve"> </w:t>
      </w:r>
      <w:r w:rsidRPr="00746DA8">
        <w:rPr>
          <w:rFonts w:ascii="Times New Roman" w:hAnsi="Times New Roman"/>
          <w:szCs w:val="24"/>
        </w:rPr>
        <w:t>twenty-two</w:t>
      </w:r>
      <w:r w:rsidR="00B9718B" w:rsidRPr="00746DA8">
        <w:rPr>
          <w:rFonts w:ascii="Times New Roman" w:hAnsi="Times New Roman"/>
          <w:szCs w:val="24"/>
        </w:rPr>
        <w:t xml:space="preserve"> </w:t>
      </w:r>
      <w:r w:rsidRPr="00746DA8">
        <w:rPr>
          <w:rFonts w:ascii="Times New Roman" w:hAnsi="Times New Roman"/>
          <w:szCs w:val="24"/>
        </w:rPr>
        <w:t>of title eleven of the</w:t>
      </w:r>
      <w:r w:rsidR="00B9718B" w:rsidRPr="00746DA8">
        <w:rPr>
          <w:rFonts w:ascii="Times New Roman" w:hAnsi="Times New Roman"/>
          <w:szCs w:val="24"/>
        </w:rPr>
        <w:t xml:space="preserve"> </w:t>
      </w:r>
      <w:r w:rsidRPr="00746DA8">
        <w:rPr>
          <w:rFonts w:ascii="Times New Roman" w:hAnsi="Times New Roman"/>
          <w:szCs w:val="24"/>
        </w:rPr>
        <w:t>United States Code in lieu of</w:t>
      </w:r>
      <w:r w:rsidR="00B9718B" w:rsidRPr="00746DA8">
        <w:rPr>
          <w:rFonts w:ascii="Times New Roman" w:hAnsi="Times New Roman"/>
          <w:szCs w:val="24"/>
        </w:rPr>
        <w:t xml:space="preserve"> </w:t>
      </w:r>
      <w:r w:rsidRPr="00746DA8">
        <w:rPr>
          <w:rFonts w:ascii="Times New Roman" w:hAnsi="Times New Roman"/>
          <w:szCs w:val="24"/>
        </w:rPr>
        <w:t>such</w:t>
      </w:r>
      <w:r w:rsidR="00B9718B" w:rsidRPr="00746DA8">
        <w:rPr>
          <w:rFonts w:ascii="Times New Roman" w:hAnsi="Times New Roman"/>
          <w:szCs w:val="24"/>
        </w:rPr>
        <w:t xml:space="preserve"> </w:t>
      </w:r>
      <w:r w:rsidRPr="00746DA8">
        <w:rPr>
          <w:rFonts w:ascii="Times New Roman" w:hAnsi="Times New Roman"/>
          <w:szCs w:val="24"/>
        </w:rPr>
        <w:t>property</w:t>
      </w:r>
      <w:r w:rsidR="00B9718B" w:rsidRPr="00746DA8">
        <w:rPr>
          <w:rFonts w:ascii="Times New Roman" w:hAnsi="Times New Roman"/>
          <w:szCs w:val="24"/>
        </w:rPr>
        <w:t xml:space="preserve"> </w:t>
      </w:r>
      <w:r w:rsidRPr="00746DA8">
        <w:rPr>
          <w:rFonts w:ascii="Times New Roman" w:hAnsi="Times New Roman"/>
          <w:szCs w:val="24"/>
        </w:rPr>
        <w:t>as</w:t>
      </w:r>
      <w:r w:rsidR="00B9718B" w:rsidRPr="00746DA8">
        <w:rPr>
          <w:rFonts w:ascii="Times New Roman" w:hAnsi="Times New Roman"/>
          <w:szCs w:val="24"/>
        </w:rPr>
        <w:t xml:space="preserve"> </w:t>
      </w:r>
      <w:r w:rsidRPr="00746DA8">
        <w:rPr>
          <w:rFonts w:ascii="Times New Roman" w:hAnsi="Times New Roman"/>
          <w:szCs w:val="24"/>
        </w:rPr>
        <w:t>is</w:t>
      </w:r>
      <w:r w:rsidR="00B9718B" w:rsidRPr="00746DA8">
        <w:rPr>
          <w:rFonts w:ascii="Times New Roman" w:hAnsi="Times New Roman"/>
          <w:szCs w:val="24"/>
        </w:rPr>
        <w:t xml:space="preserve"> </w:t>
      </w:r>
      <w:r w:rsidRPr="00746DA8">
        <w:rPr>
          <w:rFonts w:ascii="Times New Roman" w:hAnsi="Times New Roman"/>
          <w:szCs w:val="24"/>
        </w:rPr>
        <w:t>permitted</w:t>
      </w:r>
      <w:r w:rsidR="00B9718B" w:rsidRPr="00746DA8">
        <w:rPr>
          <w:rFonts w:ascii="Times New Roman" w:hAnsi="Times New Roman"/>
          <w:szCs w:val="24"/>
        </w:rPr>
        <w:t xml:space="preserve"> </w:t>
      </w:r>
      <w:r w:rsidRPr="00746DA8">
        <w:rPr>
          <w:rFonts w:ascii="Times New Roman" w:hAnsi="Times New Roman"/>
          <w:szCs w:val="24"/>
        </w:rPr>
        <w:t>to</w:t>
      </w:r>
      <w:r w:rsidR="00B9718B" w:rsidRPr="00746DA8">
        <w:rPr>
          <w:rFonts w:ascii="Times New Roman" w:hAnsi="Times New Roman"/>
          <w:szCs w:val="24"/>
        </w:rPr>
        <w:t xml:space="preserve"> </w:t>
      </w:r>
      <w:r w:rsidRPr="00746DA8">
        <w:rPr>
          <w:rFonts w:ascii="Times New Roman" w:hAnsi="Times New Roman"/>
          <w:szCs w:val="24"/>
        </w:rPr>
        <w:t>be</w:t>
      </w:r>
      <w:r w:rsidR="00B9718B" w:rsidRPr="00746DA8">
        <w:rPr>
          <w:rFonts w:ascii="Times New Roman" w:hAnsi="Times New Roman"/>
          <w:szCs w:val="24"/>
        </w:rPr>
        <w:t xml:space="preserve"> </w:t>
      </w:r>
      <w:r w:rsidRPr="00746DA8">
        <w:rPr>
          <w:rFonts w:ascii="Times New Roman" w:hAnsi="Times New Roman"/>
          <w:szCs w:val="24"/>
        </w:rPr>
        <w:t>exempted pursuant to the applicable provisions of this article.</w:t>
      </w:r>
      <w:r w:rsidRPr="00746DA8">
        <w:rPr>
          <w:rFonts w:ascii="Times New Roman" w:hAnsi="Times New Roman"/>
          <w:szCs w:val="24"/>
        </w:rPr>
        <w:br w:type="page"/>
      </w:r>
    </w:p>
    <w:p w14:paraId="5C364902" w14:textId="7FCB592E" w:rsidR="007B5C30" w:rsidRPr="004C0288" w:rsidRDefault="00AB4BE5" w:rsidP="007E61C1">
      <w:pPr>
        <w:pStyle w:val="APPENDIX"/>
        <w:numPr>
          <w:ilvl w:val="0"/>
          <w:numId w:val="0"/>
        </w:numPr>
      </w:pPr>
      <w:bookmarkStart w:id="6613" w:name="AppendisE"/>
      <w:bookmarkStart w:id="6614" w:name="_Toc90983846"/>
      <w:r>
        <w:t>Appendix D.</w:t>
      </w:r>
      <w:r w:rsidR="009A00A1">
        <w:t xml:space="preserve"> </w:t>
      </w:r>
      <w:bookmarkEnd w:id="6613"/>
      <w:r w:rsidR="00F1200B">
        <w:fldChar w:fldCharType="begin"/>
      </w:r>
      <w:r w:rsidR="00F1200B">
        <w:instrText xml:space="preserve"> HYPERLINK "https://www.ssa.gov/OP_Home/ssact/title02/0207.htm" </w:instrText>
      </w:r>
      <w:r w:rsidR="00F1200B">
        <w:fldChar w:fldCharType="separate"/>
      </w:r>
      <w:bookmarkStart w:id="6615" w:name="_Toc79700017"/>
      <w:bookmarkStart w:id="6616" w:name="_Toc79699679"/>
      <w:bookmarkStart w:id="6617" w:name="_Toc79699353"/>
      <w:bookmarkStart w:id="6618" w:name="_Toc79693851"/>
      <w:bookmarkStart w:id="6619" w:name="_Toc79693531"/>
      <w:bookmarkStart w:id="6620" w:name="_Toc79694804"/>
      <w:bookmarkStart w:id="6621" w:name="_Toc79695436"/>
      <w:bookmarkStart w:id="6622" w:name="_Toc79697682"/>
      <w:bookmarkStart w:id="6623" w:name="_Toc87039441"/>
      <w:r w:rsidR="007B5C30" w:rsidRPr="00F1200B">
        <w:rPr>
          <w:rStyle w:val="Hyperlink"/>
        </w:rPr>
        <w:t>Social Security Act § 207, 42 U.S.C. § 407</w:t>
      </w:r>
      <w:bookmarkEnd w:id="6614"/>
      <w:bookmarkEnd w:id="6615"/>
      <w:bookmarkEnd w:id="6616"/>
      <w:bookmarkEnd w:id="6617"/>
      <w:bookmarkEnd w:id="6618"/>
      <w:bookmarkEnd w:id="6619"/>
      <w:bookmarkEnd w:id="6620"/>
      <w:bookmarkEnd w:id="6621"/>
      <w:bookmarkEnd w:id="6622"/>
      <w:bookmarkEnd w:id="6623"/>
      <w:r w:rsidR="00F1200B">
        <w:fldChar w:fldCharType="end"/>
      </w:r>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1248EAA7" w14:textId="20ADDECD" w:rsidR="00BE1F96" w:rsidRDefault="00AE1015" w:rsidP="007E61C1">
      <w:pPr>
        <w:pStyle w:val="APPENDIX"/>
        <w:numPr>
          <w:ilvl w:val="0"/>
          <w:numId w:val="0"/>
        </w:numPr>
        <w:spacing w:line="240" w:lineRule="auto"/>
      </w:pPr>
      <w:r w:rsidRPr="007A5BBC">
        <w:br w:type="page"/>
      </w:r>
      <w:bookmarkStart w:id="6624" w:name="AppendixE"/>
      <w:bookmarkStart w:id="6625" w:name="_Toc87039442"/>
      <w:bookmarkStart w:id="6626" w:name="_Toc90983847"/>
      <w:bookmarkEnd w:id="6624"/>
      <w:r w:rsidR="00AB4BE5">
        <w:t xml:space="preserve">Appendix E. </w:t>
      </w:r>
      <w:r w:rsidR="00BE1F96">
        <w:t>New York Uniform Voidable Transactions Act (NY-UVTA), N.Y. Debt. &amp; Cred. Law §§ 270-281 (effective April 4, 2020)</w:t>
      </w:r>
      <w:bookmarkEnd w:id="6625"/>
      <w:bookmarkEnd w:id="6626"/>
    </w:p>
    <w:p w14:paraId="143518F8" w14:textId="77777777" w:rsidR="00E24A7E" w:rsidRDefault="00E24A7E" w:rsidP="00E24A7E">
      <w:pPr>
        <w:pStyle w:val="APPENDIX"/>
        <w:numPr>
          <w:ilvl w:val="0"/>
          <w:numId w:val="0"/>
        </w:numPr>
        <w:spacing w:line="240" w:lineRule="auto"/>
        <w:ind w:left="720"/>
      </w:pPr>
    </w:p>
    <w:p w14:paraId="3D475941" w14:textId="600A492C" w:rsidR="007B5C30" w:rsidRPr="003C7223" w:rsidRDefault="00BE1F96" w:rsidP="00BE1F96">
      <w:pPr>
        <w:pStyle w:val="0-NORMAL"/>
        <w:ind w:firstLine="0"/>
        <w:rPr>
          <w:b/>
          <w:bCs/>
        </w:rPr>
      </w:pPr>
      <w:r w:rsidRPr="003C7223">
        <w:rPr>
          <w:b/>
          <w:bCs/>
        </w:rPr>
        <w:t>NYUVTA Index</w:t>
      </w:r>
    </w:p>
    <w:p w14:paraId="46D41784" w14:textId="7BF0E29E" w:rsidR="00BE1F96" w:rsidRPr="00437D31" w:rsidRDefault="007C1024" w:rsidP="00BE1F96">
      <w:pPr>
        <w:pStyle w:val="0-NORMAL"/>
        <w:rPr>
          <w:rStyle w:val="Hyperlink"/>
        </w:rPr>
      </w:pPr>
      <w:hyperlink w:anchor="NYUVTA270" w:history="1">
        <w:r w:rsidR="00BE1F96" w:rsidRPr="00BE1F96">
          <w:rPr>
            <w:rStyle w:val="Hyperlink"/>
          </w:rPr>
          <w:t>Section 270 - Definitions</w:t>
        </w:r>
      </w:hyperlink>
    </w:p>
    <w:p w14:paraId="14CEC5B9" w14:textId="64FCDA02" w:rsidR="00711EEF" w:rsidRPr="00437D31" w:rsidRDefault="00711EEF" w:rsidP="00BE1F96">
      <w:pPr>
        <w:pStyle w:val="0-NORMAL"/>
        <w:rPr>
          <w:rStyle w:val="Hyperlink"/>
        </w:rPr>
      </w:pPr>
      <w:r w:rsidRPr="00437D31">
        <w:rPr>
          <w:rStyle w:val="Hyperlink"/>
        </w:rPr>
        <w:fldChar w:fldCharType="begin"/>
      </w:r>
      <w:r w:rsidRPr="00437D31">
        <w:rPr>
          <w:rStyle w:val="Hyperlink"/>
        </w:rPr>
        <w:instrText xml:space="preserve"> REF NYUVTA271 \h </w:instrText>
      </w:r>
      <w:r w:rsidR="00437D31">
        <w:rPr>
          <w:rStyle w:val="Hyperlink"/>
        </w:rPr>
        <w:instrText xml:space="preserve"> \* MERGEFORMAT </w:instrText>
      </w:r>
      <w:r w:rsidRPr="00437D31">
        <w:rPr>
          <w:rStyle w:val="Hyperlink"/>
        </w:rPr>
      </w:r>
      <w:r w:rsidRPr="00437D31">
        <w:rPr>
          <w:rStyle w:val="Hyperlink"/>
        </w:rPr>
        <w:fldChar w:fldCharType="separate"/>
      </w:r>
      <w:r w:rsidR="003B2FDE" w:rsidRPr="003B2FDE">
        <w:rPr>
          <w:rStyle w:val="Hyperlink"/>
        </w:rPr>
        <w:t>Section 271 - Insolvency</w:t>
      </w:r>
      <w:r w:rsidRPr="00437D31">
        <w:rPr>
          <w:rStyle w:val="Hyperlink"/>
        </w:rPr>
        <w:fldChar w:fldCharType="end"/>
      </w:r>
    </w:p>
    <w:p w14:paraId="27EE4F1C" w14:textId="3C7850F0" w:rsidR="00BE1F96" w:rsidRPr="00437D31" w:rsidRDefault="007C1024" w:rsidP="00BE1F96">
      <w:pPr>
        <w:pStyle w:val="0-NORMAL"/>
        <w:rPr>
          <w:rStyle w:val="Hyperlink"/>
        </w:rPr>
      </w:pPr>
      <w:hyperlink w:anchor="NYUVTA272" w:history="1">
        <w:r w:rsidR="00BE1F96" w:rsidRPr="00711EEF">
          <w:rPr>
            <w:rStyle w:val="Hyperlink"/>
          </w:rPr>
          <w:t>Section 272 -  Value</w:t>
        </w:r>
      </w:hyperlink>
    </w:p>
    <w:p w14:paraId="7C5DB411" w14:textId="6EC5E43F" w:rsidR="00BE1F96" w:rsidRPr="00437D31" w:rsidRDefault="007C1024" w:rsidP="00BE1F96">
      <w:pPr>
        <w:pStyle w:val="0-NORMAL"/>
        <w:rPr>
          <w:rStyle w:val="Hyperlink"/>
        </w:rPr>
      </w:pPr>
      <w:hyperlink w:anchor="NYUVTA273" w:history="1">
        <w:r w:rsidR="00BE1F96" w:rsidRPr="00711EEF">
          <w:rPr>
            <w:rStyle w:val="Hyperlink"/>
          </w:rPr>
          <w:t>Section 273 -  Transfer or obligation voidable as to present or future creditor</w:t>
        </w:r>
      </w:hyperlink>
    </w:p>
    <w:p w14:paraId="31D1FAA5" w14:textId="38D235A8" w:rsidR="00BE1F96" w:rsidRPr="00437D31" w:rsidRDefault="007C1024" w:rsidP="00BE1F96">
      <w:pPr>
        <w:pStyle w:val="0-NORMAL"/>
        <w:rPr>
          <w:rStyle w:val="Hyperlink"/>
        </w:rPr>
      </w:pPr>
      <w:hyperlink w:anchor="NYUVTA274" w:history="1">
        <w:r w:rsidR="00BE1F96" w:rsidRPr="00711EEF">
          <w:rPr>
            <w:rStyle w:val="Hyperlink"/>
          </w:rPr>
          <w:t>Section 274 -  Transfer or obligation voidable as to present creditor</w:t>
        </w:r>
      </w:hyperlink>
    </w:p>
    <w:p w14:paraId="5F895931" w14:textId="73612FBE" w:rsidR="00BE1F96" w:rsidRPr="00437D31" w:rsidRDefault="007C1024" w:rsidP="00BE1F96">
      <w:pPr>
        <w:pStyle w:val="0-NORMAL"/>
        <w:rPr>
          <w:rStyle w:val="Hyperlink"/>
        </w:rPr>
      </w:pPr>
      <w:hyperlink w:anchor="NYUVTA275" w:history="1">
        <w:r w:rsidR="00BE1F96" w:rsidRPr="00711EEF">
          <w:rPr>
            <w:rStyle w:val="Hyperlink"/>
          </w:rPr>
          <w:t>Section 275 -  When transfer is made or obligation is incurred</w:t>
        </w:r>
      </w:hyperlink>
    </w:p>
    <w:p w14:paraId="332F910E" w14:textId="72717153" w:rsidR="00BE1F96" w:rsidRPr="00437D31" w:rsidRDefault="007C1024" w:rsidP="00BE1F96">
      <w:pPr>
        <w:pStyle w:val="0-NORMAL"/>
        <w:rPr>
          <w:rStyle w:val="Hyperlink"/>
        </w:rPr>
      </w:pPr>
      <w:hyperlink w:anchor="NYUVTA276" w:history="1">
        <w:r w:rsidR="00BE1F96" w:rsidRPr="00711EEF">
          <w:rPr>
            <w:rStyle w:val="Hyperlink"/>
          </w:rPr>
          <w:t>Section 276 -  Remedies of creditor</w:t>
        </w:r>
      </w:hyperlink>
    </w:p>
    <w:p w14:paraId="42DCA146" w14:textId="05156D2D" w:rsidR="00BE1F96" w:rsidRPr="00437D31" w:rsidRDefault="007C1024" w:rsidP="00BE1F96">
      <w:pPr>
        <w:pStyle w:val="0-NORMAL"/>
        <w:rPr>
          <w:rStyle w:val="Hyperlink"/>
        </w:rPr>
      </w:pPr>
      <w:hyperlink w:anchor="NYUVTA276A" w:history="1">
        <w:r w:rsidR="00BE1F96" w:rsidRPr="00711EEF">
          <w:rPr>
            <w:rStyle w:val="Hyperlink"/>
          </w:rPr>
          <w:t>Section 276-A -  Attorney's fees</w:t>
        </w:r>
      </w:hyperlink>
      <w:r w:rsidR="00BE1F96" w:rsidRPr="00437D31">
        <w:rPr>
          <w:rStyle w:val="Hyperlink"/>
        </w:rPr>
        <w:t xml:space="preserve"> </w:t>
      </w:r>
    </w:p>
    <w:p w14:paraId="2523D672" w14:textId="2209F9BE" w:rsidR="00BE1F96" w:rsidRPr="00437D31" w:rsidRDefault="007C1024" w:rsidP="00BE1F96">
      <w:pPr>
        <w:pStyle w:val="0-NORMAL"/>
        <w:rPr>
          <w:rStyle w:val="Hyperlink"/>
        </w:rPr>
      </w:pPr>
      <w:hyperlink w:anchor="NYUVTA277" w:history="1">
        <w:r w:rsidR="00BE1F96" w:rsidRPr="00711EEF">
          <w:rPr>
            <w:rStyle w:val="Hyperlink"/>
          </w:rPr>
          <w:t>Section 277 -  Defenses, liability, and protection of transferee or obligee</w:t>
        </w:r>
      </w:hyperlink>
    </w:p>
    <w:p w14:paraId="6AE688FC" w14:textId="73BEAFCF" w:rsidR="00BE1F96" w:rsidRPr="00437D31" w:rsidRDefault="007C1024" w:rsidP="00BE1F96">
      <w:pPr>
        <w:pStyle w:val="0-NORMAL"/>
        <w:rPr>
          <w:rStyle w:val="Hyperlink"/>
        </w:rPr>
      </w:pPr>
      <w:hyperlink w:anchor="NYUVTA278" w:history="1">
        <w:r w:rsidR="00BE1F96" w:rsidRPr="00711EEF">
          <w:rPr>
            <w:rStyle w:val="Hyperlink"/>
          </w:rPr>
          <w:t>Section 278 -  Extinguishment of claim for relief</w:t>
        </w:r>
      </w:hyperlink>
    </w:p>
    <w:p w14:paraId="292226E1" w14:textId="756B8478" w:rsidR="00BE1F96" w:rsidRPr="00437D31" w:rsidRDefault="007C1024" w:rsidP="00BE1F96">
      <w:pPr>
        <w:pStyle w:val="0-NORMAL"/>
        <w:rPr>
          <w:rStyle w:val="Hyperlink"/>
        </w:rPr>
      </w:pPr>
      <w:hyperlink w:anchor="NYUVTA279" w:history="1">
        <w:r w:rsidR="00BE1F96" w:rsidRPr="00711EEF">
          <w:rPr>
            <w:rStyle w:val="Hyperlink"/>
          </w:rPr>
          <w:t>Section 279 -  Governing law</w:t>
        </w:r>
      </w:hyperlink>
    </w:p>
    <w:p w14:paraId="1E3A5EFB" w14:textId="38C5DB91" w:rsidR="00BE1F96" w:rsidRPr="00437D31" w:rsidRDefault="007C1024" w:rsidP="00BE1F96">
      <w:pPr>
        <w:pStyle w:val="0-NORMAL"/>
        <w:rPr>
          <w:rStyle w:val="Hyperlink"/>
        </w:rPr>
      </w:pPr>
      <w:hyperlink w:anchor="NYUVTA280" w:history="1">
        <w:r w:rsidR="00BE1F96" w:rsidRPr="00711EEF">
          <w:rPr>
            <w:rStyle w:val="Hyperlink"/>
          </w:rPr>
          <w:t>Section 280 -  Supplementary provisions</w:t>
        </w:r>
      </w:hyperlink>
    </w:p>
    <w:p w14:paraId="405A8379" w14:textId="198519C7" w:rsidR="00BE1F96" w:rsidRPr="00437D31" w:rsidRDefault="007C1024" w:rsidP="00437D31">
      <w:pPr>
        <w:pStyle w:val="0-NORMAL"/>
        <w:rPr>
          <w:rStyle w:val="Hyperlink"/>
        </w:rPr>
      </w:pPr>
      <w:hyperlink w:anchor="NYUVTA281" w:history="1">
        <w:r w:rsidR="00BE1F96" w:rsidRPr="00711EEF">
          <w:rPr>
            <w:rStyle w:val="Hyperlink"/>
          </w:rPr>
          <w:t>Section 281 -  Uniformity of application and construction</w:t>
        </w:r>
      </w:hyperlink>
    </w:p>
    <w:p w14:paraId="78259FC1" w14:textId="77777777" w:rsidR="00711EEF" w:rsidRDefault="00711EEF" w:rsidP="00BE1F96">
      <w:pPr>
        <w:pStyle w:val="0-NORMAL"/>
        <w:pBdr>
          <w:bottom w:val="single" w:sz="6" w:space="1" w:color="auto"/>
        </w:pBdr>
      </w:pPr>
    </w:p>
    <w:p w14:paraId="097B0D2C" w14:textId="4B5F15B4" w:rsidR="004A0CB6" w:rsidRPr="00711EEF" w:rsidRDefault="00BE1F96" w:rsidP="004A0CB6">
      <w:pPr>
        <w:pStyle w:val="Statutes"/>
        <w:rPr>
          <w:b/>
          <w:bCs/>
        </w:rPr>
      </w:pPr>
      <w:bookmarkStart w:id="6627" w:name="NYUVTA270"/>
      <w:bookmarkEnd w:id="6627"/>
      <w:r w:rsidRPr="00711EEF">
        <w:rPr>
          <w:b/>
          <w:bCs/>
        </w:rPr>
        <w:t xml:space="preserve">Section 270 </w:t>
      </w:r>
      <w:r w:rsidR="004A0CB6" w:rsidRPr="00711EEF">
        <w:rPr>
          <w:b/>
          <w:bCs/>
        </w:rPr>
        <w:t>–</w:t>
      </w:r>
      <w:r w:rsidRPr="00711EEF">
        <w:rPr>
          <w:b/>
          <w:bCs/>
        </w:rPr>
        <w:t xml:space="preserve"> Definitions</w:t>
      </w:r>
    </w:p>
    <w:p w14:paraId="7700DAB6" w14:textId="77777777" w:rsidR="004A0CB6" w:rsidRDefault="00BE1F96" w:rsidP="004A0CB6">
      <w:pPr>
        <w:pStyle w:val="Statutes"/>
      </w:pPr>
      <w:r>
        <w:t>As used in this article:</w:t>
      </w:r>
    </w:p>
    <w:p w14:paraId="2F2C9482" w14:textId="77777777" w:rsidR="004A0CB6" w:rsidRDefault="00BE1F96" w:rsidP="004A0CB6">
      <w:pPr>
        <w:pStyle w:val="Statutes"/>
        <w:ind w:left="864"/>
      </w:pPr>
      <w:r>
        <w:t>(a) "Affiliate" means:</w:t>
      </w:r>
    </w:p>
    <w:p w14:paraId="0419AD91" w14:textId="77777777" w:rsidR="004A0CB6" w:rsidRDefault="00BE1F96" w:rsidP="004A0CB6">
      <w:pPr>
        <w:pStyle w:val="Statutes"/>
        <w:ind w:left="1296"/>
      </w:pPr>
      <w:r>
        <w:t>(1) a person that directly or indirectly owns, controls or holds with power to vote, twenty percent or more of the outstanding voting securities of the debtor, other than a person that holds the securities:</w:t>
      </w:r>
    </w:p>
    <w:p w14:paraId="12107A17" w14:textId="77777777" w:rsidR="004A0CB6" w:rsidRDefault="00BE1F96" w:rsidP="004A0CB6">
      <w:pPr>
        <w:pStyle w:val="Statutes"/>
        <w:ind w:left="1728"/>
      </w:pPr>
      <w:r>
        <w:t>(i) as a fiduciary or agent without sole discretionary power to vote the securities; or</w:t>
      </w:r>
    </w:p>
    <w:p w14:paraId="2722E608" w14:textId="706C9EAE" w:rsidR="00BE1F96" w:rsidRDefault="00BE1F96" w:rsidP="004A0CB6">
      <w:pPr>
        <w:pStyle w:val="Statutes"/>
        <w:ind w:left="1728"/>
      </w:pPr>
      <w:r>
        <w:t>(ii) solely to secure a debt, if the person has not in fact exercised the power to vote;</w:t>
      </w:r>
    </w:p>
    <w:p w14:paraId="00DF82B3" w14:textId="77777777" w:rsidR="00BE1F96" w:rsidRDefault="00BE1F96" w:rsidP="004A0CB6">
      <w:pPr>
        <w:pStyle w:val="Statutes"/>
        <w:ind w:left="1296"/>
      </w:pPr>
      <w:r>
        <w:t>(2) a corporation twenty percent or more of whose outstanding voting securities are directly or indirectly owned, controlled or held with power to vote, by the debtor or a person that directly or indirectly owns, controls or holds, with power to vote, twenty percent or more of the outstanding voting securities of the debtor, other than a person that holds the securities:</w:t>
      </w:r>
    </w:p>
    <w:p w14:paraId="19A5AC93" w14:textId="77777777" w:rsidR="00BE1F96" w:rsidRDefault="00BE1F96" w:rsidP="004A0CB6">
      <w:pPr>
        <w:pStyle w:val="Statutes"/>
        <w:ind w:left="1728"/>
      </w:pPr>
      <w:r>
        <w:t>(i) as a fiduciary or agent without sole discretionary power to vote the securities; or</w:t>
      </w:r>
    </w:p>
    <w:p w14:paraId="03DA48F1" w14:textId="77777777" w:rsidR="00BE1F96" w:rsidRDefault="00BE1F96" w:rsidP="004A0CB6">
      <w:pPr>
        <w:pStyle w:val="Statutes"/>
        <w:ind w:left="1728"/>
      </w:pPr>
      <w:r>
        <w:t>(ii) solely to secure a debt, if the person has not in fact exercised the power to vote;</w:t>
      </w:r>
    </w:p>
    <w:p w14:paraId="682CF3BE" w14:textId="77777777" w:rsidR="00BE1F96" w:rsidRDefault="00BE1F96" w:rsidP="004A0CB6">
      <w:pPr>
        <w:pStyle w:val="Statutes"/>
        <w:ind w:left="1296"/>
      </w:pPr>
      <w:r>
        <w:t>(3) a person whose business is operated by the debtor under a lease or other agreement, or a person substantially all of whose assets are controlled by the debtor; or</w:t>
      </w:r>
    </w:p>
    <w:p w14:paraId="1F8FAC56" w14:textId="77777777" w:rsidR="00BE1F96" w:rsidRDefault="00BE1F96" w:rsidP="004A0CB6">
      <w:pPr>
        <w:pStyle w:val="Statutes"/>
        <w:ind w:left="1296"/>
      </w:pPr>
      <w:r>
        <w:t>(4) a person that operates the debtor's business under a lease or other agreement or controls substantially all of the debtor's assets.</w:t>
      </w:r>
    </w:p>
    <w:p w14:paraId="65D3150A" w14:textId="77777777" w:rsidR="00BE1F96" w:rsidRDefault="00BE1F96" w:rsidP="004A0CB6">
      <w:pPr>
        <w:pStyle w:val="Statutes"/>
        <w:ind w:left="864"/>
      </w:pPr>
      <w:r>
        <w:t>(b) "Asset" means property of a debtor, but the term does not include:</w:t>
      </w:r>
    </w:p>
    <w:p w14:paraId="6DDB0A81" w14:textId="77777777" w:rsidR="00BE1F96" w:rsidRDefault="00BE1F96" w:rsidP="004A0CB6">
      <w:pPr>
        <w:pStyle w:val="Statutes"/>
        <w:ind w:left="1296"/>
      </w:pPr>
      <w:r>
        <w:t>(1) property to the extent it is encumbered by a valid lien;</w:t>
      </w:r>
    </w:p>
    <w:p w14:paraId="072EE9F5" w14:textId="77777777" w:rsidR="00BE1F96" w:rsidRDefault="00BE1F96" w:rsidP="004A0CB6">
      <w:pPr>
        <w:pStyle w:val="Statutes"/>
        <w:ind w:left="1296"/>
      </w:pPr>
      <w:r>
        <w:t>(2) property to the extent it is generally exempt under non-bankruptcy law; or</w:t>
      </w:r>
    </w:p>
    <w:p w14:paraId="2DD20F7B" w14:textId="77777777" w:rsidR="00BE1F96" w:rsidRDefault="00BE1F96" w:rsidP="004A0CB6">
      <w:pPr>
        <w:pStyle w:val="Statutes"/>
        <w:ind w:left="1296"/>
      </w:pPr>
      <w:r>
        <w:t>(3) an interest in property held in tenancy by the entirety to the extent it is not subject to process by a creditor holding a claim against only one tenant.</w:t>
      </w:r>
    </w:p>
    <w:p w14:paraId="6EA8B35A" w14:textId="77777777" w:rsidR="00BE1F96" w:rsidRDefault="00BE1F96" w:rsidP="004A0CB6">
      <w:pPr>
        <w:pStyle w:val="Statutes"/>
        <w:ind w:left="864"/>
      </w:pPr>
      <w:r>
        <w:t>(c) "Claim", except as used in "claim for relief", means a right to payment, whether or not the right is reduced to judgment, liquidated, unliquidated, fixed, contingent, matured, unmatured, disputed, undisputed, legal, equitable, secured or unsecured.</w:t>
      </w:r>
    </w:p>
    <w:p w14:paraId="58F58372" w14:textId="77777777" w:rsidR="00BE1F96" w:rsidRDefault="00BE1F96" w:rsidP="004A0CB6">
      <w:pPr>
        <w:pStyle w:val="Statutes"/>
        <w:ind w:left="864"/>
      </w:pPr>
      <w:r>
        <w:t>(d) "Creditor" means a person that has a claim.</w:t>
      </w:r>
    </w:p>
    <w:p w14:paraId="5DC0A113" w14:textId="77777777" w:rsidR="00BE1F96" w:rsidRDefault="00BE1F96" w:rsidP="004A0CB6">
      <w:pPr>
        <w:pStyle w:val="Statutes"/>
        <w:ind w:left="864"/>
      </w:pPr>
      <w:r>
        <w:t>(e) "Debt" means liability on a claim.</w:t>
      </w:r>
    </w:p>
    <w:p w14:paraId="41F04EFD" w14:textId="77777777" w:rsidR="00BE1F96" w:rsidRDefault="00BE1F96" w:rsidP="004A0CB6">
      <w:pPr>
        <w:pStyle w:val="Statutes"/>
        <w:ind w:left="864"/>
      </w:pPr>
      <w:r>
        <w:t>(f) "Debtor" means a person that is liable on a claim.</w:t>
      </w:r>
    </w:p>
    <w:p w14:paraId="3B1307C4" w14:textId="77777777" w:rsidR="00BE1F96" w:rsidRDefault="00BE1F96" w:rsidP="004A0CB6">
      <w:pPr>
        <w:pStyle w:val="Statutes"/>
        <w:ind w:left="864"/>
      </w:pPr>
      <w:r>
        <w:t>(g) "Electronic" means relating to technology having electrical, digital, magnetic, wireless, optical, electromagnetic or similar capabilities.</w:t>
      </w:r>
    </w:p>
    <w:p w14:paraId="641DCB75" w14:textId="77777777" w:rsidR="00BE1F96" w:rsidRDefault="00BE1F96" w:rsidP="004A0CB6">
      <w:pPr>
        <w:pStyle w:val="Statutes"/>
        <w:ind w:left="864"/>
      </w:pPr>
      <w:r>
        <w:t>(h) "Insider" includes:</w:t>
      </w:r>
    </w:p>
    <w:p w14:paraId="66133EDD" w14:textId="77777777" w:rsidR="00BE1F96" w:rsidRDefault="00BE1F96" w:rsidP="004A0CB6">
      <w:pPr>
        <w:pStyle w:val="Statutes"/>
        <w:ind w:left="1296"/>
      </w:pPr>
      <w:r>
        <w:t>(1) if the debtor is an individual:</w:t>
      </w:r>
    </w:p>
    <w:p w14:paraId="0B5F8BB1" w14:textId="77777777" w:rsidR="00BE1F96" w:rsidRDefault="00BE1F96" w:rsidP="004A0CB6">
      <w:pPr>
        <w:pStyle w:val="Statutes"/>
        <w:ind w:left="1728"/>
      </w:pPr>
      <w:r>
        <w:t>(i) a relative of the debtor or of a general partner of the debtor;</w:t>
      </w:r>
    </w:p>
    <w:p w14:paraId="6B7EABE3" w14:textId="77777777" w:rsidR="00BE1F96" w:rsidRPr="004A0CB6" w:rsidRDefault="00BE1F96" w:rsidP="004A0CB6">
      <w:pPr>
        <w:pStyle w:val="Statutes"/>
        <w:ind w:left="1728"/>
      </w:pPr>
      <w:r>
        <w:t xml:space="preserve">(ii) a </w:t>
      </w:r>
      <w:r w:rsidRPr="004A0CB6">
        <w:t>partnership in which the debtor is a general partner;</w:t>
      </w:r>
    </w:p>
    <w:p w14:paraId="75951235" w14:textId="77777777" w:rsidR="00BE1F96" w:rsidRPr="004A0CB6" w:rsidRDefault="00BE1F96" w:rsidP="004A0CB6">
      <w:pPr>
        <w:pStyle w:val="Statutes"/>
        <w:ind w:left="1728"/>
      </w:pPr>
      <w:r w:rsidRPr="004A0CB6">
        <w:t>(iii) a general partner in a partnership described in subparagraph (ii) of this paragraph; or</w:t>
      </w:r>
    </w:p>
    <w:p w14:paraId="72E86713" w14:textId="77777777" w:rsidR="00BE1F96" w:rsidRDefault="00BE1F96" w:rsidP="004A0CB6">
      <w:pPr>
        <w:pStyle w:val="Statutes"/>
        <w:ind w:left="1728"/>
      </w:pPr>
      <w:r w:rsidRPr="004A0CB6">
        <w:t>(iv) a corporation</w:t>
      </w:r>
      <w:r>
        <w:t xml:space="preserve"> of which the debtor is a director, officer, or person in control;</w:t>
      </w:r>
    </w:p>
    <w:p w14:paraId="58C72C6D" w14:textId="77777777" w:rsidR="00BE1F96" w:rsidRDefault="00BE1F96" w:rsidP="004A0CB6">
      <w:pPr>
        <w:pStyle w:val="Statutes"/>
        <w:ind w:left="1296"/>
      </w:pPr>
      <w:r>
        <w:t>(2) if the debtor is a corporation:</w:t>
      </w:r>
    </w:p>
    <w:p w14:paraId="6C003A6C" w14:textId="77777777" w:rsidR="00BE1F96" w:rsidRDefault="00BE1F96" w:rsidP="004A0CB6">
      <w:pPr>
        <w:pStyle w:val="Statutes"/>
        <w:ind w:left="1728"/>
      </w:pPr>
      <w:r>
        <w:t>(i) a director of the debtor;</w:t>
      </w:r>
    </w:p>
    <w:p w14:paraId="5FCE1F7E" w14:textId="77777777" w:rsidR="00BE1F96" w:rsidRDefault="00BE1F96" w:rsidP="004A0CB6">
      <w:pPr>
        <w:pStyle w:val="Statutes"/>
        <w:ind w:left="1728"/>
      </w:pPr>
      <w:r>
        <w:t>(ii) an officer of the debtor;</w:t>
      </w:r>
    </w:p>
    <w:p w14:paraId="019B1219" w14:textId="77777777" w:rsidR="00BE1F96" w:rsidRDefault="00BE1F96" w:rsidP="004A0CB6">
      <w:pPr>
        <w:pStyle w:val="Statutes"/>
        <w:ind w:left="1728"/>
      </w:pPr>
      <w:r>
        <w:t>(iii) a person in control of the debtor;</w:t>
      </w:r>
    </w:p>
    <w:p w14:paraId="3511FD15" w14:textId="77777777" w:rsidR="00BE1F96" w:rsidRDefault="00BE1F96" w:rsidP="004A0CB6">
      <w:pPr>
        <w:pStyle w:val="Statutes"/>
        <w:ind w:left="1728"/>
      </w:pPr>
      <w:r>
        <w:t>(iv) a partnership in which the debtor is a general partner;</w:t>
      </w:r>
    </w:p>
    <w:p w14:paraId="0E26EAB8" w14:textId="77777777" w:rsidR="00BE1F96" w:rsidRDefault="00BE1F96" w:rsidP="004A0CB6">
      <w:pPr>
        <w:pStyle w:val="Statutes"/>
        <w:ind w:left="1728"/>
      </w:pPr>
      <w:r>
        <w:t>(v) a general partner in a partnership described in subparagraph (iv) of this paragraph; or</w:t>
      </w:r>
    </w:p>
    <w:p w14:paraId="06075CE4" w14:textId="77777777" w:rsidR="00BE1F96" w:rsidRDefault="00BE1F96" w:rsidP="004A0CB6">
      <w:pPr>
        <w:pStyle w:val="Statutes"/>
        <w:ind w:left="1728"/>
      </w:pPr>
      <w:r>
        <w:t>(vi) a relative of a general partner, director, officer or person in control of the debtor;</w:t>
      </w:r>
    </w:p>
    <w:p w14:paraId="63834FF6" w14:textId="77777777" w:rsidR="00BE1F96" w:rsidRDefault="00BE1F96" w:rsidP="004A0CB6">
      <w:pPr>
        <w:pStyle w:val="Statutes"/>
        <w:ind w:left="1296"/>
      </w:pPr>
      <w:r>
        <w:t>(3) if the debtor is a partnership:</w:t>
      </w:r>
    </w:p>
    <w:p w14:paraId="3F9F6A3E" w14:textId="77777777" w:rsidR="00BE1F96" w:rsidRDefault="00BE1F96" w:rsidP="00711EEF">
      <w:pPr>
        <w:pStyle w:val="Statutes"/>
        <w:ind w:left="1728"/>
      </w:pPr>
      <w:r>
        <w:t>(i) a general partner in the debtor;</w:t>
      </w:r>
    </w:p>
    <w:p w14:paraId="61BBB4D2" w14:textId="77777777" w:rsidR="00BE1F96" w:rsidRDefault="00BE1F96" w:rsidP="00711EEF">
      <w:pPr>
        <w:pStyle w:val="Statutes"/>
        <w:ind w:left="1728"/>
      </w:pPr>
      <w:r>
        <w:t>(ii) a relative of a general partner in, a general partner of or a person in control of the debtor;</w:t>
      </w:r>
    </w:p>
    <w:p w14:paraId="7914D67E" w14:textId="77777777" w:rsidR="00BE1F96" w:rsidRDefault="00BE1F96" w:rsidP="00711EEF">
      <w:pPr>
        <w:pStyle w:val="Statutes"/>
        <w:ind w:left="1728"/>
      </w:pPr>
      <w:r>
        <w:t>(iii) another partnership in which the debtor is a general partner;</w:t>
      </w:r>
    </w:p>
    <w:p w14:paraId="2F75A9CB" w14:textId="77777777" w:rsidR="00BE1F96" w:rsidRDefault="00BE1F96" w:rsidP="00711EEF">
      <w:pPr>
        <w:pStyle w:val="Statutes"/>
        <w:ind w:left="1728"/>
      </w:pPr>
      <w:r>
        <w:t>(iv) a general partner in a partnership described in subparagraph (iii) of this paragraph; or</w:t>
      </w:r>
    </w:p>
    <w:p w14:paraId="4FFF9AB3" w14:textId="77777777" w:rsidR="00BE1F96" w:rsidRDefault="00BE1F96" w:rsidP="00711EEF">
      <w:pPr>
        <w:pStyle w:val="Statutes"/>
        <w:ind w:left="1728"/>
      </w:pPr>
      <w:r>
        <w:t>(v) a person in control of the debtor;</w:t>
      </w:r>
    </w:p>
    <w:p w14:paraId="1BDEA995" w14:textId="77777777" w:rsidR="00BE1F96" w:rsidRDefault="00BE1F96" w:rsidP="00711EEF">
      <w:pPr>
        <w:pStyle w:val="Statutes"/>
        <w:ind w:left="1296"/>
      </w:pPr>
      <w:r>
        <w:t>(4) an affiliate, or an insider of an affiliate as if the affiliate were the debtor; and</w:t>
      </w:r>
    </w:p>
    <w:p w14:paraId="481C89D4" w14:textId="77777777" w:rsidR="00BE1F96" w:rsidRDefault="00BE1F96" w:rsidP="00711EEF">
      <w:pPr>
        <w:pStyle w:val="Statutes"/>
        <w:ind w:left="1296"/>
      </w:pPr>
      <w:r>
        <w:t>(5) a managing agent of the debtor.</w:t>
      </w:r>
    </w:p>
    <w:p w14:paraId="09E0558C" w14:textId="77777777" w:rsidR="00BE1F96" w:rsidRDefault="00BE1F96" w:rsidP="00711EEF">
      <w:pPr>
        <w:pStyle w:val="Statutes"/>
        <w:ind w:left="864"/>
      </w:pPr>
      <w:r>
        <w:t>(i) "Lien" means a charge against or an interest in property to secure payment of a debt or performance of an obligation, and includes a security interest created by agreement, a judicial lien obtained by legal or equitable process or proceedings, a common-law lien, or a statutory lien.</w:t>
      </w:r>
    </w:p>
    <w:p w14:paraId="7E3E92EE" w14:textId="77777777" w:rsidR="00BE1F96" w:rsidRDefault="00BE1F96" w:rsidP="00711EEF">
      <w:pPr>
        <w:pStyle w:val="Statutes"/>
        <w:ind w:left="864"/>
      </w:pPr>
      <w:r>
        <w:t>(j) "Organization" means a person other than an individual.</w:t>
      </w:r>
    </w:p>
    <w:p w14:paraId="4197A1B5" w14:textId="77777777" w:rsidR="00BE1F96" w:rsidRDefault="00BE1F96" w:rsidP="00711EEF">
      <w:pPr>
        <w:pStyle w:val="Statutes"/>
        <w:ind w:left="864"/>
      </w:pPr>
      <w:r>
        <w:t>(k) "Person" means an individual, estate, partnership, association, trust, business or nonprofit entity, public corporation, government or governmental subdivision, agency or instrumentality, or other legal or commercial entity.</w:t>
      </w:r>
    </w:p>
    <w:p w14:paraId="7123704C" w14:textId="77777777" w:rsidR="00BE1F96" w:rsidRDefault="00BE1F96" w:rsidP="00711EEF">
      <w:pPr>
        <w:pStyle w:val="Statutes"/>
        <w:ind w:left="864"/>
      </w:pPr>
      <w:r>
        <w:t>(l) "Property" means anything that may be the subject of ownership.</w:t>
      </w:r>
    </w:p>
    <w:p w14:paraId="779801C0" w14:textId="77777777" w:rsidR="00BE1F96" w:rsidRDefault="00BE1F96" w:rsidP="00711EEF">
      <w:pPr>
        <w:pStyle w:val="Statutes"/>
        <w:ind w:left="864"/>
      </w:pPr>
      <w:r>
        <w:t>(m) "Record" means information that is inscribed on a tangible medium or that is stored in an electronic or other medium and is retrievable in perceivable form.</w:t>
      </w:r>
    </w:p>
    <w:p w14:paraId="1D88238E" w14:textId="77777777" w:rsidR="00BE1F96" w:rsidRDefault="00BE1F96" w:rsidP="00711EEF">
      <w:pPr>
        <w:pStyle w:val="Statutes"/>
        <w:ind w:left="864"/>
      </w:pPr>
      <w:r>
        <w:t>(n) "Relative"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14:paraId="0AC8BB5B" w14:textId="77777777" w:rsidR="00BE1F96" w:rsidRDefault="00BE1F96" w:rsidP="00711EEF">
      <w:pPr>
        <w:pStyle w:val="Statutes"/>
        <w:ind w:left="864"/>
      </w:pPr>
      <w:r>
        <w:t>(o) "Sign" means, with present intent to authenticate or adopt a record:</w:t>
      </w:r>
    </w:p>
    <w:p w14:paraId="51C85172" w14:textId="77777777" w:rsidR="00BE1F96" w:rsidRDefault="00BE1F96" w:rsidP="00711EEF">
      <w:pPr>
        <w:pStyle w:val="Statutes"/>
        <w:ind w:left="864"/>
      </w:pPr>
      <w:r>
        <w:t>(i) to execute or adopt a tangible symbol; or</w:t>
      </w:r>
    </w:p>
    <w:p w14:paraId="0CE975E2" w14:textId="77777777" w:rsidR="00BE1F96" w:rsidRDefault="00BE1F96" w:rsidP="00711EEF">
      <w:pPr>
        <w:pStyle w:val="Statutes"/>
        <w:ind w:left="864"/>
      </w:pPr>
      <w:r>
        <w:t>(ii) to attach to or logically associate with the record an electronic symbol, sound, or process.</w:t>
      </w:r>
    </w:p>
    <w:p w14:paraId="735C0F0E" w14:textId="77777777" w:rsidR="00BE1F96" w:rsidRDefault="00BE1F96" w:rsidP="00711EEF">
      <w:pPr>
        <w:pStyle w:val="Statutes"/>
        <w:ind w:left="864"/>
      </w:pPr>
      <w:r>
        <w:t>(p) "Transfer" means every mode, direct or indirect, absolute or conditional, voluntary or involuntary, of disposing of or parting with an asset or an interest in an asset, and includes payment of money, release, lease, license, and creation of a lien or other encumbrance.</w:t>
      </w:r>
    </w:p>
    <w:p w14:paraId="2DBA6F84" w14:textId="77777777" w:rsidR="00BE1F96" w:rsidRDefault="00BE1F96" w:rsidP="00711EEF">
      <w:pPr>
        <w:pStyle w:val="Statutes"/>
        <w:ind w:left="864"/>
      </w:pPr>
      <w:r>
        <w:t>(q) "Valid lien" means a lien that is effective against the holder of a judicial lien subsequently obtained by legal or equitable process or proceedings.</w:t>
      </w:r>
    </w:p>
    <w:p w14:paraId="0D37E514" w14:textId="77777777" w:rsidR="00BE1F96" w:rsidRPr="00711EEF" w:rsidRDefault="00BE1F96" w:rsidP="004A0CB6">
      <w:pPr>
        <w:pStyle w:val="Statutes"/>
        <w:rPr>
          <w:b/>
          <w:bCs/>
        </w:rPr>
      </w:pPr>
      <w:bookmarkStart w:id="6628" w:name="NYUVTA271"/>
      <w:r w:rsidRPr="00711EEF">
        <w:rPr>
          <w:b/>
          <w:bCs/>
        </w:rPr>
        <w:t>Section 271 - Insolvency</w:t>
      </w:r>
      <w:bookmarkEnd w:id="6628"/>
    </w:p>
    <w:p w14:paraId="345BDF9F" w14:textId="77777777" w:rsidR="00BE1F96" w:rsidRDefault="00BE1F96" w:rsidP="00711EEF">
      <w:pPr>
        <w:pStyle w:val="Statutes"/>
        <w:ind w:left="864"/>
      </w:pPr>
      <w:r>
        <w:t>(a) A debtor is insolvent if, at a fair valuation, the sum of the debtor's debts is greater than the sum of the debtor's assets.</w:t>
      </w:r>
    </w:p>
    <w:p w14:paraId="439EA8CF" w14:textId="77777777" w:rsidR="00BE1F96" w:rsidRDefault="00BE1F96" w:rsidP="00711EEF">
      <w:pPr>
        <w:pStyle w:val="Statutes"/>
        <w:ind w:left="864"/>
      </w:pPr>
      <w:r>
        <w:t>(b) A debtor that is generally not paying the debtor's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14:paraId="38BEE311" w14:textId="77777777" w:rsidR="00BE1F96" w:rsidRDefault="00BE1F96" w:rsidP="00711EEF">
      <w:pPr>
        <w:pStyle w:val="Statutes"/>
        <w:ind w:left="864"/>
      </w:pPr>
      <w:r>
        <w:t>(c) Assets under this section do not include property that has been transferred, concealed or removed with intent to hinder, delay or defraud creditors, or that has been transferred in a manner making the transfer voidable under this article.</w:t>
      </w:r>
    </w:p>
    <w:p w14:paraId="0E19E32A" w14:textId="77777777" w:rsidR="00BE1F96" w:rsidRDefault="00BE1F96" w:rsidP="00711EEF">
      <w:pPr>
        <w:pStyle w:val="Statutes"/>
        <w:ind w:left="864"/>
      </w:pPr>
      <w:r>
        <w:t>(d) Debts under this section do not include an obligation to the extent it is secured by a valid lien on property of the debtor not included as an asset.</w:t>
      </w:r>
    </w:p>
    <w:p w14:paraId="3A175D4E" w14:textId="77777777" w:rsidR="00BE1F96" w:rsidRPr="00711EEF" w:rsidRDefault="00BE1F96" w:rsidP="004A0CB6">
      <w:pPr>
        <w:pStyle w:val="Statutes"/>
        <w:rPr>
          <w:b/>
          <w:bCs/>
        </w:rPr>
      </w:pPr>
      <w:bookmarkStart w:id="6629" w:name="NYUVTA272"/>
      <w:r w:rsidRPr="00711EEF">
        <w:rPr>
          <w:b/>
          <w:bCs/>
        </w:rPr>
        <w:t>Section 272 -  Value</w:t>
      </w:r>
    </w:p>
    <w:bookmarkEnd w:id="6629"/>
    <w:p w14:paraId="2D635739" w14:textId="77777777" w:rsidR="00BE1F96" w:rsidRDefault="00BE1F96" w:rsidP="00711EEF">
      <w:pPr>
        <w:pStyle w:val="Statutes"/>
        <w:ind w:left="864"/>
      </w:pPr>
      <w:r>
        <w:t>(a)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w:t>
      </w:r>
    </w:p>
    <w:p w14:paraId="5715F009" w14:textId="77777777" w:rsidR="00BE1F96" w:rsidRDefault="00BE1F96" w:rsidP="00711EEF">
      <w:pPr>
        <w:pStyle w:val="Statutes"/>
        <w:ind w:left="864"/>
      </w:pPr>
      <w:r>
        <w:t>(b) For the purposes of paragraph two of subdivision (a) of section two hundred seventy-three and section two hundred seventy-four of this article,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14:paraId="7FA66A4C" w14:textId="77777777" w:rsidR="00BE1F96" w:rsidRDefault="00BE1F96" w:rsidP="00711EEF">
      <w:pPr>
        <w:pStyle w:val="Statutes"/>
        <w:ind w:left="864"/>
      </w:pPr>
      <w:r>
        <w:t>(c) A transfer is made for present value if the exchange between the debtor and the transferee is intended by them to be contemporaneous and is in fact substantially contemporaneous.</w:t>
      </w:r>
    </w:p>
    <w:p w14:paraId="3EEFBF83" w14:textId="77777777" w:rsidR="00BE1F96" w:rsidRPr="00711EEF" w:rsidRDefault="00BE1F96" w:rsidP="004A0CB6">
      <w:pPr>
        <w:pStyle w:val="Statutes"/>
        <w:rPr>
          <w:b/>
          <w:bCs/>
        </w:rPr>
      </w:pPr>
      <w:bookmarkStart w:id="6630" w:name="NYUVTA273"/>
      <w:r w:rsidRPr="00711EEF">
        <w:rPr>
          <w:b/>
          <w:bCs/>
        </w:rPr>
        <w:t>Section 273 -  Transfer or obligation voidable as to present or future creditor</w:t>
      </w:r>
      <w:bookmarkEnd w:id="6630"/>
    </w:p>
    <w:p w14:paraId="0E92DE5B" w14:textId="77777777" w:rsidR="00BE1F96" w:rsidRDefault="00BE1F96" w:rsidP="00711EEF">
      <w:pPr>
        <w:pStyle w:val="Statutes"/>
        <w:ind w:left="864"/>
      </w:pPr>
      <w:r>
        <w:t>(a) A transfer made or obligation incurred by a debtor is voidable as to a creditor, whether the creditor's claim arose before or after the transfer was made or the obligation was incurred, if the debtor made the transfer or incurred the obligation:</w:t>
      </w:r>
    </w:p>
    <w:p w14:paraId="336913C3" w14:textId="77777777" w:rsidR="00BE1F96" w:rsidRDefault="00BE1F96" w:rsidP="00711EEF">
      <w:pPr>
        <w:pStyle w:val="Statutes"/>
        <w:ind w:left="1296"/>
      </w:pPr>
      <w:r>
        <w:t>(1) with actual intent to hinder, delay or defraud any creditor of the debtor; or</w:t>
      </w:r>
    </w:p>
    <w:p w14:paraId="6127FD59" w14:textId="77777777" w:rsidR="00BE1F96" w:rsidRDefault="00BE1F96" w:rsidP="00711EEF">
      <w:pPr>
        <w:pStyle w:val="Statutes"/>
        <w:ind w:left="1296"/>
      </w:pPr>
      <w:r>
        <w:t>(2) without receiving a reasonably equivalent value in exchange for the transfer or obligation, and the debtor:</w:t>
      </w:r>
    </w:p>
    <w:p w14:paraId="562F338B" w14:textId="77777777" w:rsidR="00BE1F96" w:rsidRDefault="00BE1F96" w:rsidP="00711EEF">
      <w:pPr>
        <w:pStyle w:val="Statutes"/>
        <w:ind w:left="1728"/>
      </w:pPr>
      <w:r>
        <w:t>(i) was engaged or was about to engage in a business or a transaction for which the remaining assets of the debtor were unreasonably small in relation to the business or transaction; or</w:t>
      </w:r>
    </w:p>
    <w:p w14:paraId="6BD95122" w14:textId="77777777" w:rsidR="00BE1F96" w:rsidRDefault="00BE1F96" w:rsidP="00711EEF">
      <w:pPr>
        <w:pStyle w:val="Statutes"/>
        <w:ind w:left="1728"/>
      </w:pPr>
      <w:r>
        <w:t>(ii) intended to incur, or believed or reasonably should have believed that the debtor would incur, debts beyond the debtor's ability to pay as they became due.</w:t>
      </w:r>
    </w:p>
    <w:p w14:paraId="0B0A65F0" w14:textId="77777777" w:rsidR="00BE1F96" w:rsidRDefault="00BE1F96" w:rsidP="00711EEF">
      <w:pPr>
        <w:pStyle w:val="Statutes"/>
        <w:ind w:left="864"/>
      </w:pPr>
      <w:r>
        <w:t>(b) In determining actual intent under paragraph one of subdivision (a) of this section, consideration may be given, among other factors, to whether:</w:t>
      </w:r>
    </w:p>
    <w:p w14:paraId="28F560E9" w14:textId="77777777" w:rsidR="00BE1F96" w:rsidRDefault="00BE1F96" w:rsidP="00711EEF">
      <w:pPr>
        <w:pStyle w:val="Statutes"/>
        <w:ind w:left="1296"/>
      </w:pPr>
      <w:r>
        <w:t>(1) the transfer or obligation was to an insider;</w:t>
      </w:r>
    </w:p>
    <w:p w14:paraId="68939160" w14:textId="77777777" w:rsidR="00BE1F96" w:rsidRDefault="00BE1F96" w:rsidP="00711EEF">
      <w:pPr>
        <w:pStyle w:val="Statutes"/>
        <w:ind w:left="1296"/>
      </w:pPr>
      <w:r>
        <w:t>(2) the debtor retained possession or control of the property transferred after the transfer;</w:t>
      </w:r>
    </w:p>
    <w:p w14:paraId="003CFBB3" w14:textId="77777777" w:rsidR="00BE1F96" w:rsidRDefault="00BE1F96" w:rsidP="00711EEF">
      <w:pPr>
        <w:pStyle w:val="Statutes"/>
        <w:ind w:left="1296"/>
      </w:pPr>
      <w:r>
        <w:t>(3) the transfer or obligation was disclosed or concealed;</w:t>
      </w:r>
    </w:p>
    <w:p w14:paraId="3E90C41D" w14:textId="77777777" w:rsidR="00BE1F96" w:rsidRDefault="00BE1F96" w:rsidP="00711EEF">
      <w:pPr>
        <w:pStyle w:val="Statutes"/>
        <w:ind w:left="1296"/>
      </w:pPr>
      <w:r>
        <w:t>(4) before the transfer was made or obligation was incurred, the debtor had been sued or threatened with suit;</w:t>
      </w:r>
    </w:p>
    <w:p w14:paraId="52C06E51" w14:textId="77777777" w:rsidR="00BE1F96" w:rsidRDefault="00BE1F96" w:rsidP="00711EEF">
      <w:pPr>
        <w:pStyle w:val="Statutes"/>
        <w:ind w:left="1296"/>
      </w:pPr>
      <w:r>
        <w:t>(5) the transfer was of substantially all the debtor's assets;</w:t>
      </w:r>
    </w:p>
    <w:p w14:paraId="3B55033A" w14:textId="77777777" w:rsidR="00BE1F96" w:rsidRDefault="00BE1F96" w:rsidP="00711EEF">
      <w:pPr>
        <w:pStyle w:val="Statutes"/>
        <w:ind w:left="1296"/>
      </w:pPr>
      <w:r>
        <w:t>(6) the debtor absconded;</w:t>
      </w:r>
    </w:p>
    <w:p w14:paraId="47698DD4" w14:textId="77777777" w:rsidR="00BE1F96" w:rsidRDefault="00BE1F96" w:rsidP="00711EEF">
      <w:pPr>
        <w:pStyle w:val="Statutes"/>
        <w:ind w:left="1296"/>
      </w:pPr>
      <w:r>
        <w:t>(7) the debtor removed or concealed assets;</w:t>
      </w:r>
    </w:p>
    <w:p w14:paraId="3772DBFA" w14:textId="77777777" w:rsidR="00BE1F96" w:rsidRDefault="00BE1F96" w:rsidP="00711EEF">
      <w:pPr>
        <w:pStyle w:val="Statutes"/>
        <w:ind w:left="1296"/>
      </w:pPr>
      <w:r>
        <w:t>(8) the value of the consideration received by the debtor was reasonably equivalent to the value of the asset transferred or the amount of the obligation incurred;</w:t>
      </w:r>
    </w:p>
    <w:p w14:paraId="4C6DD71E" w14:textId="77777777" w:rsidR="00BE1F96" w:rsidRDefault="00BE1F96" w:rsidP="00711EEF">
      <w:pPr>
        <w:pStyle w:val="Statutes"/>
        <w:ind w:left="1296"/>
      </w:pPr>
      <w:r>
        <w:t>(9) the debtor was insolvent or became insolvent shortly after the transfer was made or the obligation was incurred;</w:t>
      </w:r>
    </w:p>
    <w:p w14:paraId="2CE276D0" w14:textId="77777777" w:rsidR="00BE1F96" w:rsidRDefault="00BE1F96" w:rsidP="00711EEF">
      <w:pPr>
        <w:pStyle w:val="Statutes"/>
        <w:ind w:left="1296"/>
      </w:pPr>
      <w:r>
        <w:t>(10) the transfer occurred shortly before or shortly after a substantial debt was incurred; and</w:t>
      </w:r>
    </w:p>
    <w:p w14:paraId="06F4C609" w14:textId="77777777" w:rsidR="00BE1F96" w:rsidRDefault="00BE1F96" w:rsidP="00711EEF">
      <w:pPr>
        <w:pStyle w:val="Statutes"/>
        <w:ind w:left="1296"/>
      </w:pPr>
      <w:r>
        <w:t>(11) the debtor transferred the essential assets of the business to a lienor that transferred the assets to an insider of the debtor.</w:t>
      </w:r>
    </w:p>
    <w:p w14:paraId="775DEAC8" w14:textId="77777777" w:rsidR="00BE1F96" w:rsidRDefault="00BE1F96" w:rsidP="00711EEF">
      <w:pPr>
        <w:pStyle w:val="Statutes"/>
        <w:ind w:left="864"/>
      </w:pPr>
      <w:r>
        <w:t>(c) A creditor making a claim for relief under subdivision (a) of this section has the burden of proving the elements of the claim for relief by a preponderance of the evidence.</w:t>
      </w:r>
    </w:p>
    <w:p w14:paraId="7FA85533" w14:textId="77777777" w:rsidR="00BE1F96" w:rsidRPr="00711EEF" w:rsidRDefault="00BE1F96" w:rsidP="004A0CB6">
      <w:pPr>
        <w:pStyle w:val="Statutes"/>
        <w:rPr>
          <w:b/>
          <w:bCs/>
        </w:rPr>
      </w:pPr>
      <w:bookmarkStart w:id="6631" w:name="NYUVTA274"/>
      <w:r w:rsidRPr="00711EEF">
        <w:rPr>
          <w:b/>
          <w:bCs/>
        </w:rPr>
        <w:t>Section 274 -  Transfer or obligation voidable as to present creditor</w:t>
      </w:r>
    </w:p>
    <w:bookmarkEnd w:id="6631"/>
    <w:p w14:paraId="77D97E02" w14:textId="77777777" w:rsidR="00BE1F96" w:rsidRDefault="00BE1F96" w:rsidP="00711EEF">
      <w:pPr>
        <w:pStyle w:val="Statutes"/>
        <w:ind w:left="864"/>
      </w:pPr>
      <w:r>
        <w:t>(a) 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14:paraId="6DC415EC" w14:textId="77777777" w:rsidR="00BE1F96" w:rsidRDefault="00BE1F96" w:rsidP="00711EEF">
      <w:pPr>
        <w:pStyle w:val="Statutes"/>
        <w:ind w:left="864"/>
      </w:pPr>
      <w:r>
        <w:t>(b) A transfer made by a debtor is voidable as to a creditor whose claim arose before the transfer was made if the transfer was made to an insider for an antecedent debt, the debtor was insolvent at that time, and the insider had reasonable cause to believe that the debtor was insolvent.</w:t>
      </w:r>
    </w:p>
    <w:p w14:paraId="168A010A" w14:textId="77777777" w:rsidR="00BE1F96" w:rsidRDefault="00BE1F96" w:rsidP="00711EEF">
      <w:pPr>
        <w:pStyle w:val="Statutes"/>
        <w:ind w:left="864"/>
      </w:pPr>
      <w:r>
        <w:t>(c) Subject to subdivision (b) of section two hundred seventy-one of this article, a creditor making a claim for relief under subdivision (a) or (b) of this section has the burden of proving the elements of the claim for relief by a preponderance of the evidence.</w:t>
      </w:r>
    </w:p>
    <w:p w14:paraId="4079E5DB" w14:textId="77777777" w:rsidR="00BE1F96" w:rsidRPr="00711EEF" w:rsidRDefault="00BE1F96" w:rsidP="004A0CB6">
      <w:pPr>
        <w:pStyle w:val="Statutes"/>
        <w:rPr>
          <w:b/>
          <w:bCs/>
        </w:rPr>
      </w:pPr>
      <w:bookmarkStart w:id="6632" w:name="NYUVTA275"/>
      <w:r w:rsidRPr="00711EEF">
        <w:rPr>
          <w:b/>
          <w:bCs/>
        </w:rPr>
        <w:t>Section 275 -  When transfer is made or obligation is incurred</w:t>
      </w:r>
    </w:p>
    <w:bookmarkEnd w:id="6632"/>
    <w:p w14:paraId="1F73DF2C" w14:textId="77777777" w:rsidR="00BE1F96" w:rsidRDefault="00BE1F96" w:rsidP="004A0CB6">
      <w:pPr>
        <w:pStyle w:val="Statutes"/>
      </w:pPr>
      <w:r>
        <w:t>For the purposes of this article:</w:t>
      </w:r>
    </w:p>
    <w:p w14:paraId="3B4561F1" w14:textId="77777777" w:rsidR="00BE1F96" w:rsidRDefault="00BE1F96" w:rsidP="00711EEF">
      <w:pPr>
        <w:pStyle w:val="Statutes"/>
        <w:ind w:left="864"/>
      </w:pPr>
      <w:r>
        <w:t>(a) a transfer is made:</w:t>
      </w:r>
    </w:p>
    <w:p w14:paraId="6FCB34E9" w14:textId="77777777" w:rsidR="00BE1F96" w:rsidRDefault="00BE1F96" w:rsidP="00711EEF">
      <w:pPr>
        <w:pStyle w:val="Statutes"/>
        <w:ind w:left="1296"/>
      </w:pPr>
      <w:r>
        <w:t>(1) with respect to an asset that is real property other than a fixture, but including the interest of a seller or purchaser under a contract for the sale of the asset, when the transfer is so far perfected that a good-faith purchaser of the asset from the debtor against which applicable law permits the transfer to be perfected cannot acquire an interest in the asset that is superior to the interest of the transferee; and</w:t>
      </w:r>
    </w:p>
    <w:p w14:paraId="61B9D118" w14:textId="77777777" w:rsidR="00BE1F96" w:rsidRDefault="00BE1F96" w:rsidP="00711EEF">
      <w:pPr>
        <w:pStyle w:val="Statutes"/>
        <w:ind w:left="1296"/>
      </w:pPr>
      <w:r>
        <w:t>(2) with respect to an asset that is not real property or that is a fixture, when the transfer is so far perfected that a creditor on a simple contract cannot acquire a judicial lien otherwise than under this article that is superior to the interest of the transferee;</w:t>
      </w:r>
    </w:p>
    <w:p w14:paraId="309768B3" w14:textId="77777777" w:rsidR="00BE1F96" w:rsidRDefault="00BE1F96" w:rsidP="00711EEF">
      <w:pPr>
        <w:pStyle w:val="Statutes"/>
        <w:ind w:left="864"/>
      </w:pPr>
      <w:r>
        <w:t>(b) if applicable law permits the transfer to be perfected as provided in subdivision (a) of this section and the transfer is not so perfected before the commencement of an action for relief under this article, the transfer is deemed made immediately before the commencement of the action;</w:t>
      </w:r>
    </w:p>
    <w:p w14:paraId="3B9872D8" w14:textId="77777777" w:rsidR="00BE1F96" w:rsidRDefault="00BE1F96" w:rsidP="00711EEF">
      <w:pPr>
        <w:pStyle w:val="Statutes"/>
        <w:ind w:left="864"/>
      </w:pPr>
      <w:r>
        <w:t>(c) if applicable law does not permit the transfer to be perfected as provided in subdivision (a) of this section, the transfer is made when it becomes effective between the debtor and the transferee;</w:t>
      </w:r>
    </w:p>
    <w:p w14:paraId="627A9DCF" w14:textId="77777777" w:rsidR="00BE1F96" w:rsidRDefault="00BE1F96" w:rsidP="00711EEF">
      <w:pPr>
        <w:pStyle w:val="Statutes"/>
        <w:ind w:left="864"/>
      </w:pPr>
      <w:r>
        <w:t>(d) a transfer is not made until the debtor has acquired rights in the asset transferred; and</w:t>
      </w:r>
    </w:p>
    <w:p w14:paraId="15050A22" w14:textId="77777777" w:rsidR="00BE1F96" w:rsidRDefault="00BE1F96" w:rsidP="00711EEF">
      <w:pPr>
        <w:pStyle w:val="Statutes"/>
        <w:ind w:left="864"/>
      </w:pPr>
      <w:r>
        <w:t>(e) an obligation is incurred:</w:t>
      </w:r>
    </w:p>
    <w:p w14:paraId="7D627E75" w14:textId="77777777" w:rsidR="00BE1F96" w:rsidRDefault="00BE1F96" w:rsidP="00711EEF">
      <w:pPr>
        <w:pStyle w:val="Statutes"/>
        <w:ind w:left="1296"/>
      </w:pPr>
      <w:r>
        <w:t>(1) if oral, when it becomes effective between the parties; or</w:t>
      </w:r>
    </w:p>
    <w:p w14:paraId="469A52FA" w14:textId="77777777" w:rsidR="00BE1F96" w:rsidRDefault="00BE1F96" w:rsidP="00711EEF">
      <w:pPr>
        <w:pStyle w:val="Statutes"/>
        <w:ind w:left="1296"/>
      </w:pPr>
      <w:r>
        <w:t>(2) if evidenced by a record, when the record signed by the obligor is delivered to or for the benefit of the obligee.</w:t>
      </w:r>
    </w:p>
    <w:p w14:paraId="5BDB08B1" w14:textId="77777777" w:rsidR="00BE1F96" w:rsidRPr="00711EEF" w:rsidRDefault="00BE1F96" w:rsidP="004A0CB6">
      <w:pPr>
        <w:pStyle w:val="Statutes"/>
        <w:rPr>
          <w:b/>
          <w:bCs/>
        </w:rPr>
      </w:pPr>
      <w:bookmarkStart w:id="6633" w:name="NYUVTA276"/>
      <w:r w:rsidRPr="00711EEF">
        <w:rPr>
          <w:b/>
          <w:bCs/>
        </w:rPr>
        <w:t>Section 276 -  Remedies of creditor</w:t>
      </w:r>
    </w:p>
    <w:bookmarkEnd w:id="6633"/>
    <w:p w14:paraId="7CE9577F" w14:textId="77777777" w:rsidR="00BE1F96" w:rsidRDefault="00BE1F96" w:rsidP="00711EEF">
      <w:pPr>
        <w:pStyle w:val="Statutes"/>
        <w:ind w:left="864"/>
      </w:pPr>
      <w:r>
        <w:t>(a) In an action for relief against a transfer or obligation under this article, a creditor, subject to the limitations in section two hundred seventy-seven of this article, may obtain:</w:t>
      </w:r>
    </w:p>
    <w:p w14:paraId="1ECEAFB4" w14:textId="77777777" w:rsidR="00BE1F96" w:rsidRDefault="00BE1F96" w:rsidP="00711EEF">
      <w:pPr>
        <w:pStyle w:val="Statutes"/>
        <w:ind w:left="1296"/>
      </w:pPr>
      <w:r>
        <w:t>(1) avoidance of the transfer or obligation to the extent necessary to satisfy the creditor's claim;</w:t>
      </w:r>
    </w:p>
    <w:p w14:paraId="7A375CEF" w14:textId="77777777" w:rsidR="00BE1F96" w:rsidRDefault="00BE1F96" w:rsidP="00711EEF">
      <w:pPr>
        <w:pStyle w:val="Statutes"/>
        <w:ind w:left="1296"/>
      </w:pPr>
      <w:r>
        <w:t>(2) an attachment or other provisional remedy against the asset transferred or other property of the transferee if available under applicable law; and</w:t>
      </w:r>
    </w:p>
    <w:p w14:paraId="38F54725" w14:textId="77777777" w:rsidR="00BE1F96" w:rsidRDefault="00BE1F96" w:rsidP="00711EEF">
      <w:pPr>
        <w:pStyle w:val="Statutes"/>
        <w:ind w:left="1296"/>
      </w:pPr>
      <w:r>
        <w:t>(3) subject to applicable principles of equity and in accordance with applicable rules of civil procedure:</w:t>
      </w:r>
    </w:p>
    <w:p w14:paraId="34B715E8" w14:textId="77777777" w:rsidR="00BE1F96" w:rsidRDefault="00BE1F96" w:rsidP="00711EEF">
      <w:pPr>
        <w:pStyle w:val="Statutes"/>
        <w:ind w:left="1728"/>
      </w:pPr>
      <w:r>
        <w:t>(i) an injunction against further disposition by the debtor or a transferee, or both, of the asset transferred or of other property;</w:t>
      </w:r>
    </w:p>
    <w:p w14:paraId="6ED03959" w14:textId="77777777" w:rsidR="00BE1F96" w:rsidRDefault="00BE1F96" w:rsidP="00711EEF">
      <w:pPr>
        <w:pStyle w:val="Statutes"/>
        <w:ind w:left="1728"/>
      </w:pPr>
      <w:r>
        <w:t>(ii) appointment of a receiver to take charge of the asset transferred or of other property of the transferee; or</w:t>
      </w:r>
    </w:p>
    <w:p w14:paraId="453503E4" w14:textId="77777777" w:rsidR="00BE1F96" w:rsidRDefault="00BE1F96" w:rsidP="00711EEF">
      <w:pPr>
        <w:pStyle w:val="Statutes"/>
        <w:ind w:left="1728"/>
      </w:pPr>
      <w:r>
        <w:t>(iii) any other relief the circumstances may require.</w:t>
      </w:r>
    </w:p>
    <w:p w14:paraId="1DE325B6" w14:textId="77777777" w:rsidR="00BE1F96" w:rsidRDefault="00BE1F96" w:rsidP="00711EEF">
      <w:pPr>
        <w:pStyle w:val="Statutes"/>
        <w:ind w:left="864"/>
      </w:pPr>
      <w:r>
        <w:t>(b) If a creditor has obtained a judgment on a claim against the debtor, the creditor, if the court so orders, may levy execution on the asset transferred or its proceeds.</w:t>
      </w:r>
    </w:p>
    <w:p w14:paraId="651D591C" w14:textId="77777777" w:rsidR="00BE1F96" w:rsidRPr="00711EEF" w:rsidRDefault="00BE1F96" w:rsidP="004A0CB6">
      <w:pPr>
        <w:pStyle w:val="Statutes"/>
        <w:rPr>
          <w:b/>
          <w:bCs/>
        </w:rPr>
      </w:pPr>
      <w:bookmarkStart w:id="6634" w:name="NYUVTA276A"/>
      <w:r w:rsidRPr="00711EEF">
        <w:rPr>
          <w:b/>
          <w:bCs/>
        </w:rPr>
        <w:t>Section 276-A -  Attorney's fees in action or special proceeding under this article to avoid a transfer or obligation</w:t>
      </w:r>
      <w:bookmarkEnd w:id="6634"/>
    </w:p>
    <w:p w14:paraId="31F06DC0" w14:textId="77777777" w:rsidR="00BE1F96" w:rsidRDefault="00BE1F96" w:rsidP="00711EEF">
      <w:pPr>
        <w:pStyle w:val="Statutes"/>
        <w:ind w:left="864"/>
      </w:pPr>
      <w:r>
        <w:t>In an action or special proceeding under this article in which a judgment creditor who has been awarded by court order or agreement or has waived attorney's fees available to prevailing parties by the terms of the statute under which the creditor's underlying claim arose, or representative asserting the rights of such judgment creditor, recovers judgment avoiding any transfer or obligation, the justice or surrogate presiding at the trial shall fix the reasonable attorney's fees of the creditor, or creditor representative, incurred in such action or special proceeding under this article as an additional amount required to satisfy the creditor's claim, and the creditor, or creditor representative, shall have judgment therefor against the debtor and, subject to the defenses and protections in section two hundred seventy-seven of this article, against any transferee (or person for whose benefit the transfer was made) against whom relief is ordered, in addition to the other relief granted by the judgment. The fee so fixed shall be without regard, or prejudice, to any agreement, express or implied, between the creditor, or the creditor representative, and his or her attorney with respect to the compensation of such attorney.</w:t>
      </w:r>
    </w:p>
    <w:p w14:paraId="65CFBB34" w14:textId="77777777" w:rsidR="00BE1F96" w:rsidRPr="00711EEF" w:rsidRDefault="00BE1F96" w:rsidP="004A0CB6">
      <w:pPr>
        <w:pStyle w:val="Statutes"/>
        <w:rPr>
          <w:b/>
          <w:bCs/>
        </w:rPr>
      </w:pPr>
      <w:bookmarkStart w:id="6635" w:name="NYUVTA277"/>
      <w:r w:rsidRPr="00711EEF">
        <w:rPr>
          <w:b/>
          <w:bCs/>
        </w:rPr>
        <w:t>Section 277 -  Defenses, liability, and protection of transferee or obligee</w:t>
      </w:r>
    </w:p>
    <w:bookmarkEnd w:id="6635"/>
    <w:p w14:paraId="6D4D9BBF" w14:textId="77777777" w:rsidR="00BE1F96" w:rsidRDefault="00BE1F96" w:rsidP="00711EEF">
      <w:pPr>
        <w:pStyle w:val="Statutes"/>
        <w:ind w:left="864"/>
      </w:pPr>
      <w:r>
        <w:t>(a) A transfer or obligation is not voidable under paragraph one of subdivision (a) of section two hundred seventy-three of this article against a person that took in good faith and for a reasonably equivalent value given the debtor or against any subsequent transferee or obligee.</w:t>
      </w:r>
    </w:p>
    <w:p w14:paraId="555CD0C4" w14:textId="77777777" w:rsidR="00BE1F96" w:rsidRDefault="00BE1F96" w:rsidP="00711EEF">
      <w:pPr>
        <w:pStyle w:val="Statutes"/>
        <w:ind w:left="864"/>
      </w:pPr>
      <w:r>
        <w:t>(b) To the extent a transfer is avoidable in an action by a creditor under paragraph one of subdivision (a) of section two hundred seventy-six of this article the following rules apply:</w:t>
      </w:r>
    </w:p>
    <w:p w14:paraId="64C1DC12" w14:textId="77777777" w:rsidR="00BE1F96" w:rsidRDefault="00BE1F96" w:rsidP="00711EEF">
      <w:pPr>
        <w:pStyle w:val="Statutes"/>
        <w:ind w:left="1296"/>
      </w:pPr>
      <w:r>
        <w:t>(1) Except as otherwise provided in this section, the creditor may recover judgment for the value of the asset transferred, as adjusted under subdivision (c) of this section, or the amount necessary to satisfy the creditor's claim, whichever is less. The judgment may be entered against:</w:t>
      </w:r>
    </w:p>
    <w:p w14:paraId="7C249BD1" w14:textId="77777777" w:rsidR="00BE1F96" w:rsidRDefault="00BE1F96" w:rsidP="00711EEF">
      <w:pPr>
        <w:pStyle w:val="Statutes"/>
        <w:ind w:left="1728"/>
      </w:pPr>
      <w:r>
        <w:t>(i) the first transferee of the asset or the person for whose benefit the transfer was made; or</w:t>
      </w:r>
    </w:p>
    <w:p w14:paraId="237A95BE" w14:textId="77777777" w:rsidR="00BE1F96" w:rsidRDefault="00BE1F96" w:rsidP="00711EEF">
      <w:pPr>
        <w:pStyle w:val="Statutes"/>
        <w:ind w:left="1728"/>
      </w:pPr>
      <w:r>
        <w:t>(ii) an immediate or mediate transferee of the first transferee, other than:</w:t>
      </w:r>
    </w:p>
    <w:p w14:paraId="30CF5465" w14:textId="77777777" w:rsidR="00BE1F96" w:rsidRDefault="00BE1F96" w:rsidP="00711EEF">
      <w:pPr>
        <w:pStyle w:val="Statutes"/>
        <w:ind w:left="2160"/>
      </w:pPr>
      <w:r>
        <w:t>(A) a good-faith transferee that took for value; or</w:t>
      </w:r>
    </w:p>
    <w:p w14:paraId="1CE56D47" w14:textId="77777777" w:rsidR="00BE1F96" w:rsidRDefault="00BE1F96" w:rsidP="00711EEF">
      <w:pPr>
        <w:pStyle w:val="Statutes"/>
        <w:ind w:left="2160"/>
      </w:pPr>
      <w:r>
        <w:t>(B) an immediate or mediate good-faith transferee of a person described in clause (A) of this subparagraph.</w:t>
      </w:r>
    </w:p>
    <w:p w14:paraId="289DF451" w14:textId="77777777" w:rsidR="00BE1F96" w:rsidRDefault="00BE1F96" w:rsidP="00711EEF">
      <w:pPr>
        <w:pStyle w:val="Statutes"/>
        <w:ind w:left="1296"/>
      </w:pPr>
      <w:r>
        <w:t>(2) Recovery pursuant to paragraph one of subdivision (a) or subdivision (b) of section two hundred seventy-six of this article of or from the asset transferred or its proceeds, by levy or otherwise, is available only against a person described in subparagraph (i) or (ii) of paragraph one of this subdivision.</w:t>
      </w:r>
    </w:p>
    <w:p w14:paraId="4EB291C1" w14:textId="77777777" w:rsidR="00BE1F96" w:rsidRDefault="00BE1F96" w:rsidP="00711EEF">
      <w:pPr>
        <w:pStyle w:val="Statutes"/>
        <w:ind w:left="864"/>
      </w:pPr>
      <w:r>
        <w:t>(c) If the judgment under subdivision (b) of this section is based upon the value of the asset transferred, the judgment must be for an amount equal to the value of the asset at the time of the transfer, subject to adjustment as the equities may require.</w:t>
      </w:r>
    </w:p>
    <w:p w14:paraId="338E7A26" w14:textId="77777777" w:rsidR="00BE1F96" w:rsidRDefault="00BE1F96" w:rsidP="00711EEF">
      <w:pPr>
        <w:pStyle w:val="Statutes"/>
        <w:ind w:left="864"/>
      </w:pPr>
      <w:r>
        <w:t>(d) Notwithstanding voidability of a transfer or an obligation under this article, a good-faith transferee or obligee is entitled, to the extent of the value given the debtor for the transfer or obligation, to:</w:t>
      </w:r>
    </w:p>
    <w:p w14:paraId="7BF0BFE5" w14:textId="77777777" w:rsidR="00BE1F96" w:rsidRDefault="00BE1F96" w:rsidP="00711EEF">
      <w:pPr>
        <w:pStyle w:val="Statutes"/>
        <w:ind w:left="1296"/>
      </w:pPr>
      <w:r>
        <w:t>(1) a lien on or a right to retain an interest in the asset transferred;</w:t>
      </w:r>
    </w:p>
    <w:p w14:paraId="5DFEA7F4" w14:textId="77777777" w:rsidR="00BE1F96" w:rsidRDefault="00BE1F96" w:rsidP="00711EEF">
      <w:pPr>
        <w:pStyle w:val="Statutes"/>
        <w:ind w:left="1296"/>
      </w:pPr>
      <w:r>
        <w:t>(2) enforcement of an obligation incurred; or</w:t>
      </w:r>
    </w:p>
    <w:p w14:paraId="0D7E2DE9" w14:textId="77777777" w:rsidR="00BE1F96" w:rsidRDefault="00BE1F96" w:rsidP="00711EEF">
      <w:pPr>
        <w:pStyle w:val="Statutes"/>
        <w:ind w:left="1296"/>
      </w:pPr>
      <w:r>
        <w:t>(3) a reduction in the amount of the liability on the judgment.</w:t>
      </w:r>
    </w:p>
    <w:p w14:paraId="5F1F11CD" w14:textId="77777777" w:rsidR="00BE1F96" w:rsidRDefault="00BE1F96" w:rsidP="00711EEF">
      <w:pPr>
        <w:pStyle w:val="Statutes"/>
        <w:ind w:left="864"/>
      </w:pPr>
      <w:r>
        <w:t>(e) A transfer is not voidable under paragraph two of subdivision (a) of section two hundred seventy-three or section two hundred seventy-four of this article if the transfer results from:</w:t>
      </w:r>
    </w:p>
    <w:p w14:paraId="45FAE11B" w14:textId="77777777" w:rsidR="00BE1F96" w:rsidRDefault="00BE1F96" w:rsidP="00711EEF">
      <w:pPr>
        <w:pStyle w:val="Statutes"/>
        <w:ind w:left="1296"/>
      </w:pPr>
      <w:r>
        <w:t>(1) termination of a lease upon default by the debtor when the termination is pursuant to the lease and applicable law; or</w:t>
      </w:r>
    </w:p>
    <w:p w14:paraId="449A9769" w14:textId="77777777" w:rsidR="00BE1F96" w:rsidRDefault="00BE1F96" w:rsidP="00711EEF">
      <w:pPr>
        <w:pStyle w:val="Statutes"/>
        <w:ind w:left="1296"/>
      </w:pPr>
      <w:r>
        <w:t>(2) enforcement of a security interest in compliance with article nine of the uniform commercial code, other than acceptance of collateral in full or partial satisfaction of the obligation it secures.</w:t>
      </w:r>
    </w:p>
    <w:p w14:paraId="79AF5F5F" w14:textId="77777777" w:rsidR="00BE1F96" w:rsidRDefault="00BE1F96" w:rsidP="00711EEF">
      <w:pPr>
        <w:pStyle w:val="Statutes"/>
        <w:ind w:left="864"/>
      </w:pPr>
      <w:r>
        <w:t>(f) A transfer is not voidable under subdivision (b) of section two hundred seventy-four of this article:</w:t>
      </w:r>
    </w:p>
    <w:p w14:paraId="57EAC39C" w14:textId="77777777" w:rsidR="00BE1F96" w:rsidRDefault="00BE1F96" w:rsidP="00711EEF">
      <w:pPr>
        <w:pStyle w:val="Statutes"/>
        <w:ind w:left="1296"/>
      </w:pPr>
      <w:r>
        <w:t>(1) to the extent the insider gave new value to or for the benefit of the debtor after the transfer was made, except to the extent the new value was secured by a valid lien;</w:t>
      </w:r>
    </w:p>
    <w:p w14:paraId="645F1A80" w14:textId="77777777" w:rsidR="00BE1F96" w:rsidRDefault="00BE1F96" w:rsidP="00711EEF">
      <w:pPr>
        <w:pStyle w:val="Statutes"/>
        <w:ind w:left="1296"/>
      </w:pPr>
      <w:r>
        <w:t>(2) if made in the ordinary course of business or financial affairs of the debtor and the insider; or</w:t>
      </w:r>
    </w:p>
    <w:p w14:paraId="2F8890BE" w14:textId="77777777" w:rsidR="00BE1F96" w:rsidRDefault="00BE1F96" w:rsidP="00711EEF">
      <w:pPr>
        <w:pStyle w:val="Statutes"/>
        <w:ind w:left="1296"/>
      </w:pPr>
      <w:r>
        <w:t>(3) if made pursuant to a good-faith effort to rehabilitate the debtor and the transfer secured present value given for that purpose as well as an antecedent debt of the debtor.</w:t>
      </w:r>
    </w:p>
    <w:p w14:paraId="2525A69C" w14:textId="77777777" w:rsidR="00BE1F96" w:rsidRDefault="00BE1F96" w:rsidP="00711EEF">
      <w:pPr>
        <w:pStyle w:val="Statutes"/>
        <w:ind w:left="864"/>
      </w:pPr>
      <w:r>
        <w:t>(g) The following rules determine the burden of proving matters referred to in this section:</w:t>
      </w:r>
    </w:p>
    <w:p w14:paraId="3075837E" w14:textId="77777777" w:rsidR="00BE1F96" w:rsidRDefault="00BE1F96" w:rsidP="00711EEF">
      <w:pPr>
        <w:pStyle w:val="Statutes"/>
        <w:ind w:left="1296"/>
      </w:pPr>
      <w:r>
        <w:t>(1) A party that seeks to invoke subdivision (a), (d), (e) or (f) of this section has the burden of proving the applicability of that subdivision.</w:t>
      </w:r>
    </w:p>
    <w:p w14:paraId="274243EE" w14:textId="77777777" w:rsidR="00BE1F96" w:rsidRDefault="00BE1F96" w:rsidP="00711EEF">
      <w:pPr>
        <w:pStyle w:val="Statutes"/>
        <w:ind w:left="1296"/>
      </w:pPr>
      <w:r>
        <w:t>(2) Except as otherwise provided in paragraphs three and four of this subdivision, the creditor has the burden of proving each applicable element of subdivision (b) or (c) of this section.</w:t>
      </w:r>
    </w:p>
    <w:p w14:paraId="3434BC0E" w14:textId="77777777" w:rsidR="00BE1F96" w:rsidRDefault="00BE1F96" w:rsidP="00711EEF">
      <w:pPr>
        <w:pStyle w:val="Statutes"/>
        <w:ind w:left="1296"/>
      </w:pPr>
      <w:r>
        <w:t>(3) The transferee has the burden of proving the applicability to the transferee of clause (A) or (B) of subparagraph (ii) of paragraph one of subdivision (b) of this section.</w:t>
      </w:r>
    </w:p>
    <w:p w14:paraId="661F4092" w14:textId="77777777" w:rsidR="00BE1F96" w:rsidRDefault="00BE1F96" w:rsidP="00711EEF">
      <w:pPr>
        <w:pStyle w:val="Statutes"/>
        <w:ind w:left="1296"/>
      </w:pPr>
      <w:r>
        <w:t>(4) A party that seeks adjustment under subdivision (c) of this section has the burden of proving the adjustment.</w:t>
      </w:r>
    </w:p>
    <w:p w14:paraId="57FD18EC" w14:textId="77777777" w:rsidR="00BE1F96" w:rsidRDefault="00BE1F96" w:rsidP="00711EEF">
      <w:pPr>
        <w:pStyle w:val="Statutes"/>
        <w:ind w:left="864"/>
      </w:pPr>
      <w:r>
        <w:t>(h) The standard of proof required to establish matters referred to in this section is preponderance of the evidence.</w:t>
      </w:r>
    </w:p>
    <w:p w14:paraId="301A8B4E" w14:textId="77777777" w:rsidR="00BE1F96" w:rsidRPr="00711EEF" w:rsidRDefault="00BE1F96" w:rsidP="004A0CB6">
      <w:pPr>
        <w:pStyle w:val="Statutes"/>
        <w:rPr>
          <w:b/>
          <w:bCs/>
        </w:rPr>
      </w:pPr>
      <w:bookmarkStart w:id="6636" w:name="NYUVTA278"/>
      <w:r w:rsidRPr="00711EEF">
        <w:rPr>
          <w:b/>
          <w:bCs/>
        </w:rPr>
        <w:t>Section 278 -  Extinguishment of claim for relief</w:t>
      </w:r>
    </w:p>
    <w:bookmarkEnd w:id="6636"/>
    <w:p w14:paraId="055F026F" w14:textId="77777777" w:rsidR="00BE1F96" w:rsidRDefault="00BE1F96" w:rsidP="004A0CB6">
      <w:pPr>
        <w:pStyle w:val="Statutes"/>
      </w:pPr>
      <w:r>
        <w:t>A claim for relief with respect to a transfer or obligation under this article is extinguished unless action is brought:</w:t>
      </w:r>
    </w:p>
    <w:p w14:paraId="28ED20A9" w14:textId="77777777" w:rsidR="00BE1F96" w:rsidRDefault="00BE1F96" w:rsidP="00711EEF">
      <w:pPr>
        <w:pStyle w:val="Statutes"/>
        <w:ind w:left="864"/>
      </w:pPr>
      <w:r>
        <w:t>(a) under paragraph one of subdivision (a) of section two hundred seventy-three of this article, not later than four years after the transfer was made or the obligation was incurred or, if later, not later than one year after the transfer or obligation was or could reasonably have been discovered by the claimant;</w:t>
      </w:r>
    </w:p>
    <w:p w14:paraId="2C0AC00C" w14:textId="77777777" w:rsidR="00BE1F96" w:rsidRDefault="00BE1F96" w:rsidP="00711EEF">
      <w:pPr>
        <w:pStyle w:val="Statutes"/>
        <w:ind w:left="864"/>
      </w:pPr>
      <w:r>
        <w:t>(b) under paragraph two of subdivision (a) of section two hundred seventy-three or subdivision (a) of section two hundred seventy-four of this article, not later than four years after the transfer was made or the obligation was incurred; or</w:t>
      </w:r>
    </w:p>
    <w:p w14:paraId="33765F3B" w14:textId="77777777" w:rsidR="00BE1F96" w:rsidRDefault="00BE1F96" w:rsidP="00711EEF">
      <w:pPr>
        <w:pStyle w:val="Statutes"/>
        <w:ind w:left="864"/>
      </w:pPr>
      <w:r>
        <w:t>(c) under subdivision (b) of section two hundred seventy-four of this article, not later than one year after the transfer was made.</w:t>
      </w:r>
    </w:p>
    <w:p w14:paraId="44A4EFBD" w14:textId="77777777" w:rsidR="00BE1F96" w:rsidRPr="00711EEF" w:rsidRDefault="00BE1F96" w:rsidP="004A0CB6">
      <w:pPr>
        <w:pStyle w:val="Statutes"/>
        <w:rPr>
          <w:b/>
          <w:bCs/>
        </w:rPr>
      </w:pPr>
      <w:bookmarkStart w:id="6637" w:name="NYUVTA279"/>
      <w:r w:rsidRPr="00711EEF">
        <w:rPr>
          <w:b/>
          <w:bCs/>
        </w:rPr>
        <w:t>Section 279 -  Governing law</w:t>
      </w:r>
    </w:p>
    <w:bookmarkEnd w:id="6637"/>
    <w:p w14:paraId="068E0606" w14:textId="77777777" w:rsidR="00BE1F96" w:rsidRDefault="00BE1F96" w:rsidP="00711EEF">
      <w:pPr>
        <w:pStyle w:val="Statutes"/>
        <w:ind w:left="864"/>
      </w:pPr>
      <w:r>
        <w:t>(a) In this section, the following rules determine a debtor's location:</w:t>
      </w:r>
    </w:p>
    <w:p w14:paraId="1189B7EC" w14:textId="77777777" w:rsidR="00BE1F96" w:rsidRDefault="00BE1F96" w:rsidP="00711EEF">
      <w:pPr>
        <w:pStyle w:val="Statutes"/>
        <w:ind w:left="1296"/>
      </w:pPr>
      <w:r>
        <w:t>(1) A debtor who is an individual is located at the individual's principal residence.</w:t>
      </w:r>
    </w:p>
    <w:p w14:paraId="6B61A4DC" w14:textId="77777777" w:rsidR="00BE1F96" w:rsidRDefault="00BE1F96" w:rsidP="00711EEF">
      <w:pPr>
        <w:pStyle w:val="Statutes"/>
        <w:ind w:left="1296"/>
      </w:pPr>
      <w:r>
        <w:t>(2) A debtor that is an organization and has only one place of business been located at its place of business.</w:t>
      </w:r>
    </w:p>
    <w:p w14:paraId="1BFE7ABE" w14:textId="77777777" w:rsidR="00BE1F96" w:rsidRDefault="00BE1F96" w:rsidP="00711EEF">
      <w:pPr>
        <w:pStyle w:val="Statutes"/>
        <w:ind w:left="1296"/>
      </w:pPr>
      <w:r>
        <w:t>(3) A debtor that is an organization and has more than one place of business is located at its chief executive office.</w:t>
      </w:r>
    </w:p>
    <w:p w14:paraId="0CB79761" w14:textId="77777777" w:rsidR="00BE1F96" w:rsidRDefault="00BE1F96" w:rsidP="00711EEF">
      <w:pPr>
        <w:pStyle w:val="Statutes"/>
        <w:ind w:left="864"/>
      </w:pPr>
      <w:r>
        <w:t>(b) A claim for relief in the nature of a claim for relief under this article is governed by the local law of the jurisdiction in which the debtor is located when the transfer is made or the obligation is incurred.</w:t>
      </w:r>
    </w:p>
    <w:p w14:paraId="7B0EB77E" w14:textId="77777777" w:rsidR="00BE1F96" w:rsidRPr="00711EEF" w:rsidRDefault="00BE1F96" w:rsidP="004A0CB6">
      <w:pPr>
        <w:pStyle w:val="Statutes"/>
        <w:rPr>
          <w:b/>
          <w:bCs/>
        </w:rPr>
      </w:pPr>
      <w:bookmarkStart w:id="6638" w:name="NYUVTA280"/>
      <w:r w:rsidRPr="00711EEF">
        <w:rPr>
          <w:b/>
          <w:bCs/>
        </w:rPr>
        <w:t>Section 280 -  Supplementary provisions</w:t>
      </w:r>
    </w:p>
    <w:bookmarkEnd w:id="6638"/>
    <w:p w14:paraId="7EA24392" w14:textId="77777777" w:rsidR="00BE1F96" w:rsidRDefault="00BE1F96" w:rsidP="004A0CB6">
      <w:pPr>
        <w:pStyle w:val="Statutes"/>
      </w:pPr>
      <w:r>
        <w:t>Unless displaced by the provisions of this article, the principles of law and equity, including the law merchant and the law relating to principal and agent, estoppel, laches, fraud, misrepresentation, duress, coercion, mistake, insolvency, or other validating or invalidating cause, supplement its provisions.</w:t>
      </w:r>
    </w:p>
    <w:p w14:paraId="2F92E349" w14:textId="77777777" w:rsidR="00711EEF" w:rsidRDefault="00711EEF" w:rsidP="004A0CB6">
      <w:pPr>
        <w:pStyle w:val="Statutes"/>
        <w:rPr>
          <w:b/>
          <w:bCs/>
        </w:rPr>
      </w:pPr>
      <w:bookmarkStart w:id="6639" w:name="NYUVTA281"/>
    </w:p>
    <w:p w14:paraId="23FF079E" w14:textId="626AA042" w:rsidR="00BE1F96" w:rsidRPr="00711EEF" w:rsidRDefault="00BE1F96" w:rsidP="004A0CB6">
      <w:pPr>
        <w:pStyle w:val="Statutes"/>
        <w:rPr>
          <w:b/>
          <w:bCs/>
        </w:rPr>
      </w:pPr>
      <w:r w:rsidRPr="00711EEF">
        <w:rPr>
          <w:b/>
          <w:bCs/>
        </w:rPr>
        <w:t>Section 281 -  Uniformity of application and construction</w:t>
      </w:r>
    </w:p>
    <w:bookmarkEnd w:id="6639"/>
    <w:p w14:paraId="1AE6FACA" w14:textId="55E58D4D" w:rsidR="00BE1F96" w:rsidRPr="007A5BBC" w:rsidRDefault="00BE1F96" w:rsidP="00711EEF">
      <w:pPr>
        <w:pStyle w:val="Statutes"/>
      </w:pPr>
      <w:r>
        <w:t>This article shall be applied and construed to effectuate its general purpose to make uniform the law with respect to the subject of this article among states enacting it.</w:t>
      </w:r>
    </w:p>
    <w:p w14:paraId="187E1B18" w14:textId="38E2362B"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12154C68" w14:textId="7AA0CAED" w:rsidR="00E24A7E" w:rsidRPr="004C0288" w:rsidRDefault="00AB4BE5" w:rsidP="00A51A19">
      <w:pPr>
        <w:pStyle w:val="APPENDIX"/>
        <w:numPr>
          <w:ilvl w:val="0"/>
          <w:numId w:val="0"/>
        </w:numPr>
      </w:pPr>
      <w:bookmarkStart w:id="6640" w:name="_Toc90983848"/>
      <w:r>
        <w:t>Appendix F.</w:t>
      </w:r>
      <w:r w:rsidR="00993A8D">
        <w:t xml:space="preserve"> </w:t>
      </w:r>
      <w:bookmarkStart w:id="6641" w:name="_Toc79693533"/>
      <w:bookmarkStart w:id="6642" w:name="_Toc79693853"/>
      <w:bookmarkStart w:id="6643" w:name="_Toc79694806"/>
      <w:bookmarkStart w:id="6644" w:name="_Toc79695438"/>
      <w:bookmarkStart w:id="6645" w:name="_Toc79697684"/>
      <w:bookmarkStart w:id="6646" w:name="_Toc79699355"/>
      <w:bookmarkStart w:id="6647" w:name="_Toc79699681"/>
      <w:bookmarkStart w:id="6648" w:name="_Toc79700019"/>
      <w:bookmarkStart w:id="6649" w:name="_Toc87039443"/>
      <w:r w:rsidR="004B35E4" w:rsidRPr="004C0288">
        <w:t xml:space="preserve">Article 9 of the </w:t>
      </w:r>
      <w:r w:rsidR="0088086B" w:rsidRPr="004C0288">
        <w:t xml:space="preserve">New York </w:t>
      </w:r>
      <w:r w:rsidR="004B35E4" w:rsidRPr="004C0288">
        <w:t>Uniform Commercial Code</w:t>
      </w:r>
      <w:bookmarkStart w:id="6650" w:name="AppendixF"/>
      <w:bookmarkEnd w:id="6640"/>
      <w:bookmarkEnd w:id="6641"/>
      <w:bookmarkEnd w:id="6642"/>
      <w:bookmarkEnd w:id="6643"/>
      <w:bookmarkEnd w:id="6644"/>
      <w:bookmarkEnd w:id="6645"/>
      <w:bookmarkEnd w:id="6646"/>
      <w:bookmarkEnd w:id="6647"/>
      <w:bookmarkEnd w:id="6648"/>
      <w:bookmarkEnd w:id="6649"/>
    </w:p>
    <w:bookmarkEnd w:id="6650"/>
    <w:p w14:paraId="793B0291" w14:textId="3E20666B"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65"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7C05EEE9" w14:textId="77777777" w:rsidR="00E24A7E" w:rsidRDefault="00E24A7E" w:rsidP="00385CFC">
      <w:pPr>
        <w:rPr>
          <w:rFonts w:ascii="Times New Roman" w:hAnsi="Times New Roman"/>
          <w:szCs w:val="24"/>
        </w:rPr>
      </w:pPr>
    </w:p>
    <w:p w14:paraId="6E518C33" w14:textId="4E060C2C" w:rsidR="00385CFC" w:rsidRPr="00E24A7E" w:rsidRDefault="007D61B0" w:rsidP="00E24A7E">
      <w:pPr>
        <w:pStyle w:val="Heading2"/>
        <w:numPr>
          <w:ilvl w:val="0"/>
          <w:numId w:val="0"/>
        </w:numPr>
        <w:ind w:left="432"/>
      </w:pPr>
      <w:bookmarkStart w:id="6651" w:name="_Toc79700343"/>
      <w:bookmarkStart w:id="6652" w:name="_Toc79700665"/>
      <w:bookmarkStart w:id="6653" w:name="_Toc90983849"/>
      <w:r w:rsidRPr="00E24A7E">
        <w:t>F</w:t>
      </w:r>
      <w:r w:rsidR="0091145C" w:rsidRPr="00E24A7E">
        <w:t>.1.</w:t>
      </w:r>
      <w:r w:rsidR="0091145C" w:rsidRPr="00E24A7E">
        <w:tab/>
      </w:r>
      <w:r w:rsidR="00385CFC" w:rsidRPr="00E24A7E">
        <w:t>Index</w:t>
      </w:r>
      <w:bookmarkEnd w:id="6651"/>
      <w:bookmarkEnd w:id="6652"/>
      <w:bookmarkEnd w:id="6653"/>
    </w:p>
    <w:p w14:paraId="59372FF0" w14:textId="3E501DBB" w:rsidR="0088086B" w:rsidRPr="007A5BBC" w:rsidRDefault="007C1024"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229152D2" w:rsidR="0088086B" w:rsidRPr="007A5BBC" w:rsidRDefault="007C1024"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3C230B7F" w:rsidR="0088086B" w:rsidRPr="007A5BBC" w:rsidRDefault="007C1024"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277CCC5F" w:rsidR="0088086B" w:rsidRPr="007A5BBC" w:rsidRDefault="007C1024"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79B92C0E" w:rsidR="0088086B" w:rsidRPr="007A5BBC" w:rsidRDefault="007C1024"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4FDC033B" w:rsidR="0088086B" w:rsidRPr="007A5BBC" w:rsidRDefault="007C1024"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4674C8DF" w:rsidR="0088086B" w:rsidRPr="007A5BBC" w:rsidRDefault="007C1024"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094AF612" w:rsidR="0088086B" w:rsidRPr="007A5BBC" w:rsidRDefault="007C1024"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1BCEC8F6" w:rsidR="0088086B" w:rsidRPr="007A5BBC" w:rsidRDefault="007C1024"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67005696" w:rsidR="0088086B" w:rsidRPr="007A5BBC" w:rsidRDefault="007C1024"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1306B4CD" w:rsidR="0088086B" w:rsidRPr="007A5BBC" w:rsidRDefault="007C1024"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0352DD11" w:rsidR="0088086B" w:rsidRPr="007A5BBC" w:rsidRDefault="007C1024"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1CF77852" w:rsidR="0088086B" w:rsidRPr="007A5BBC" w:rsidRDefault="007C1024"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5CCF9C89" w:rsidR="0088086B" w:rsidRPr="007A5BBC" w:rsidRDefault="007C1024"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23B50DD6" w:rsidR="0088086B" w:rsidRPr="007A5BBC" w:rsidRDefault="007C1024"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73E08AF4" w:rsidR="0088086B" w:rsidRPr="007A5BBC" w:rsidRDefault="007C1024"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083FA609" w:rsidR="0088086B" w:rsidRPr="007A5BBC" w:rsidRDefault="007C1024"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0CD15042" w:rsidR="0088086B" w:rsidRPr="007A5BBC" w:rsidRDefault="007C1024"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5500B52A" w:rsidR="0088086B" w:rsidRPr="007A5BBC" w:rsidRDefault="007C1024"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1732E726" w:rsidR="0088086B" w:rsidRPr="007A5BBC" w:rsidRDefault="007C1024"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16DA5CF2" w:rsidR="0088086B" w:rsidRPr="007A5BBC" w:rsidRDefault="007C1024"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522C75F9" w:rsidR="0088086B" w:rsidRPr="007A5BBC" w:rsidRDefault="007C1024"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0EB6A4EE" w:rsidR="0088086B" w:rsidRPr="007A5BBC" w:rsidRDefault="007C1024"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0FE1FF47" w:rsidR="0088086B" w:rsidRPr="007A5BBC" w:rsidRDefault="007C1024"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6C0AFED6" w:rsidR="0088086B" w:rsidRPr="007A5BBC" w:rsidRDefault="007C1024"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7CDF52D9" w:rsidR="0088086B" w:rsidRPr="007A5BBC" w:rsidRDefault="007C1024"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1E7A3975" w:rsidR="0088086B" w:rsidRPr="007A5BBC" w:rsidRDefault="007C1024"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51FB0343" w:rsidR="0088086B" w:rsidRPr="007A5BBC" w:rsidRDefault="007C1024"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25B8FF4D" w:rsidR="0088086B" w:rsidRPr="007A5BBC" w:rsidRDefault="007C1024"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4526FE45" w:rsidR="0088086B" w:rsidRPr="007A5BBC" w:rsidRDefault="007C1024"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03F579FB" w:rsidR="0088086B" w:rsidRPr="007A5BBC" w:rsidRDefault="007C1024"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7B554EA6" w:rsidR="0088086B" w:rsidRPr="007A5BBC" w:rsidRDefault="007C1024"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12B7268D" w:rsidR="0088086B" w:rsidRPr="007A5BBC" w:rsidRDefault="007C1024"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174EA699" w:rsidR="0088086B" w:rsidRPr="007A5BBC" w:rsidRDefault="007C1024"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3F59F7F9" w:rsidR="0088086B" w:rsidRPr="007A5BBC" w:rsidRDefault="007C1024"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798AF4BA" w:rsidR="0088086B" w:rsidRPr="007A5BBC" w:rsidRDefault="007C1024"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62DB8BA3" w:rsidR="0088086B" w:rsidRPr="007A5BBC" w:rsidRDefault="007C1024"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1B88E706" w:rsidR="0088086B" w:rsidRPr="007A5BBC" w:rsidRDefault="007C1024"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6E139FDA" w:rsidR="0088086B" w:rsidRPr="007A5BBC" w:rsidRDefault="007C1024"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01E863C3" w:rsidR="0088086B" w:rsidRPr="007A5BBC" w:rsidRDefault="007C1024"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4B47E32A" w:rsidR="0088086B" w:rsidRPr="007A5BBC" w:rsidRDefault="007C1024"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1FE2AC5C" w:rsidR="0088086B" w:rsidRPr="007A5BBC" w:rsidRDefault="007C1024"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495DA82A" w14:textId="55FB17B1" w:rsidR="0088086B" w:rsidRPr="007A5BBC" w:rsidRDefault="007C1024"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1CC8CC13" w:rsidR="0088086B" w:rsidRPr="007A5BBC" w:rsidRDefault="007C1024"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5E49C885" w:rsidR="0088086B" w:rsidRPr="007A5BBC" w:rsidRDefault="007C1024"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4F9E8B6E" w:rsidR="0088086B" w:rsidRPr="007A5BBC" w:rsidRDefault="007C1024"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1057D122" w:rsidR="0088086B" w:rsidRPr="007A5BBC" w:rsidRDefault="007C1024"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13FEB47C" w:rsidR="0088086B" w:rsidRPr="007A5BBC" w:rsidRDefault="007C1024"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2D5EB631" w:rsidR="0088086B" w:rsidRPr="007A5BBC" w:rsidRDefault="007C1024"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258031AC" w:rsidR="0088086B" w:rsidRPr="007A5BBC" w:rsidRDefault="007C1024"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41FE4BFB" w:rsidR="0088086B" w:rsidRPr="007A5BBC" w:rsidRDefault="007C1024"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53B5B460" w:rsidR="0088086B" w:rsidRPr="007A5BBC" w:rsidRDefault="007C1024"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7CD598B1" w:rsidR="0088086B" w:rsidRPr="007A5BBC" w:rsidRDefault="007C1024"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294FCBFE" w:rsidR="0088086B" w:rsidRPr="007A5BBC" w:rsidRDefault="007C1024"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75519554" w:rsidR="0088086B" w:rsidRPr="007A5BBC" w:rsidRDefault="007C1024"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55DAB159" w:rsidR="0088086B" w:rsidRPr="007A5BBC" w:rsidRDefault="007C1024"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41D28AA9" w:rsidR="0088086B" w:rsidRPr="007A5BBC" w:rsidRDefault="007C1024"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451E3B61" w:rsidR="0088086B" w:rsidRPr="007A5BBC" w:rsidRDefault="007C1024"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33D8C4BE" w:rsidR="0088086B" w:rsidRPr="007A5BBC" w:rsidRDefault="007C1024"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1E0071F6" w:rsidR="0088086B" w:rsidRPr="007A5BBC" w:rsidRDefault="007C1024"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1220A20B" w:rsidR="0088086B" w:rsidRPr="007A5BBC" w:rsidRDefault="007C1024"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08F531E7" w:rsidR="0088086B" w:rsidRPr="007A5BBC" w:rsidRDefault="007C1024"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41881D58" w:rsidR="0088086B" w:rsidRPr="007A5BBC" w:rsidRDefault="007C1024"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1DDA9C2D" w:rsidR="0088086B" w:rsidRPr="007A5BBC" w:rsidRDefault="007C1024"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66A630B4" w:rsidR="0088086B" w:rsidRPr="007A5BBC" w:rsidRDefault="007C1024"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10A758BD" w:rsidR="0088086B" w:rsidRPr="007A5BBC" w:rsidRDefault="007C1024"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7F03FAFC" w:rsidR="0088086B" w:rsidRPr="007A5BBC" w:rsidRDefault="007C1024"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56C09BD1" w:rsidR="0088086B" w:rsidRPr="007A5BBC" w:rsidRDefault="007C1024"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36268DF3" w:rsidR="0088086B" w:rsidRPr="007A5BBC" w:rsidRDefault="007C1024"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002061C6" w:rsidR="0088086B" w:rsidRPr="007A5BBC" w:rsidRDefault="007C1024"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755388C5" w:rsidR="0088086B" w:rsidRPr="007A5BBC" w:rsidRDefault="007C1024"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20B2F557" w:rsidR="0088086B" w:rsidRPr="007A5BBC" w:rsidRDefault="007C1024"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0C7AD191" w:rsidR="0088086B" w:rsidRPr="007A5BBC" w:rsidRDefault="007C1024"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5EC65BAD" w:rsidR="0088086B" w:rsidRPr="007A5BBC" w:rsidRDefault="007C1024"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7AB7D7EE" w:rsidR="0088086B" w:rsidRPr="007A5BBC" w:rsidRDefault="007C1024"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79E3CEBA" w:rsidR="0088086B" w:rsidRPr="007A5BBC" w:rsidRDefault="007C1024"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337EACC8" w:rsidR="0088086B" w:rsidRPr="007A5BBC" w:rsidRDefault="007C1024"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1DB74E33" w:rsidR="0088086B" w:rsidRPr="007A5BBC" w:rsidRDefault="007C1024"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1C3FB054" w:rsidR="0088086B" w:rsidRPr="007A5BBC" w:rsidRDefault="007C1024"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525C4A06" w:rsidR="0088086B" w:rsidRPr="007A5BBC" w:rsidRDefault="007C1024"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3990BB45" w:rsidR="0088086B" w:rsidRPr="007A5BBC" w:rsidRDefault="007C1024"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006D1FE9" w:rsidR="0088086B" w:rsidRPr="007A5BBC" w:rsidRDefault="007C1024"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756DD8F3" w:rsidR="0088086B" w:rsidRPr="007A5BBC" w:rsidRDefault="007C1024"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1228E209" w:rsidR="0088086B" w:rsidRPr="007A5BBC" w:rsidRDefault="007C1024"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457426BF" w:rsidR="0088086B" w:rsidRPr="007A5BBC" w:rsidRDefault="007C1024"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13FF3F10" w:rsidR="0088086B" w:rsidRPr="007A5BBC" w:rsidRDefault="007C1024"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4222FBD7" w:rsidR="0088086B" w:rsidRPr="007A5BBC" w:rsidRDefault="007C1024"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53243554" w:rsidR="0088086B" w:rsidRPr="007A5BBC" w:rsidRDefault="007C1024"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2F1EC9A2" w:rsidR="0088086B" w:rsidRPr="007A5BBC" w:rsidRDefault="007C1024"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4B2A17D4" w:rsidR="0088086B" w:rsidRPr="007A5BBC" w:rsidRDefault="007C1024"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28E100E6" w:rsidR="0088086B" w:rsidRPr="007A5BBC" w:rsidRDefault="007C1024"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5AEC4C13" w:rsidR="0088086B" w:rsidRPr="007A5BBC" w:rsidRDefault="007C1024"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362F4A8C" w:rsidR="0088086B" w:rsidRPr="007A5BBC" w:rsidRDefault="007C1024"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4F4BA7F0" w:rsidR="0088086B" w:rsidRPr="007A5BBC" w:rsidRDefault="007C1024"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24767C2E" w:rsidR="0088086B" w:rsidRPr="007A5BBC" w:rsidRDefault="007C1024"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7086A9F4" w:rsidR="0088086B" w:rsidRPr="007A5BBC" w:rsidRDefault="007C1024"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7932ED26" w:rsidR="0088086B" w:rsidRPr="007A5BBC" w:rsidRDefault="007C1024"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31C0C038" w:rsidR="0088086B" w:rsidRPr="007A5BBC" w:rsidRDefault="007C1024"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4A9AF019" w:rsidR="0088086B" w:rsidRPr="007A5BBC" w:rsidRDefault="007C1024"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34F9BB0F" w:rsidR="0088086B" w:rsidRPr="007A5BBC" w:rsidRDefault="007C1024"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6B8A0F54" w:rsidR="0088086B" w:rsidRPr="007A5BBC" w:rsidRDefault="007C1024"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2A7B0466" w:rsidR="0088086B" w:rsidRPr="007A5BBC" w:rsidRDefault="007C1024"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4C6492B3" w:rsidR="0088086B" w:rsidRPr="007A5BBC" w:rsidRDefault="007C1024"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495CA81B" w:rsidR="0088086B" w:rsidRPr="007A5BBC" w:rsidRDefault="007C1024"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02A9EDCD" w:rsidR="0088086B" w:rsidRPr="007A5BBC" w:rsidRDefault="007C1024"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4C148AB8" w:rsidR="0088086B" w:rsidRPr="007A5BBC" w:rsidRDefault="007C1024"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4B1A85FE" w:rsidR="0088086B" w:rsidRPr="007A5BBC" w:rsidRDefault="007C1024"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53934740" w:rsidR="0088086B" w:rsidRPr="007A5BBC" w:rsidRDefault="007C1024"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54214441" w:rsidR="0088086B" w:rsidRPr="007A5BBC" w:rsidRDefault="007C1024"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1B4461EF" w:rsidR="0088086B" w:rsidRPr="007A5BBC" w:rsidRDefault="007C1024"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296DCC04" w:rsidR="0088086B" w:rsidRPr="007A5BBC" w:rsidRDefault="007C1024"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74388626" w:rsidR="0088086B" w:rsidRPr="007A5BBC" w:rsidRDefault="007C1024"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377F51B2" w:rsidR="0088086B" w:rsidRPr="007A5BBC" w:rsidRDefault="007C1024"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2A6DF71A" w:rsidR="0088086B" w:rsidRPr="007A5BBC" w:rsidRDefault="007C1024"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57AD6754" w:rsidR="0088086B" w:rsidRPr="007A5BBC" w:rsidRDefault="007C1024"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3261D4E9" w:rsidR="0088086B" w:rsidRPr="007A5BBC" w:rsidRDefault="007C1024"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6E31CEDA" w:rsidR="0088086B" w:rsidRPr="007A5BBC" w:rsidRDefault="007C1024"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07D963BB" w:rsidR="0088086B" w:rsidRPr="007A5BBC" w:rsidRDefault="007C1024"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39D3AB04" w:rsidR="0088086B" w:rsidRPr="007A5BBC" w:rsidRDefault="007C1024"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08548722" w:rsidR="0088086B" w:rsidRPr="007A5BBC" w:rsidRDefault="007C1024"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2DD0CC30" w:rsidR="0088086B" w:rsidRPr="007A5BBC" w:rsidRDefault="007C1024"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3E36270D" w:rsidR="0088086B" w:rsidRPr="007A5BBC" w:rsidRDefault="007C1024"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3E8500DA" w:rsidR="0088086B" w:rsidRPr="007A5BBC" w:rsidRDefault="007C1024"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0F7E90F4" w:rsidR="0088086B" w:rsidRPr="007A5BBC" w:rsidRDefault="007C1024"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058B8762" w:rsidR="0088086B" w:rsidRPr="007A5BBC" w:rsidRDefault="007C1024"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54D56A8E" w:rsidR="0088086B" w:rsidRPr="007A5BBC" w:rsidRDefault="007C1024"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1A65AD05" w:rsidR="0088086B" w:rsidRPr="007A5BBC" w:rsidRDefault="007C1024"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49AB4DB7" w:rsidR="0088086B" w:rsidRPr="007A5BBC" w:rsidRDefault="007C1024"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4BD14876" w:rsidR="0088086B" w:rsidRPr="007A5BBC" w:rsidRDefault="007C1024"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36D5AEAF" w:rsidR="0088086B" w:rsidRPr="007A5BBC" w:rsidRDefault="007C1024"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3E9B44EB" w:rsidR="0088086B" w:rsidRPr="007A5BBC" w:rsidRDefault="007C1024"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65AFC0F0" w:rsidR="0088086B" w:rsidRPr="007A5BBC" w:rsidRDefault="007C1024"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2289A1AA" w:rsidR="0088086B" w:rsidRPr="007A5BBC" w:rsidRDefault="007C1024"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150BAE82" w:rsidR="0088086B" w:rsidRPr="007A5BBC" w:rsidRDefault="007C1024"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7C326A18" w:rsidR="0088086B" w:rsidRPr="007A5BBC" w:rsidRDefault="007C1024"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351D15C1" w:rsidR="0088086B" w:rsidRPr="007A5BBC" w:rsidRDefault="007C1024"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37D84A7B" w:rsidR="0088086B" w:rsidRPr="007A5BBC" w:rsidRDefault="007C1024"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FAE2174" w:rsidR="0088086B" w:rsidRPr="007A5BBC" w:rsidRDefault="007C1024"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56465800" w:rsidR="0088086B" w:rsidRPr="007A5BBC" w:rsidRDefault="007C1024"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63AAD163" w:rsidR="0088086B" w:rsidRPr="007A5BBC" w:rsidRDefault="007C1024"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2B2FB78E" w:rsidR="0088086B" w:rsidRPr="007A5BBC" w:rsidRDefault="007C1024"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60A18E56" w:rsidR="0088086B" w:rsidRPr="007A5BBC" w:rsidRDefault="007C1024"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30DE6B96" w:rsidR="0088086B" w:rsidRPr="007A5BBC" w:rsidRDefault="007C1024"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5FD21402" w:rsidR="0088086B" w:rsidRPr="007A5BBC" w:rsidRDefault="007C1024"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19568B9D" w:rsidR="0088086B" w:rsidRPr="007A5BBC" w:rsidRDefault="007C1024"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2836B551" w:rsidR="0088086B" w:rsidRPr="007A5BBC" w:rsidRDefault="007C1024"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55D6AF81" w:rsidR="0088086B" w:rsidRPr="007A5BBC" w:rsidRDefault="007C1024"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2817C1DB" w:rsidR="0088086B" w:rsidRPr="007A5BBC" w:rsidRDefault="007C1024"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274A7CE" w:rsidR="0088086B" w:rsidRPr="007A5BBC" w:rsidRDefault="007C1024"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40565AFC" w:rsidR="0088086B" w:rsidRPr="007A5BBC" w:rsidRDefault="007C1024"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4BED4485" w:rsidR="0088086B" w:rsidRPr="007A5BBC" w:rsidRDefault="007C1024"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686A8D63" w:rsidR="0088086B" w:rsidRPr="007A5BBC" w:rsidRDefault="007C1024"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5ABEFE75" w:rsidR="0088086B" w:rsidRPr="007A5BBC" w:rsidRDefault="007C1024"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6C34B321" w:rsidR="0088086B" w:rsidRPr="007A5BBC" w:rsidRDefault="007C1024"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3CC8F705" w:rsidR="0088086B" w:rsidRPr="007A5BBC" w:rsidRDefault="007C1024"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04B94260" w:rsidR="0088086B" w:rsidRPr="007A5BBC" w:rsidRDefault="007C1024"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42D71778" w:rsidR="0088086B" w:rsidRDefault="007C1024"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50AC2FAF" w14:textId="77777777" w:rsidR="00E24A7E" w:rsidRDefault="00E24A7E" w:rsidP="0091145C">
      <w:pPr>
        <w:ind w:left="1080" w:hanging="360"/>
        <w:rPr>
          <w:rFonts w:ascii="Times New Roman" w:hAnsi="Times New Roman"/>
          <w:szCs w:val="24"/>
        </w:rPr>
      </w:pPr>
    </w:p>
    <w:p w14:paraId="4D188CD2" w14:textId="5B57CCBF" w:rsidR="0091145C" w:rsidRPr="00E24A7E" w:rsidRDefault="007D61B0" w:rsidP="00E24A7E">
      <w:pPr>
        <w:pStyle w:val="Heading2"/>
        <w:numPr>
          <w:ilvl w:val="0"/>
          <w:numId w:val="0"/>
        </w:numPr>
        <w:ind w:left="432"/>
        <w:rPr>
          <w:color w:val="000000" w:themeColor="text1"/>
        </w:rPr>
      </w:pPr>
      <w:bookmarkStart w:id="6654" w:name="_Toc79700344"/>
      <w:bookmarkStart w:id="6655" w:name="_Toc79700666"/>
      <w:bookmarkStart w:id="6656" w:name="_Toc90983850"/>
      <w:r w:rsidRPr="00E24A7E">
        <w:rPr>
          <w:rStyle w:val="Hyperlink"/>
          <w:color w:val="000000" w:themeColor="text1"/>
          <w:u w:val="none"/>
        </w:rPr>
        <w:t>F</w:t>
      </w:r>
      <w:r w:rsidR="0091145C" w:rsidRPr="00E24A7E">
        <w:rPr>
          <w:rStyle w:val="Hyperlink"/>
          <w:color w:val="000000" w:themeColor="text1"/>
          <w:u w:val="none"/>
        </w:rPr>
        <w:t>.2.</w:t>
      </w:r>
      <w:r w:rsidR="0091145C" w:rsidRPr="00E24A7E">
        <w:rPr>
          <w:rStyle w:val="Hyperlink"/>
          <w:color w:val="000000" w:themeColor="text1"/>
          <w:u w:val="none"/>
        </w:rPr>
        <w:tab/>
        <w:t>Statutory Provisions</w:t>
      </w:r>
      <w:bookmarkEnd w:id="6654"/>
      <w:bookmarkEnd w:id="6655"/>
      <w:bookmarkEnd w:id="6656"/>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6657" w:name="UPart1"/>
      <w:r w:rsidRPr="007A5BBC">
        <w:rPr>
          <w:rFonts w:ascii="Times New Roman" w:hAnsi="Times New Roman"/>
          <w:szCs w:val="24"/>
        </w:rPr>
        <w:t xml:space="preserve">Part 1 </w:t>
      </w:r>
      <w:bookmarkEnd w:id="6657"/>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6658" w:name="USubpart1"/>
      <w:r w:rsidRPr="007A5BBC">
        <w:rPr>
          <w:rFonts w:ascii="Times New Roman" w:hAnsi="Times New Roman"/>
          <w:szCs w:val="24"/>
        </w:rPr>
        <w:t>SubP</w:t>
      </w:r>
      <w:r w:rsidR="0088086B" w:rsidRPr="007A5BBC">
        <w:rPr>
          <w:rFonts w:ascii="Times New Roman" w:hAnsi="Times New Roman"/>
          <w:szCs w:val="24"/>
        </w:rPr>
        <w:t>art 1</w:t>
      </w:r>
      <w:bookmarkEnd w:id="6658"/>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6659" w:name="U9101"/>
      <w:r w:rsidRPr="007A5BBC">
        <w:rPr>
          <w:rFonts w:ascii="Times New Roman" w:hAnsi="Times New Roman"/>
          <w:szCs w:val="24"/>
        </w:rPr>
        <w:t>Section 9-101</w:t>
      </w:r>
      <w:bookmarkEnd w:id="6659"/>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6660" w:name="U9102"/>
      <w:r w:rsidRPr="007A5BBC">
        <w:rPr>
          <w:rFonts w:ascii="Times New Roman" w:hAnsi="Times New Roman"/>
          <w:szCs w:val="24"/>
        </w:rPr>
        <w:t>Section 9-102</w:t>
      </w:r>
      <w:bookmarkEnd w:id="6660"/>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secured by the goods or owed under a lease of the goods and includes a monetary obligation with respect to software used in the goods. The term does not include </w:t>
      </w:r>
    </w:p>
    <w:p w14:paraId="502AD7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charters or other contracts involving the use or hire of a vessel or </w:t>
      </w:r>
    </w:p>
    <w:p w14:paraId="16A340E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consist of raw materials, work in process, or materials used or consumed in a business. </w:t>
      </w:r>
    </w:p>
    <w:p w14:paraId="368881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(58) "Noncash proceeds" means proceeds other than cash proceeds. </w:t>
      </w:r>
    </w:p>
    <w:p w14:paraId="318867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(59) "Obligor" means a person that, with respect to an obligation secured by a security interest in or an agricultural lien on the collateral, </w:t>
      </w:r>
    </w:p>
    <w:p w14:paraId="58EFCB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remedy against that cooperative interest if such amounts are not paid is a security agreement creating a cooperative organization security interest.</w:t>
      </w:r>
    </w:p>
    <w:p w14:paraId="4F480C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6661" w:name="U9103"/>
      <w:r w:rsidRPr="007A5BBC">
        <w:rPr>
          <w:rFonts w:ascii="Times New Roman" w:hAnsi="Times New Roman"/>
          <w:szCs w:val="24"/>
        </w:rPr>
        <w:t>Section 9-103</w:t>
      </w:r>
      <w:bookmarkEnd w:id="6661"/>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the extent that the goods are purchase-money collateral with respect to that security interest;</w:t>
      </w:r>
    </w:p>
    <w:p w14:paraId="463F3D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purchase-money obligation has been renewed, refinanced, consolidated, or restructured.</w:t>
      </w:r>
    </w:p>
    <w:p w14:paraId="560050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6662" w:name="U9104"/>
      <w:r w:rsidRPr="007A5BBC">
        <w:rPr>
          <w:rFonts w:ascii="Times New Roman" w:hAnsi="Times New Roman"/>
          <w:szCs w:val="24"/>
        </w:rPr>
        <w:t>Section 9-104</w:t>
      </w:r>
      <w:bookmarkEnd w:id="6662"/>
      <w:r w:rsidRPr="007A5BBC">
        <w:rPr>
          <w:rFonts w:ascii="Times New Roman" w:hAnsi="Times New Roman"/>
          <w:szCs w:val="24"/>
        </w:rPr>
        <w:t>: Control of Deposit Account</w:t>
      </w:r>
    </w:p>
    <w:p w14:paraId="65EA3E1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becomes the bank's customer with respect to the deposit account.</w:t>
      </w:r>
    </w:p>
    <w:p w14:paraId="4E700EE8" w14:textId="77777777" w:rsidR="0088086B" w:rsidRPr="007A5BBC" w:rsidRDefault="0088086B" w:rsidP="0088086B">
      <w:pPr>
        <w:tabs>
          <w:tab w:val="left" w:pos="540"/>
          <w:tab w:val="left" w:pos="1080"/>
        </w:tabs>
        <w:ind w:left="540"/>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6663" w:name="U9105"/>
      <w:r w:rsidRPr="007A5BBC">
        <w:rPr>
          <w:rFonts w:ascii="Times New Roman" w:hAnsi="Times New Roman"/>
          <w:szCs w:val="24"/>
        </w:rPr>
        <w:t>Section 9-105</w:t>
      </w:r>
      <w:bookmarkEnd w:id="6663"/>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6664" w:name="U9106"/>
      <w:r w:rsidRPr="007A5BBC">
        <w:rPr>
          <w:rFonts w:ascii="Times New Roman" w:hAnsi="Times New Roman"/>
          <w:szCs w:val="24"/>
        </w:rPr>
        <w:t>Section 9-106</w:t>
      </w:r>
      <w:bookmarkEnd w:id="6664"/>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6665" w:name="U9107"/>
      <w:r w:rsidRPr="007A5BBC">
        <w:rPr>
          <w:rFonts w:ascii="Times New Roman" w:hAnsi="Times New Roman"/>
          <w:szCs w:val="24"/>
        </w:rPr>
        <w:t>Section 9-107</w:t>
      </w:r>
      <w:bookmarkEnd w:id="6665"/>
      <w:r w:rsidRPr="007A5BBC">
        <w:rPr>
          <w:rFonts w:ascii="Times New Roman" w:hAnsi="Times New Roman"/>
          <w:szCs w:val="24"/>
        </w:rPr>
        <w:t>: Control of Letter-of-credit Right</w:t>
      </w:r>
    </w:p>
    <w:p w14:paraId="30EFB29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6666" w:name="U9108"/>
      <w:r w:rsidRPr="007A5BBC">
        <w:rPr>
          <w:rFonts w:ascii="Times New Roman" w:hAnsi="Times New Roman"/>
          <w:szCs w:val="24"/>
        </w:rPr>
        <w:t>Section 9-108</w:t>
      </w:r>
      <w:bookmarkEnd w:id="6666"/>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6667" w:name="USubpart2"/>
      <w:r w:rsidRPr="007A5BBC">
        <w:rPr>
          <w:rFonts w:ascii="Times New Roman" w:hAnsi="Times New Roman"/>
          <w:szCs w:val="24"/>
        </w:rPr>
        <w:t>SubPart</w:t>
      </w:r>
      <w:r w:rsidR="0088086B" w:rsidRPr="007A5BBC">
        <w:rPr>
          <w:rFonts w:ascii="Times New Roman" w:hAnsi="Times New Roman"/>
          <w:szCs w:val="24"/>
        </w:rPr>
        <w:t xml:space="preserve"> 2</w:t>
      </w:r>
      <w:bookmarkEnd w:id="6667"/>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6668" w:name="U9109"/>
      <w:r w:rsidRPr="007A5BBC">
        <w:rPr>
          <w:rFonts w:ascii="Times New Roman" w:hAnsi="Times New Roman"/>
          <w:szCs w:val="24"/>
        </w:rPr>
        <w:t>Section 9-109</w:t>
      </w:r>
      <w:bookmarkEnd w:id="6668"/>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6669" w:name="U9110"/>
      <w:r w:rsidRPr="007A5BBC">
        <w:rPr>
          <w:rFonts w:ascii="Times New Roman" w:hAnsi="Times New Roman"/>
          <w:szCs w:val="24"/>
        </w:rPr>
        <w:t>Section 9-110</w:t>
      </w:r>
      <w:bookmarkEnd w:id="6669"/>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6670" w:name="UPart2"/>
      <w:r w:rsidRPr="007A5BBC">
        <w:rPr>
          <w:rFonts w:ascii="Times New Roman" w:hAnsi="Times New Roman"/>
          <w:szCs w:val="24"/>
        </w:rPr>
        <w:t>Part 2</w:t>
      </w:r>
      <w:bookmarkEnd w:id="6670"/>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6671" w:name="U9201"/>
      <w:r w:rsidRPr="007A5BBC">
        <w:rPr>
          <w:rFonts w:ascii="Times New Roman" w:hAnsi="Times New Roman"/>
          <w:szCs w:val="24"/>
        </w:rPr>
        <w:t>Section 9-201</w:t>
      </w:r>
      <w:bookmarkEnd w:id="6671"/>
      <w:r w:rsidRPr="007A5BBC">
        <w:rPr>
          <w:rFonts w:ascii="Times New Roman" w:hAnsi="Times New Roman"/>
          <w:szCs w:val="24"/>
        </w:rPr>
        <w:t>. General Effectiveness of Security Agreement.</w:t>
      </w:r>
    </w:p>
    <w:p w14:paraId="4A1099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6672" w:name="U9202"/>
      <w:r w:rsidRPr="007A5BBC">
        <w:rPr>
          <w:rFonts w:ascii="Times New Roman" w:hAnsi="Times New Roman"/>
          <w:szCs w:val="24"/>
        </w:rPr>
        <w:t>Section 9-202</w:t>
      </w:r>
      <w:bookmarkEnd w:id="6672"/>
      <w:r w:rsidRPr="007A5BBC">
        <w:rPr>
          <w:rFonts w:ascii="Times New Roman" w:hAnsi="Times New Roman"/>
          <w:szCs w:val="24"/>
        </w:rPr>
        <w:t>. Title to Collateral Immaterial.</w:t>
      </w:r>
    </w:p>
    <w:p w14:paraId="02E3CF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6673" w:name="U9203"/>
      <w:r w:rsidRPr="007A5BBC">
        <w:rPr>
          <w:rFonts w:ascii="Times New Roman" w:hAnsi="Times New Roman"/>
          <w:szCs w:val="24"/>
        </w:rPr>
        <w:t>Section 9-203</w:t>
      </w:r>
      <w:bookmarkEnd w:id="6673"/>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6674" w:name="U9204"/>
      <w:r w:rsidRPr="007A5BBC">
        <w:rPr>
          <w:rFonts w:ascii="Times New Roman" w:hAnsi="Times New Roman"/>
          <w:szCs w:val="24"/>
        </w:rPr>
        <w:t>Section 9-204</w:t>
      </w:r>
      <w:bookmarkEnd w:id="6674"/>
      <w:r w:rsidRPr="007A5BBC">
        <w:rPr>
          <w:rFonts w:ascii="Times New Roman" w:hAnsi="Times New Roman"/>
          <w:szCs w:val="24"/>
        </w:rPr>
        <w:t>. After-acquired Property; Future Advances.</w:t>
      </w:r>
    </w:p>
    <w:p w14:paraId="18316D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6675" w:name="U9205"/>
      <w:r w:rsidRPr="007A5BBC">
        <w:rPr>
          <w:rFonts w:ascii="Times New Roman" w:hAnsi="Times New Roman"/>
          <w:szCs w:val="24"/>
        </w:rPr>
        <w:t>Section 9-205</w:t>
      </w:r>
      <w:bookmarkEnd w:id="6675"/>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6676" w:name="U9206"/>
      <w:r w:rsidRPr="007A5BBC">
        <w:rPr>
          <w:rFonts w:ascii="Times New Roman" w:hAnsi="Times New Roman"/>
          <w:szCs w:val="24"/>
        </w:rPr>
        <w:t>Section 9-206</w:t>
      </w:r>
      <w:bookmarkEnd w:id="6676"/>
      <w:r w:rsidRPr="007A5BBC">
        <w:rPr>
          <w:rFonts w:ascii="Times New Roman" w:hAnsi="Times New Roman"/>
          <w:szCs w:val="24"/>
        </w:rPr>
        <w:t>. Security Interest Arising in Purchase or Delivery of Financial Asset.</w:t>
      </w:r>
    </w:p>
    <w:p w14:paraId="354EA9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6677"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6677"/>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6678" w:name="U9207"/>
      <w:r w:rsidRPr="007A5BBC">
        <w:rPr>
          <w:rFonts w:ascii="Times New Roman" w:hAnsi="Times New Roman"/>
          <w:szCs w:val="24"/>
        </w:rPr>
        <w:t>Section 9-207</w:t>
      </w:r>
      <w:bookmarkEnd w:id="6678"/>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88086B">
      <w:pPr>
        <w:tabs>
          <w:tab w:val="left" w:pos="360"/>
          <w:tab w:val="left" w:pos="900"/>
        </w:tabs>
        <w:rPr>
          <w:rFonts w:ascii="Times New Roman" w:hAnsi="Times New Roman"/>
          <w:szCs w:val="24"/>
        </w:rPr>
      </w:pPr>
    </w:p>
    <w:p w14:paraId="5323E8B7" w14:textId="77777777" w:rsidR="0088086B" w:rsidRPr="007A5BBC" w:rsidRDefault="0088086B" w:rsidP="0088086B">
      <w:pPr>
        <w:tabs>
          <w:tab w:val="left" w:pos="360"/>
          <w:tab w:val="left" w:pos="900"/>
        </w:tabs>
        <w:rPr>
          <w:rFonts w:ascii="Times New Roman" w:hAnsi="Times New Roman"/>
          <w:szCs w:val="24"/>
        </w:rPr>
      </w:pPr>
      <w:bookmarkStart w:id="6679" w:name="U9208"/>
      <w:r w:rsidRPr="007A5BBC">
        <w:rPr>
          <w:rFonts w:ascii="Times New Roman" w:hAnsi="Times New Roman"/>
          <w:szCs w:val="24"/>
        </w:rPr>
        <w:t>Section 9-208</w:t>
      </w:r>
      <w:bookmarkEnd w:id="6679"/>
      <w:r w:rsidRPr="007A5BBC">
        <w:rPr>
          <w:rFonts w:ascii="Times New Roman" w:hAnsi="Times New Roman"/>
          <w:szCs w:val="24"/>
        </w:rPr>
        <w:t>: Additional Duties of Secured Party Having Control of Collateral</w:t>
      </w:r>
    </w:p>
    <w:p w14:paraId="23A38B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88086B">
      <w:pPr>
        <w:tabs>
          <w:tab w:val="left" w:pos="360"/>
          <w:tab w:val="left" w:pos="900"/>
        </w:tabs>
        <w:rPr>
          <w:rFonts w:ascii="Times New Roman" w:hAnsi="Times New Roman"/>
          <w:szCs w:val="24"/>
        </w:rPr>
      </w:pPr>
      <w:bookmarkStart w:id="6680" w:name="U9209"/>
      <w:r w:rsidRPr="007A5BBC">
        <w:rPr>
          <w:rFonts w:ascii="Times New Roman" w:hAnsi="Times New Roman"/>
          <w:szCs w:val="24"/>
        </w:rPr>
        <w:t>Section 9-209</w:t>
      </w:r>
      <w:bookmarkEnd w:id="6680"/>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88086B">
      <w:pPr>
        <w:tabs>
          <w:tab w:val="left" w:pos="360"/>
          <w:tab w:val="left" w:pos="900"/>
        </w:tabs>
        <w:rPr>
          <w:rFonts w:ascii="Times New Roman" w:hAnsi="Times New Roman"/>
          <w:szCs w:val="24"/>
        </w:rPr>
      </w:pPr>
      <w:bookmarkStart w:id="6681" w:name="U9210"/>
      <w:r w:rsidRPr="007A5BBC">
        <w:rPr>
          <w:rFonts w:ascii="Times New Roman" w:hAnsi="Times New Roman"/>
          <w:szCs w:val="24"/>
        </w:rPr>
        <w:t>Section 9-210</w:t>
      </w:r>
      <w:bookmarkEnd w:id="6681"/>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"Request regarding a list of collateral" means a record authenticated by a debtor requesting that the recipient approve or correct a list of what the debtor believes to be the collateral securing an obligation and reasonably identifying the transaction or relationship that is the subject of the request.</w:t>
      </w:r>
    </w:p>
    <w:p w14:paraId="65511C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6682" w:name="UPart3"/>
      <w:r w:rsidRPr="007A5BBC">
        <w:rPr>
          <w:rFonts w:ascii="Times New Roman" w:hAnsi="Times New Roman"/>
          <w:szCs w:val="24"/>
        </w:rPr>
        <w:t>Part 3</w:t>
      </w:r>
      <w:bookmarkEnd w:id="6682"/>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6683" w:name="U9301"/>
      <w:r w:rsidRPr="007A5BBC">
        <w:rPr>
          <w:rFonts w:ascii="Times New Roman" w:hAnsi="Times New Roman"/>
          <w:szCs w:val="24"/>
        </w:rPr>
        <w:t>Section 9-301</w:t>
      </w:r>
      <w:bookmarkEnd w:id="6683"/>
      <w:r w:rsidRPr="007A5BBC">
        <w:rPr>
          <w:rFonts w:ascii="Times New Roman" w:hAnsi="Times New Roman"/>
          <w:szCs w:val="24"/>
        </w:rPr>
        <w:t>: Law Governing Perfection and Priority of Security Interests</w:t>
      </w:r>
    </w:p>
    <w:p w14:paraId="3A201A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6684" w:name="U9302"/>
      <w:r w:rsidRPr="007A5BBC">
        <w:rPr>
          <w:rFonts w:ascii="Times New Roman" w:hAnsi="Times New Roman"/>
          <w:szCs w:val="24"/>
        </w:rPr>
        <w:t>Section 9-302</w:t>
      </w:r>
      <w:bookmarkEnd w:id="6684"/>
      <w:r w:rsidRPr="007A5BBC">
        <w:rPr>
          <w:rFonts w:ascii="Times New Roman" w:hAnsi="Times New Roman"/>
          <w:szCs w:val="24"/>
        </w:rPr>
        <w:t>: Law Governing Perfection and Priority of Agricultural Liens</w:t>
      </w:r>
    </w:p>
    <w:p w14:paraId="2366F3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88086B">
      <w:pPr>
        <w:tabs>
          <w:tab w:val="left" w:pos="360"/>
          <w:tab w:val="left" w:pos="900"/>
        </w:tabs>
        <w:rPr>
          <w:rFonts w:ascii="Times New Roman" w:hAnsi="Times New Roman"/>
          <w:szCs w:val="24"/>
        </w:rPr>
      </w:pPr>
    </w:p>
    <w:p w14:paraId="2C03BA17" w14:textId="77777777" w:rsidR="0088086B" w:rsidRPr="007A5BBC" w:rsidRDefault="0088086B" w:rsidP="0088086B">
      <w:pPr>
        <w:tabs>
          <w:tab w:val="left" w:pos="360"/>
          <w:tab w:val="left" w:pos="900"/>
        </w:tabs>
        <w:rPr>
          <w:rFonts w:ascii="Times New Roman" w:hAnsi="Times New Roman"/>
          <w:szCs w:val="24"/>
        </w:rPr>
      </w:pPr>
      <w:bookmarkStart w:id="6685" w:name="U9303"/>
      <w:r w:rsidRPr="007A5BBC">
        <w:rPr>
          <w:rFonts w:ascii="Times New Roman" w:hAnsi="Times New Roman"/>
          <w:szCs w:val="24"/>
        </w:rPr>
        <w:t>Section 9-303</w:t>
      </w:r>
      <w:bookmarkEnd w:id="6685"/>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88086B">
      <w:pPr>
        <w:tabs>
          <w:tab w:val="left" w:pos="360"/>
          <w:tab w:val="left" w:pos="900"/>
        </w:tabs>
        <w:rPr>
          <w:rFonts w:ascii="Times New Roman" w:hAnsi="Times New Roman"/>
          <w:szCs w:val="24"/>
        </w:rPr>
      </w:pPr>
    </w:p>
    <w:p w14:paraId="3E3C58BE" w14:textId="77777777" w:rsidR="0088086B" w:rsidRPr="007A5BBC" w:rsidRDefault="0088086B" w:rsidP="0088086B">
      <w:pPr>
        <w:tabs>
          <w:tab w:val="left" w:pos="360"/>
          <w:tab w:val="left" w:pos="900"/>
        </w:tabs>
        <w:rPr>
          <w:rFonts w:ascii="Times New Roman" w:hAnsi="Times New Roman"/>
          <w:szCs w:val="24"/>
        </w:rPr>
      </w:pPr>
      <w:bookmarkStart w:id="6686" w:name="U9304"/>
      <w:r w:rsidRPr="007A5BBC">
        <w:rPr>
          <w:rFonts w:ascii="Times New Roman" w:hAnsi="Times New Roman"/>
          <w:szCs w:val="24"/>
        </w:rPr>
        <w:t>Section 9-304</w:t>
      </w:r>
      <w:bookmarkEnd w:id="6686"/>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88086B">
      <w:pPr>
        <w:tabs>
          <w:tab w:val="left" w:pos="360"/>
          <w:tab w:val="left" w:pos="900"/>
        </w:tabs>
        <w:rPr>
          <w:rFonts w:ascii="Times New Roman" w:hAnsi="Times New Roman"/>
          <w:szCs w:val="24"/>
        </w:rPr>
      </w:pPr>
    </w:p>
    <w:p w14:paraId="6A07E8ED" w14:textId="77777777" w:rsidR="0088086B" w:rsidRPr="007A5BBC" w:rsidRDefault="0088086B" w:rsidP="0088086B">
      <w:pPr>
        <w:tabs>
          <w:tab w:val="left" w:pos="360"/>
          <w:tab w:val="left" w:pos="900"/>
        </w:tabs>
        <w:rPr>
          <w:rFonts w:ascii="Times New Roman" w:hAnsi="Times New Roman"/>
          <w:szCs w:val="24"/>
        </w:rPr>
      </w:pPr>
      <w:bookmarkStart w:id="6687" w:name="U9305"/>
      <w:r w:rsidRPr="007A5BBC">
        <w:rPr>
          <w:rFonts w:ascii="Times New Roman" w:hAnsi="Times New Roman"/>
          <w:szCs w:val="24"/>
        </w:rPr>
        <w:t>Section 9-305</w:t>
      </w:r>
      <w:bookmarkEnd w:id="6687"/>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a security interest in investment property by filing;</w:t>
      </w:r>
    </w:p>
    <w:p w14:paraId="2D1D00A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88086B">
      <w:pPr>
        <w:tabs>
          <w:tab w:val="left" w:pos="360"/>
          <w:tab w:val="left" w:pos="900"/>
        </w:tabs>
        <w:rPr>
          <w:rFonts w:ascii="Times New Roman" w:hAnsi="Times New Roman"/>
          <w:szCs w:val="24"/>
        </w:rPr>
      </w:pPr>
    </w:p>
    <w:p w14:paraId="6BFD7342" w14:textId="77777777" w:rsidR="0088086B" w:rsidRPr="007A5BBC" w:rsidRDefault="0088086B" w:rsidP="0088086B">
      <w:pPr>
        <w:tabs>
          <w:tab w:val="left" w:pos="360"/>
          <w:tab w:val="left" w:pos="900"/>
        </w:tabs>
        <w:rPr>
          <w:rFonts w:ascii="Times New Roman" w:hAnsi="Times New Roman"/>
          <w:szCs w:val="24"/>
        </w:rPr>
      </w:pPr>
      <w:bookmarkStart w:id="6688" w:name="U9306"/>
      <w:r w:rsidRPr="007A5BBC">
        <w:rPr>
          <w:rFonts w:ascii="Times New Roman" w:hAnsi="Times New Roman"/>
          <w:szCs w:val="24"/>
        </w:rPr>
        <w:t>Section 9-306</w:t>
      </w:r>
      <w:bookmarkEnd w:id="6688"/>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issuer's or nominated person's jurisdiction. Subject to subsection (c), the local law of the issuer's jurisdiction or a nominated person's jurisdiction governs perfection, 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88086B">
      <w:pPr>
        <w:tabs>
          <w:tab w:val="left" w:pos="360"/>
          <w:tab w:val="left" w:pos="900"/>
        </w:tabs>
        <w:rPr>
          <w:rFonts w:ascii="Times New Roman" w:hAnsi="Times New Roman"/>
          <w:szCs w:val="24"/>
        </w:rPr>
      </w:pPr>
    </w:p>
    <w:p w14:paraId="105A15C4" w14:textId="77777777" w:rsidR="0088086B" w:rsidRPr="007A5BBC" w:rsidRDefault="0088086B" w:rsidP="0088086B">
      <w:pPr>
        <w:tabs>
          <w:tab w:val="left" w:pos="360"/>
          <w:tab w:val="left" w:pos="900"/>
        </w:tabs>
        <w:rPr>
          <w:rFonts w:ascii="Times New Roman" w:hAnsi="Times New Roman"/>
          <w:szCs w:val="24"/>
        </w:rPr>
      </w:pPr>
      <w:bookmarkStart w:id="6689" w:name="U9307"/>
      <w:r w:rsidRPr="007A5BBC">
        <w:rPr>
          <w:rFonts w:ascii="Times New Roman" w:hAnsi="Times New Roman"/>
          <w:szCs w:val="24"/>
        </w:rPr>
        <w:t>Section 9-307</w:t>
      </w:r>
      <w:bookmarkEnd w:id="6689"/>
      <w:r w:rsidRPr="007A5BBC">
        <w:rPr>
          <w:rFonts w:ascii="Times New Roman" w:hAnsi="Times New Roman"/>
          <w:szCs w:val="24"/>
        </w:rPr>
        <w:t>. Location of Debtor.</w:t>
      </w:r>
    </w:p>
    <w:p w14:paraId="6B01AA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state that the registered organization, branch, or agency designates, if the law of the United States authorizes the registered organization, branch, or agency to designate its state of location, including by designating its main office, home office, or other comparable office; or</w:t>
      </w:r>
    </w:p>
    <w:p w14:paraId="14A1902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88086B">
      <w:pPr>
        <w:rPr>
          <w:rFonts w:ascii="Times New Roman" w:hAnsi="Times New Roman"/>
          <w:szCs w:val="24"/>
        </w:rPr>
      </w:pPr>
    </w:p>
    <w:p w14:paraId="2E2A8393" w14:textId="27F5C605" w:rsidR="0088086B" w:rsidRPr="007A5BBC" w:rsidRDefault="00782EE6" w:rsidP="0088086B">
      <w:pPr>
        <w:jc w:val="center"/>
        <w:rPr>
          <w:rFonts w:ascii="Times New Roman" w:hAnsi="Times New Roman"/>
          <w:szCs w:val="24"/>
        </w:rPr>
      </w:pPr>
      <w:bookmarkStart w:id="6690"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6690"/>
      <w:r w:rsidR="0088086B" w:rsidRPr="007A5BBC">
        <w:rPr>
          <w:rFonts w:ascii="Times New Roman" w:hAnsi="Times New Roman"/>
          <w:szCs w:val="24"/>
        </w:rPr>
        <w:t>- PERFECTION</w:t>
      </w:r>
    </w:p>
    <w:p w14:paraId="30067BD7" w14:textId="77777777" w:rsidR="0088086B" w:rsidRPr="007A5BBC" w:rsidRDefault="0088086B" w:rsidP="0088086B">
      <w:pPr>
        <w:rPr>
          <w:rFonts w:ascii="Times New Roman" w:hAnsi="Times New Roman"/>
          <w:szCs w:val="24"/>
        </w:rPr>
      </w:pPr>
    </w:p>
    <w:p w14:paraId="03C9ADFE" w14:textId="77777777" w:rsidR="0088086B" w:rsidRPr="007A5BBC" w:rsidRDefault="0088086B" w:rsidP="0088086B">
      <w:pPr>
        <w:tabs>
          <w:tab w:val="left" w:pos="360"/>
          <w:tab w:val="left" w:pos="900"/>
        </w:tabs>
        <w:rPr>
          <w:rFonts w:ascii="Times New Roman" w:hAnsi="Times New Roman"/>
          <w:szCs w:val="24"/>
        </w:rPr>
      </w:pPr>
      <w:bookmarkStart w:id="6691" w:name="U9308"/>
      <w:r w:rsidRPr="007A5BBC">
        <w:rPr>
          <w:rFonts w:ascii="Times New Roman" w:hAnsi="Times New Roman"/>
          <w:szCs w:val="24"/>
        </w:rPr>
        <w:t>Section 9-308</w:t>
      </w:r>
      <w:bookmarkEnd w:id="6691"/>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88086B">
      <w:pPr>
        <w:tabs>
          <w:tab w:val="left" w:pos="360"/>
          <w:tab w:val="left" w:pos="900"/>
        </w:tabs>
        <w:rPr>
          <w:rFonts w:ascii="Times New Roman" w:hAnsi="Times New Roman"/>
          <w:szCs w:val="24"/>
        </w:rPr>
      </w:pPr>
    </w:p>
    <w:p w14:paraId="3791CD91" w14:textId="77777777" w:rsidR="0088086B" w:rsidRPr="007A5BBC" w:rsidRDefault="0088086B" w:rsidP="0088086B">
      <w:pPr>
        <w:tabs>
          <w:tab w:val="left" w:pos="360"/>
          <w:tab w:val="left" w:pos="900"/>
        </w:tabs>
        <w:rPr>
          <w:rFonts w:ascii="Times New Roman" w:hAnsi="Times New Roman"/>
          <w:szCs w:val="24"/>
        </w:rPr>
      </w:pPr>
      <w:bookmarkStart w:id="6692" w:name="U9309"/>
      <w:r w:rsidRPr="007A5BBC">
        <w:rPr>
          <w:rFonts w:ascii="Times New Roman" w:hAnsi="Times New Roman"/>
          <w:szCs w:val="24"/>
        </w:rPr>
        <w:t>Section 9-309</w:t>
      </w:r>
      <w:bookmarkEnd w:id="6692"/>
      <w:r w:rsidRPr="007A5BBC">
        <w:rPr>
          <w:rFonts w:ascii="Times New Roman" w:hAnsi="Times New Roman"/>
          <w:szCs w:val="24"/>
        </w:rPr>
        <w:t>. Security Interest Perfected upon Attachment.</w:t>
      </w:r>
    </w:p>
    <w:p w14:paraId="6F8805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a security interest created by an assignment of a beneficial interest in a decedent's estate; and </w:t>
      </w:r>
    </w:p>
    <w:p w14:paraId="7CA56B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88086B">
      <w:pPr>
        <w:tabs>
          <w:tab w:val="left" w:pos="360"/>
          <w:tab w:val="left" w:pos="900"/>
        </w:tabs>
        <w:rPr>
          <w:rFonts w:ascii="Times New Roman" w:hAnsi="Times New Roman"/>
          <w:szCs w:val="24"/>
        </w:rPr>
      </w:pPr>
    </w:p>
    <w:p w14:paraId="2532EF39" w14:textId="77777777" w:rsidR="0088086B" w:rsidRPr="007A5BBC" w:rsidRDefault="0088086B" w:rsidP="0088086B">
      <w:pPr>
        <w:tabs>
          <w:tab w:val="left" w:pos="360"/>
          <w:tab w:val="left" w:pos="900"/>
        </w:tabs>
        <w:rPr>
          <w:rFonts w:ascii="Times New Roman" w:hAnsi="Times New Roman"/>
          <w:szCs w:val="24"/>
        </w:rPr>
      </w:pPr>
      <w:bookmarkStart w:id="6693" w:name="U9310"/>
      <w:r w:rsidRPr="007A5BBC">
        <w:rPr>
          <w:rFonts w:ascii="Times New Roman" w:hAnsi="Times New Roman"/>
          <w:szCs w:val="24"/>
        </w:rPr>
        <w:t>Section 9-310</w:t>
      </w:r>
      <w:bookmarkEnd w:id="6693"/>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 certificated securities, documents, goods, or instruments which is perfected without filing, control, or possession under Section 9-312(e), (f), or (g);</w:t>
      </w:r>
    </w:p>
    <w:p w14:paraId="282FF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88086B">
      <w:pPr>
        <w:tabs>
          <w:tab w:val="left" w:pos="360"/>
          <w:tab w:val="left" w:pos="900"/>
        </w:tabs>
        <w:rPr>
          <w:rFonts w:ascii="Times New Roman" w:hAnsi="Times New Roman"/>
          <w:szCs w:val="24"/>
        </w:rPr>
      </w:pPr>
    </w:p>
    <w:p w14:paraId="080F1ADC" w14:textId="77777777" w:rsidR="0088086B" w:rsidRPr="007A5BBC" w:rsidRDefault="0088086B" w:rsidP="0088086B">
      <w:pPr>
        <w:tabs>
          <w:tab w:val="left" w:pos="360"/>
          <w:tab w:val="left" w:pos="900"/>
        </w:tabs>
        <w:rPr>
          <w:rFonts w:ascii="Times New Roman" w:hAnsi="Times New Roman"/>
          <w:szCs w:val="24"/>
        </w:rPr>
      </w:pPr>
      <w:bookmarkStart w:id="6694" w:name="U9311"/>
      <w:r w:rsidRPr="007A5BBC">
        <w:rPr>
          <w:rFonts w:ascii="Times New Roman" w:hAnsi="Times New Roman"/>
          <w:szCs w:val="24"/>
        </w:rPr>
        <w:t>Section 9-311</w:t>
      </w:r>
      <w:bookmarkEnd w:id="6694"/>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88086B">
      <w:pPr>
        <w:tabs>
          <w:tab w:val="left" w:pos="360"/>
          <w:tab w:val="left" w:pos="900"/>
        </w:tabs>
        <w:rPr>
          <w:rFonts w:ascii="Times New Roman" w:hAnsi="Times New Roman"/>
          <w:szCs w:val="24"/>
        </w:rPr>
      </w:pPr>
    </w:p>
    <w:p w14:paraId="0BBC93D1" w14:textId="77777777" w:rsidR="0088086B" w:rsidRPr="007A5BBC" w:rsidRDefault="0088086B" w:rsidP="0088086B">
      <w:pPr>
        <w:tabs>
          <w:tab w:val="left" w:pos="360"/>
          <w:tab w:val="left" w:pos="900"/>
        </w:tabs>
        <w:rPr>
          <w:rFonts w:ascii="Times New Roman" w:hAnsi="Times New Roman"/>
          <w:szCs w:val="24"/>
        </w:rPr>
      </w:pPr>
      <w:bookmarkStart w:id="6695" w:name="U9312"/>
      <w:r w:rsidRPr="007A5BBC">
        <w:rPr>
          <w:rFonts w:ascii="Times New Roman" w:hAnsi="Times New Roman"/>
          <w:szCs w:val="24"/>
        </w:rPr>
        <w:t>Section 9-312</w:t>
      </w:r>
      <w:bookmarkEnd w:id="6695"/>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and except as otherwise provided in Section 9-308(d), a security interest in a letter-of-credit right may be perfected only by control under Section 9-314; and</w:t>
      </w:r>
    </w:p>
    <w:p w14:paraId="2211C5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bailee's receipt of notification of the secured party's interest; or</w:t>
      </w:r>
    </w:p>
    <w:p w14:paraId="78FC2E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88086B">
      <w:pPr>
        <w:tabs>
          <w:tab w:val="left" w:pos="360"/>
          <w:tab w:val="left" w:pos="900"/>
        </w:tabs>
        <w:rPr>
          <w:rFonts w:ascii="Times New Roman" w:hAnsi="Times New Roman"/>
          <w:szCs w:val="24"/>
        </w:rPr>
      </w:pPr>
    </w:p>
    <w:p w14:paraId="58576E76" w14:textId="77777777" w:rsidR="0088086B" w:rsidRPr="007A5BBC" w:rsidRDefault="0088086B" w:rsidP="0088086B">
      <w:pPr>
        <w:tabs>
          <w:tab w:val="left" w:pos="360"/>
          <w:tab w:val="left" w:pos="900"/>
        </w:tabs>
        <w:rPr>
          <w:rFonts w:ascii="Times New Roman" w:hAnsi="Times New Roman"/>
          <w:szCs w:val="24"/>
        </w:rPr>
      </w:pPr>
      <w:bookmarkStart w:id="6696" w:name="U9313"/>
      <w:r w:rsidRPr="007A5BBC">
        <w:rPr>
          <w:rFonts w:ascii="Times New Roman" w:hAnsi="Times New Roman"/>
          <w:szCs w:val="24"/>
        </w:rPr>
        <w:t>Section 9-313</w:t>
      </w:r>
      <w:bookmarkEnd w:id="6696"/>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Collateral in possession of person other than debtor. With respect to collateral other than certificated securities and goods covered by a document, a secured party takes possession of 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hold possession of the collateral for the secured party's benefit; or </w:t>
      </w:r>
    </w:p>
    <w:p w14:paraId="4FA4D1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88086B">
      <w:pPr>
        <w:tabs>
          <w:tab w:val="left" w:pos="360"/>
          <w:tab w:val="left" w:pos="900"/>
        </w:tabs>
        <w:rPr>
          <w:rFonts w:ascii="Times New Roman" w:hAnsi="Times New Roman"/>
          <w:szCs w:val="24"/>
        </w:rPr>
      </w:pPr>
    </w:p>
    <w:p w14:paraId="59F63693" w14:textId="77777777" w:rsidR="0088086B" w:rsidRPr="007A5BBC" w:rsidRDefault="0088086B" w:rsidP="0088086B">
      <w:pPr>
        <w:tabs>
          <w:tab w:val="left" w:pos="360"/>
          <w:tab w:val="left" w:pos="900"/>
        </w:tabs>
        <w:rPr>
          <w:rFonts w:ascii="Times New Roman" w:hAnsi="Times New Roman"/>
          <w:szCs w:val="24"/>
        </w:rPr>
      </w:pPr>
      <w:bookmarkStart w:id="6697" w:name="U9314"/>
      <w:r w:rsidRPr="007A5BBC">
        <w:rPr>
          <w:rFonts w:ascii="Times New Roman" w:hAnsi="Times New Roman"/>
          <w:szCs w:val="24"/>
        </w:rPr>
        <w:t>Section 9-314</w:t>
      </w:r>
      <w:bookmarkEnd w:id="6697"/>
      <w:r w:rsidRPr="007A5BBC">
        <w:rPr>
          <w:rFonts w:ascii="Times New Roman" w:hAnsi="Times New Roman"/>
          <w:szCs w:val="24"/>
        </w:rPr>
        <w:t>. Perfection by Control.</w:t>
      </w:r>
    </w:p>
    <w:p w14:paraId="5598968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88086B">
      <w:pPr>
        <w:tabs>
          <w:tab w:val="left" w:pos="360"/>
          <w:tab w:val="left" w:pos="900"/>
        </w:tabs>
        <w:rPr>
          <w:rFonts w:ascii="Times New Roman" w:hAnsi="Times New Roman"/>
          <w:szCs w:val="24"/>
        </w:rPr>
      </w:pPr>
    </w:p>
    <w:p w14:paraId="363B65E1" w14:textId="77777777" w:rsidR="0088086B" w:rsidRPr="007A5BBC" w:rsidRDefault="0088086B" w:rsidP="0088086B">
      <w:pPr>
        <w:tabs>
          <w:tab w:val="left" w:pos="360"/>
          <w:tab w:val="left" w:pos="900"/>
        </w:tabs>
        <w:rPr>
          <w:rFonts w:ascii="Times New Roman" w:hAnsi="Times New Roman"/>
          <w:szCs w:val="24"/>
        </w:rPr>
      </w:pPr>
      <w:bookmarkStart w:id="6698" w:name="U9315"/>
      <w:r w:rsidRPr="007A5BBC">
        <w:rPr>
          <w:rFonts w:ascii="Times New Roman" w:hAnsi="Times New Roman"/>
          <w:szCs w:val="24"/>
        </w:rPr>
        <w:t>Section 9-315</w:t>
      </w:r>
      <w:bookmarkEnd w:id="6698"/>
      <w:r w:rsidRPr="007A5BBC">
        <w:rPr>
          <w:rFonts w:ascii="Times New Roman" w:hAnsi="Times New Roman"/>
          <w:szCs w:val="24"/>
        </w:rPr>
        <w:t>. Secured Party's Rights on Disposition of Collateral and in Proceeds.</w:t>
      </w:r>
    </w:p>
    <w:p w14:paraId="1FC04B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attaches to any identifiable proceeds of collateral.</w:t>
      </w:r>
    </w:p>
    <w:p w14:paraId="016770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proceeds are not goods, to the extent that the secured party identifies the proceeds by a method of tracing, including application of equitable principles, that is permitted under law other than this article with respect to commingled property of the type involved.</w:t>
      </w:r>
    </w:p>
    <w:p w14:paraId="393B26B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88086B">
      <w:pPr>
        <w:tabs>
          <w:tab w:val="left" w:pos="360"/>
          <w:tab w:val="left" w:pos="900"/>
        </w:tabs>
        <w:rPr>
          <w:rFonts w:ascii="Times New Roman" w:hAnsi="Times New Roman"/>
          <w:szCs w:val="24"/>
        </w:rPr>
      </w:pPr>
    </w:p>
    <w:p w14:paraId="4AF4E043" w14:textId="77777777" w:rsidR="0088086B" w:rsidRPr="007A5BBC" w:rsidRDefault="0088086B" w:rsidP="0088086B">
      <w:pPr>
        <w:tabs>
          <w:tab w:val="left" w:pos="360"/>
          <w:tab w:val="left" w:pos="900"/>
        </w:tabs>
        <w:rPr>
          <w:rFonts w:ascii="Times New Roman" w:hAnsi="Times New Roman"/>
          <w:szCs w:val="24"/>
        </w:rPr>
      </w:pPr>
      <w:bookmarkStart w:id="6699" w:name="U9316"/>
      <w:r w:rsidRPr="007A5BBC">
        <w:rPr>
          <w:rFonts w:ascii="Times New Roman" w:hAnsi="Times New Roman"/>
          <w:szCs w:val="24"/>
        </w:rPr>
        <w:t>Section 9-316</w:t>
      </w:r>
      <w:bookmarkEnd w:id="6699"/>
      <w:r w:rsidRPr="007A5BBC">
        <w:rPr>
          <w:rFonts w:ascii="Times New Roman" w:hAnsi="Times New Roman"/>
          <w:szCs w:val="24"/>
        </w:rPr>
        <w:t>. Effect of Change in Governing Law.</w:t>
      </w:r>
    </w:p>
    <w:p w14:paraId="2F4C4B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w:t>
      </w:r>
    </w:p>
    <w:p w14:paraId="7B7329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88086B">
      <w:pPr>
        <w:rPr>
          <w:rFonts w:ascii="Times New Roman" w:hAnsi="Times New Roman"/>
          <w:szCs w:val="24"/>
        </w:rPr>
      </w:pPr>
    </w:p>
    <w:p w14:paraId="00686F70" w14:textId="07DA80AF" w:rsidR="0088086B" w:rsidRPr="007A5BBC" w:rsidRDefault="00782EE6" w:rsidP="0088086B">
      <w:pPr>
        <w:jc w:val="center"/>
        <w:rPr>
          <w:rFonts w:ascii="Times New Roman" w:hAnsi="Times New Roman"/>
          <w:szCs w:val="24"/>
        </w:rPr>
      </w:pPr>
      <w:bookmarkStart w:id="6700"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6700"/>
      <w:r w:rsidR="0088086B" w:rsidRPr="007A5BBC">
        <w:rPr>
          <w:rFonts w:ascii="Times New Roman" w:hAnsi="Times New Roman"/>
          <w:szCs w:val="24"/>
        </w:rPr>
        <w:t>- PRIORITY</w:t>
      </w:r>
    </w:p>
    <w:p w14:paraId="4187C127" w14:textId="77777777" w:rsidR="0088086B" w:rsidRPr="007A5BBC" w:rsidRDefault="0088086B" w:rsidP="0088086B">
      <w:pPr>
        <w:rPr>
          <w:rFonts w:ascii="Times New Roman" w:hAnsi="Times New Roman"/>
          <w:szCs w:val="24"/>
        </w:rPr>
      </w:pPr>
    </w:p>
    <w:p w14:paraId="1009C81E" w14:textId="77777777" w:rsidR="0088086B" w:rsidRPr="007A5BBC" w:rsidRDefault="0088086B" w:rsidP="0088086B">
      <w:pPr>
        <w:tabs>
          <w:tab w:val="left" w:pos="360"/>
          <w:tab w:val="left" w:pos="900"/>
        </w:tabs>
        <w:rPr>
          <w:rFonts w:ascii="Times New Roman" w:hAnsi="Times New Roman"/>
          <w:szCs w:val="24"/>
        </w:rPr>
      </w:pPr>
      <w:bookmarkStart w:id="6701" w:name="U9317"/>
      <w:r w:rsidRPr="007A5BBC">
        <w:rPr>
          <w:rFonts w:ascii="Times New Roman" w:hAnsi="Times New Roman"/>
          <w:szCs w:val="24"/>
        </w:rPr>
        <w:t>Section 9-317</w:t>
      </w:r>
      <w:bookmarkEnd w:id="6701"/>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88086B">
      <w:pPr>
        <w:rPr>
          <w:rFonts w:ascii="Times New Roman" w:hAnsi="Times New Roman"/>
          <w:szCs w:val="24"/>
        </w:rPr>
      </w:pPr>
    </w:p>
    <w:p w14:paraId="30994CA2" w14:textId="77777777" w:rsidR="0088086B" w:rsidRPr="007A5BBC" w:rsidRDefault="0088086B" w:rsidP="0088086B">
      <w:pPr>
        <w:tabs>
          <w:tab w:val="left" w:pos="360"/>
          <w:tab w:val="left" w:pos="900"/>
        </w:tabs>
        <w:rPr>
          <w:rFonts w:ascii="Times New Roman" w:hAnsi="Times New Roman"/>
          <w:szCs w:val="24"/>
        </w:rPr>
      </w:pPr>
      <w:bookmarkStart w:id="6702" w:name="U9318"/>
      <w:r w:rsidRPr="007A5BBC">
        <w:rPr>
          <w:rFonts w:ascii="Times New Roman" w:hAnsi="Times New Roman"/>
          <w:szCs w:val="24"/>
        </w:rPr>
        <w:t>Section 9-318</w:t>
      </w:r>
      <w:bookmarkEnd w:id="6702"/>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Deemed rights of debtor if buyer's security interest unperfected. For purposes of determining the rights of creditors of, and purchasers for value of an account or chattel paper from, a debtor that has sold an account or chattel paper, while the buyer's security interest is unperfected, the debtor is deemed to have rights and title to the account or chattel paper identical to those the debtor sold.</w:t>
      </w:r>
    </w:p>
    <w:p w14:paraId="062065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88086B">
      <w:pPr>
        <w:tabs>
          <w:tab w:val="left" w:pos="360"/>
          <w:tab w:val="left" w:pos="900"/>
        </w:tabs>
        <w:rPr>
          <w:rFonts w:ascii="Times New Roman" w:hAnsi="Times New Roman"/>
          <w:szCs w:val="24"/>
        </w:rPr>
      </w:pPr>
      <w:bookmarkStart w:id="6703" w:name="U9319"/>
      <w:r w:rsidRPr="007A5BBC">
        <w:rPr>
          <w:rFonts w:ascii="Times New Roman" w:hAnsi="Times New Roman"/>
          <w:szCs w:val="24"/>
        </w:rPr>
        <w:t>Section 9-319</w:t>
      </w:r>
      <w:bookmarkEnd w:id="6703"/>
      <w:r w:rsidRPr="007A5BBC">
        <w:rPr>
          <w:rFonts w:ascii="Times New Roman" w:hAnsi="Times New Roman"/>
          <w:szCs w:val="24"/>
        </w:rPr>
        <w:t>. Rights and Title of Consignee with Respect to Creditors and Purchasers.</w:t>
      </w:r>
    </w:p>
    <w:p w14:paraId="470BF3E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88086B">
      <w:pPr>
        <w:tabs>
          <w:tab w:val="left" w:pos="360"/>
          <w:tab w:val="left" w:pos="900"/>
        </w:tabs>
        <w:rPr>
          <w:rFonts w:ascii="Times New Roman" w:hAnsi="Times New Roman"/>
          <w:szCs w:val="24"/>
        </w:rPr>
      </w:pPr>
    </w:p>
    <w:p w14:paraId="680ACF3E" w14:textId="77777777" w:rsidR="0088086B" w:rsidRPr="007A5BBC" w:rsidRDefault="0088086B" w:rsidP="0088086B">
      <w:pPr>
        <w:tabs>
          <w:tab w:val="left" w:pos="360"/>
          <w:tab w:val="left" w:pos="900"/>
        </w:tabs>
        <w:rPr>
          <w:rFonts w:ascii="Times New Roman" w:hAnsi="Times New Roman"/>
          <w:szCs w:val="24"/>
        </w:rPr>
      </w:pPr>
      <w:bookmarkStart w:id="6704" w:name="U9320"/>
      <w:r w:rsidRPr="007A5BBC">
        <w:rPr>
          <w:rFonts w:ascii="Times New Roman" w:hAnsi="Times New Roman"/>
          <w:szCs w:val="24"/>
        </w:rPr>
        <w:t>Section 9-320</w:t>
      </w:r>
      <w:bookmarkEnd w:id="6704"/>
      <w:r w:rsidRPr="007A5BBC">
        <w:rPr>
          <w:rFonts w:ascii="Times New Roman" w:hAnsi="Times New Roman"/>
          <w:szCs w:val="24"/>
        </w:rPr>
        <w:t>. Buyer of Goods.</w:t>
      </w:r>
    </w:p>
    <w:p w14:paraId="01BD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Possessory security interest not affected. Subsections (a) and (b) do not affect a security interest in goods in the possession of the secured party under Section 9-313.</w:t>
      </w:r>
    </w:p>
    <w:p w14:paraId="6BE895D5" w14:textId="77777777" w:rsidR="0088086B" w:rsidRPr="007A5BBC" w:rsidRDefault="0088086B" w:rsidP="0088086B">
      <w:pPr>
        <w:tabs>
          <w:tab w:val="left" w:pos="360"/>
          <w:tab w:val="left" w:pos="900"/>
        </w:tabs>
        <w:rPr>
          <w:rFonts w:ascii="Times New Roman" w:hAnsi="Times New Roman"/>
          <w:szCs w:val="24"/>
        </w:rPr>
      </w:pPr>
    </w:p>
    <w:p w14:paraId="54C90443" w14:textId="77777777" w:rsidR="0088086B" w:rsidRPr="007A5BBC" w:rsidRDefault="0088086B" w:rsidP="0088086B">
      <w:pPr>
        <w:tabs>
          <w:tab w:val="left" w:pos="360"/>
          <w:tab w:val="left" w:pos="900"/>
        </w:tabs>
        <w:rPr>
          <w:rFonts w:ascii="Times New Roman" w:hAnsi="Times New Roman"/>
          <w:szCs w:val="24"/>
        </w:rPr>
      </w:pPr>
      <w:bookmarkStart w:id="6705" w:name="U9321"/>
      <w:r w:rsidRPr="007A5BBC">
        <w:rPr>
          <w:rFonts w:ascii="Times New Roman" w:hAnsi="Times New Roman"/>
          <w:szCs w:val="24"/>
        </w:rPr>
        <w:t>Section 9-321</w:t>
      </w:r>
      <w:bookmarkEnd w:id="6705"/>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88086B">
      <w:pPr>
        <w:tabs>
          <w:tab w:val="left" w:pos="360"/>
          <w:tab w:val="left" w:pos="900"/>
        </w:tabs>
        <w:rPr>
          <w:rFonts w:ascii="Times New Roman" w:hAnsi="Times New Roman"/>
          <w:szCs w:val="24"/>
        </w:rPr>
      </w:pPr>
    </w:p>
    <w:p w14:paraId="7EA90454" w14:textId="77777777" w:rsidR="0088086B" w:rsidRPr="007A5BBC" w:rsidRDefault="0088086B" w:rsidP="0088086B">
      <w:pPr>
        <w:tabs>
          <w:tab w:val="left" w:pos="360"/>
          <w:tab w:val="left" w:pos="900"/>
        </w:tabs>
        <w:rPr>
          <w:rFonts w:ascii="Times New Roman" w:hAnsi="Times New Roman"/>
          <w:szCs w:val="24"/>
        </w:rPr>
      </w:pPr>
      <w:bookmarkStart w:id="6706" w:name="U9322"/>
      <w:r w:rsidRPr="007A5BBC">
        <w:rPr>
          <w:rFonts w:ascii="Times New Roman" w:hAnsi="Times New Roman"/>
          <w:szCs w:val="24"/>
        </w:rPr>
        <w:t>Section 9-322</w:t>
      </w:r>
      <w:bookmarkEnd w:id="6706"/>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proceeds of the collateral if:</w:t>
      </w:r>
    </w:p>
    <w:p w14:paraId="4AF6BF0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88086B">
      <w:pPr>
        <w:tabs>
          <w:tab w:val="left" w:pos="360"/>
          <w:tab w:val="left" w:pos="900"/>
        </w:tabs>
        <w:rPr>
          <w:rFonts w:ascii="Times New Roman" w:hAnsi="Times New Roman"/>
          <w:szCs w:val="24"/>
        </w:rPr>
      </w:pPr>
    </w:p>
    <w:p w14:paraId="5D4DB35F" w14:textId="77777777" w:rsidR="0088086B" w:rsidRPr="007A5BBC" w:rsidRDefault="0088086B" w:rsidP="0088086B">
      <w:pPr>
        <w:tabs>
          <w:tab w:val="left" w:pos="360"/>
          <w:tab w:val="left" w:pos="900"/>
        </w:tabs>
        <w:rPr>
          <w:rFonts w:ascii="Times New Roman" w:hAnsi="Times New Roman"/>
          <w:szCs w:val="24"/>
        </w:rPr>
      </w:pPr>
      <w:bookmarkStart w:id="6707" w:name="U9323"/>
      <w:r w:rsidRPr="007A5BBC">
        <w:rPr>
          <w:rFonts w:ascii="Times New Roman" w:hAnsi="Times New Roman"/>
          <w:szCs w:val="24"/>
        </w:rPr>
        <w:t>Section 9-323</w:t>
      </w:r>
      <w:bookmarkEnd w:id="6707"/>
      <w:r w:rsidRPr="007A5BBC">
        <w:rPr>
          <w:rFonts w:ascii="Times New Roman" w:hAnsi="Times New Roman"/>
          <w:szCs w:val="24"/>
        </w:rPr>
        <w:t>. Future Advances.</w:t>
      </w:r>
    </w:p>
    <w:p w14:paraId="08E73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made pursuant to a commitment entered into before or while the security interest is perfected by a method other than under Section 9-309 or 9-312(e), (f), or (g).</w:t>
      </w:r>
    </w:p>
    <w:p w14:paraId="3DF51E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Advances made pursuant to commitment: priority of lessee of goods. Subsection (f) does not apply if the advance is made pursuant to a commitment entered into without knowledge 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provided in paragraph (1), perfection of the security interest with respect to a future advance dates from the time the advance is made.</w:t>
      </w:r>
    </w:p>
    <w:p w14:paraId="05FE5B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88086B">
      <w:pPr>
        <w:tabs>
          <w:tab w:val="left" w:pos="360"/>
          <w:tab w:val="left" w:pos="900"/>
        </w:tabs>
        <w:rPr>
          <w:rFonts w:ascii="Times New Roman" w:hAnsi="Times New Roman"/>
          <w:szCs w:val="24"/>
        </w:rPr>
      </w:pPr>
    </w:p>
    <w:p w14:paraId="3FE9E5B6" w14:textId="77777777" w:rsidR="0088086B" w:rsidRPr="007A5BBC" w:rsidRDefault="0088086B" w:rsidP="0088086B">
      <w:pPr>
        <w:tabs>
          <w:tab w:val="left" w:pos="360"/>
          <w:tab w:val="left" w:pos="900"/>
        </w:tabs>
        <w:rPr>
          <w:rFonts w:ascii="Times New Roman" w:hAnsi="Times New Roman"/>
          <w:szCs w:val="24"/>
        </w:rPr>
      </w:pPr>
      <w:bookmarkStart w:id="6708" w:name="U9324"/>
      <w:r w:rsidRPr="007A5BBC">
        <w:rPr>
          <w:rFonts w:ascii="Times New Roman" w:hAnsi="Times New Roman"/>
          <w:szCs w:val="24"/>
        </w:rPr>
        <w:t>Section 9-324</w:t>
      </w:r>
      <w:bookmarkEnd w:id="6708"/>
      <w:r w:rsidRPr="007A5BBC">
        <w:rPr>
          <w:rFonts w:ascii="Times New Roman" w:hAnsi="Times New Roman"/>
          <w:szCs w:val="24"/>
        </w:rPr>
        <w:t>. Priority of Purchase-money Security Interests.</w:t>
      </w:r>
    </w:p>
    <w:p w14:paraId="0B1E43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67497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Livestock purchase-money priority. Subject to subsection (e) and except as otherwise provided in subsection (g), a perfected purchase-money security interest in livestock that are 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Software purchase-money priority. Except as otherwise provided in subsection (g), a perfected purchase-money security interest in software has priority over a conflicting security interest in the same collateral, and, except as otherwise provided in Section 9-327, a 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88086B">
      <w:pPr>
        <w:tabs>
          <w:tab w:val="left" w:pos="360"/>
          <w:tab w:val="left" w:pos="900"/>
        </w:tabs>
        <w:rPr>
          <w:rFonts w:ascii="Times New Roman" w:hAnsi="Times New Roman"/>
          <w:szCs w:val="24"/>
        </w:rPr>
      </w:pPr>
    </w:p>
    <w:p w14:paraId="4F002DB3" w14:textId="77777777" w:rsidR="0088086B" w:rsidRPr="007A5BBC" w:rsidRDefault="0088086B" w:rsidP="0088086B">
      <w:pPr>
        <w:tabs>
          <w:tab w:val="left" w:pos="360"/>
          <w:tab w:val="left" w:pos="900"/>
        </w:tabs>
        <w:rPr>
          <w:rFonts w:ascii="Times New Roman" w:hAnsi="Times New Roman"/>
          <w:szCs w:val="24"/>
        </w:rPr>
      </w:pPr>
      <w:bookmarkStart w:id="6709" w:name="U9325"/>
      <w:r w:rsidRPr="007A5BBC">
        <w:rPr>
          <w:rFonts w:ascii="Times New Roman" w:hAnsi="Times New Roman"/>
          <w:szCs w:val="24"/>
        </w:rPr>
        <w:t>Section 9-325</w:t>
      </w:r>
      <w:bookmarkEnd w:id="6709"/>
      <w:r w:rsidRPr="007A5BBC">
        <w:rPr>
          <w:rFonts w:ascii="Times New Roman" w:hAnsi="Times New Roman"/>
          <w:szCs w:val="24"/>
        </w:rPr>
        <w:t>. Priority of Security Interests in Transferred Collateral.</w:t>
      </w:r>
    </w:p>
    <w:p w14:paraId="54E60A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created by the other person was perfected when the debtor acquired the collateral; and</w:t>
      </w:r>
    </w:p>
    <w:p w14:paraId="33D144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88086B">
      <w:pPr>
        <w:tabs>
          <w:tab w:val="left" w:pos="360"/>
          <w:tab w:val="left" w:pos="900"/>
        </w:tabs>
        <w:rPr>
          <w:rFonts w:ascii="Times New Roman" w:hAnsi="Times New Roman"/>
          <w:szCs w:val="24"/>
        </w:rPr>
      </w:pPr>
    </w:p>
    <w:p w14:paraId="546F4622" w14:textId="77777777" w:rsidR="0088086B" w:rsidRPr="007A5BBC" w:rsidRDefault="0088086B" w:rsidP="0088086B">
      <w:pPr>
        <w:tabs>
          <w:tab w:val="left" w:pos="360"/>
          <w:tab w:val="left" w:pos="900"/>
        </w:tabs>
        <w:rPr>
          <w:rFonts w:ascii="Times New Roman" w:hAnsi="Times New Roman"/>
          <w:szCs w:val="24"/>
        </w:rPr>
      </w:pPr>
      <w:bookmarkStart w:id="6710" w:name="U9326"/>
      <w:r w:rsidRPr="007A5BBC">
        <w:rPr>
          <w:rFonts w:ascii="Times New Roman" w:hAnsi="Times New Roman"/>
          <w:szCs w:val="24"/>
        </w:rPr>
        <w:t>Section 9-326</w:t>
      </w:r>
      <w:bookmarkEnd w:id="6710"/>
      <w:r w:rsidRPr="007A5BBC">
        <w:rPr>
          <w:rFonts w:ascii="Times New Roman" w:hAnsi="Times New Roman"/>
          <w:szCs w:val="24"/>
        </w:rPr>
        <w:t>. Priority of Security Interests Created by New Debtor.</w:t>
      </w:r>
    </w:p>
    <w:p w14:paraId="4BE26F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debtor, the conflicting security interests rank according to priority in time of the new debtor's having become bound.</w:t>
      </w:r>
    </w:p>
    <w:p w14:paraId="48B4CE43" w14:textId="77777777" w:rsidR="0088086B" w:rsidRPr="007A5BBC" w:rsidRDefault="0088086B" w:rsidP="0088086B">
      <w:pPr>
        <w:tabs>
          <w:tab w:val="left" w:pos="360"/>
          <w:tab w:val="left" w:pos="900"/>
        </w:tabs>
        <w:rPr>
          <w:rFonts w:ascii="Times New Roman" w:hAnsi="Times New Roman"/>
          <w:szCs w:val="24"/>
        </w:rPr>
      </w:pPr>
    </w:p>
    <w:p w14:paraId="5B59AD84" w14:textId="77777777" w:rsidR="0088086B" w:rsidRPr="007A5BBC" w:rsidRDefault="0088086B" w:rsidP="0088086B">
      <w:pPr>
        <w:tabs>
          <w:tab w:val="left" w:pos="360"/>
          <w:tab w:val="left" w:pos="900"/>
        </w:tabs>
        <w:rPr>
          <w:rFonts w:ascii="Times New Roman" w:hAnsi="Times New Roman"/>
          <w:szCs w:val="24"/>
        </w:rPr>
      </w:pPr>
      <w:bookmarkStart w:id="6711" w:name="U9327"/>
      <w:r w:rsidRPr="007A5BBC">
        <w:rPr>
          <w:rFonts w:ascii="Times New Roman" w:hAnsi="Times New Roman"/>
          <w:szCs w:val="24"/>
        </w:rPr>
        <w:t>Section 9-327</w:t>
      </w:r>
      <w:bookmarkEnd w:id="6711"/>
      <w:r w:rsidRPr="007A5BBC">
        <w:rPr>
          <w:rFonts w:ascii="Times New Roman" w:hAnsi="Times New Roman"/>
          <w:szCs w:val="24"/>
        </w:rPr>
        <w:t>. Priority of Security Interests in Deposit Account.</w:t>
      </w:r>
    </w:p>
    <w:p w14:paraId="1A627E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88086B">
      <w:pPr>
        <w:tabs>
          <w:tab w:val="left" w:pos="360"/>
          <w:tab w:val="left" w:pos="900"/>
        </w:tabs>
        <w:rPr>
          <w:rFonts w:ascii="Times New Roman" w:hAnsi="Times New Roman"/>
          <w:szCs w:val="24"/>
        </w:rPr>
      </w:pPr>
    </w:p>
    <w:p w14:paraId="70677D2C" w14:textId="77777777" w:rsidR="0088086B" w:rsidRPr="007A5BBC" w:rsidRDefault="0088086B" w:rsidP="0088086B">
      <w:pPr>
        <w:tabs>
          <w:tab w:val="left" w:pos="360"/>
          <w:tab w:val="left" w:pos="900"/>
        </w:tabs>
        <w:rPr>
          <w:rFonts w:ascii="Times New Roman" w:hAnsi="Times New Roman"/>
          <w:szCs w:val="24"/>
        </w:rPr>
      </w:pPr>
      <w:bookmarkStart w:id="6712" w:name="U9328"/>
      <w:r w:rsidRPr="007A5BBC">
        <w:rPr>
          <w:rFonts w:ascii="Times New Roman" w:hAnsi="Times New Roman"/>
          <w:szCs w:val="24"/>
        </w:rPr>
        <w:t>Section 9-328</w:t>
      </w:r>
      <w:bookmarkEnd w:id="6712"/>
      <w:r w:rsidRPr="007A5BBC">
        <w:rPr>
          <w:rFonts w:ascii="Times New Roman" w:hAnsi="Times New Roman"/>
          <w:szCs w:val="24"/>
        </w:rPr>
        <w:t>. Priority of Security Interests in Investment Property.</w:t>
      </w:r>
    </w:p>
    <w:p w14:paraId="4D39F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investment property:</w:t>
      </w:r>
    </w:p>
    <w:p w14:paraId="43D990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88086B">
      <w:pPr>
        <w:tabs>
          <w:tab w:val="left" w:pos="360"/>
          <w:tab w:val="left" w:pos="900"/>
        </w:tabs>
        <w:rPr>
          <w:rFonts w:ascii="Times New Roman" w:hAnsi="Times New Roman"/>
          <w:szCs w:val="24"/>
        </w:rPr>
      </w:pPr>
    </w:p>
    <w:p w14:paraId="01421751" w14:textId="77777777" w:rsidR="0088086B" w:rsidRPr="007A5BBC" w:rsidRDefault="0088086B" w:rsidP="0088086B">
      <w:pPr>
        <w:tabs>
          <w:tab w:val="left" w:pos="360"/>
          <w:tab w:val="left" w:pos="900"/>
        </w:tabs>
        <w:rPr>
          <w:rFonts w:ascii="Times New Roman" w:hAnsi="Times New Roman"/>
          <w:szCs w:val="24"/>
        </w:rPr>
      </w:pPr>
      <w:bookmarkStart w:id="6713" w:name="U9329"/>
      <w:r w:rsidRPr="007A5BBC">
        <w:rPr>
          <w:rFonts w:ascii="Times New Roman" w:hAnsi="Times New Roman"/>
          <w:szCs w:val="24"/>
        </w:rPr>
        <w:t>Section 9-329</w:t>
      </w:r>
      <w:bookmarkEnd w:id="6713"/>
      <w:r w:rsidRPr="007A5BBC">
        <w:rPr>
          <w:rFonts w:ascii="Times New Roman" w:hAnsi="Times New Roman"/>
          <w:szCs w:val="24"/>
        </w:rPr>
        <w:t>. Priority of Security Interests in Letter-of-credit Right.</w:t>
      </w:r>
    </w:p>
    <w:p w14:paraId="5F8531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88086B">
      <w:pPr>
        <w:tabs>
          <w:tab w:val="left" w:pos="360"/>
          <w:tab w:val="left" w:pos="900"/>
        </w:tabs>
        <w:rPr>
          <w:rFonts w:ascii="Times New Roman" w:hAnsi="Times New Roman"/>
          <w:szCs w:val="24"/>
        </w:rPr>
      </w:pPr>
    </w:p>
    <w:p w14:paraId="4BD63A58" w14:textId="77777777" w:rsidR="0088086B" w:rsidRPr="007A5BBC" w:rsidRDefault="0088086B" w:rsidP="0088086B">
      <w:pPr>
        <w:tabs>
          <w:tab w:val="left" w:pos="360"/>
          <w:tab w:val="left" w:pos="900"/>
        </w:tabs>
        <w:rPr>
          <w:rFonts w:ascii="Times New Roman" w:hAnsi="Times New Roman"/>
          <w:szCs w:val="24"/>
        </w:rPr>
      </w:pPr>
      <w:bookmarkStart w:id="6714" w:name="U9330"/>
      <w:r w:rsidRPr="007A5BBC">
        <w:rPr>
          <w:rFonts w:ascii="Times New Roman" w:hAnsi="Times New Roman"/>
          <w:szCs w:val="24"/>
        </w:rPr>
        <w:t>Section 9-330</w:t>
      </w:r>
      <w:bookmarkEnd w:id="6714"/>
      <w:r w:rsidRPr="007A5BBC">
        <w:rPr>
          <w:rFonts w:ascii="Times New Roman" w:hAnsi="Times New Roman"/>
          <w:szCs w:val="24"/>
        </w:rPr>
        <w:t>. Priority of Purchaser of Chattel Paper or Instrument.</w:t>
      </w:r>
    </w:p>
    <w:p w14:paraId="748929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88086B">
      <w:pPr>
        <w:tabs>
          <w:tab w:val="left" w:pos="360"/>
          <w:tab w:val="left" w:pos="900"/>
        </w:tabs>
        <w:rPr>
          <w:rFonts w:ascii="Times New Roman" w:hAnsi="Times New Roman"/>
          <w:szCs w:val="24"/>
        </w:rPr>
      </w:pPr>
    </w:p>
    <w:p w14:paraId="48129503" w14:textId="77777777" w:rsidR="0088086B" w:rsidRPr="007A5BBC" w:rsidRDefault="0088086B" w:rsidP="0088086B">
      <w:pPr>
        <w:tabs>
          <w:tab w:val="left" w:pos="360"/>
          <w:tab w:val="left" w:pos="900"/>
        </w:tabs>
        <w:rPr>
          <w:rFonts w:ascii="Times New Roman" w:hAnsi="Times New Roman"/>
          <w:szCs w:val="24"/>
        </w:rPr>
      </w:pPr>
      <w:bookmarkStart w:id="6715" w:name="U9331"/>
      <w:r w:rsidRPr="007A5BBC">
        <w:rPr>
          <w:rFonts w:ascii="Times New Roman" w:hAnsi="Times New Roman"/>
          <w:szCs w:val="24"/>
        </w:rPr>
        <w:t>Section 9-331</w:t>
      </w:r>
      <w:bookmarkEnd w:id="6715"/>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88086B">
      <w:pPr>
        <w:tabs>
          <w:tab w:val="left" w:pos="360"/>
          <w:tab w:val="left" w:pos="900"/>
        </w:tabs>
        <w:rPr>
          <w:rFonts w:ascii="Times New Roman" w:hAnsi="Times New Roman"/>
          <w:szCs w:val="24"/>
        </w:rPr>
      </w:pPr>
    </w:p>
    <w:p w14:paraId="74D3AB25" w14:textId="77777777" w:rsidR="0088086B" w:rsidRPr="007A5BBC" w:rsidRDefault="0088086B" w:rsidP="0088086B">
      <w:pPr>
        <w:tabs>
          <w:tab w:val="left" w:pos="360"/>
          <w:tab w:val="left" w:pos="900"/>
        </w:tabs>
        <w:rPr>
          <w:rFonts w:ascii="Times New Roman" w:hAnsi="Times New Roman"/>
          <w:szCs w:val="24"/>
        </w:rPr>
      </w:pPr>
      <w:bookmarkStart w:id="6716" w:name="U9332"/>
      <w:r w:rsidRPr="007A5BBC">
        <w:rPr>
          <w:rFonts w:ascii="Times New Roman" w:hAnsi="Times New Roman"/>
          <w:szCs w:val="24"/>
        </w:rPr>
        <w:t>Section 9-332</w:t>
      </w:r>
      <w:bookmarkEnd w:id="6716"/>
      <w:r w:rsidRPr="007A5BBC">
        <w:rPr>
          <w:rFonts w:ascii="Times New Roman" w:hAnsi="Times New Roman"/>
          <w:szCs w:val="24"/>
        </w:rPr>
        <w:t>. Transfer of Money; Transfer of Funds from Deposit Account.</w:t>
      </w:r>
    </w:p>
    <w:p w14:paraId="77599FD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88086B">
      <w:pPr>
        <w:tabs>
          <w:tab w:val="left" w:pos="360"/>
          <w:tab w:val="left" w:pos="900"/>
        </w:tabs>
        <w:rPr>
          <w:rFonts w:ascii="Times New Roman" w:hAnsi="Times New Roman"/>
          <w:szCs w:val="24"/>
        </w:rPr>
      </w:pPr>
    </w:p>
    <w:p w14:paraId="2D99A563" w14:textId="77777777" w:rsidR="0088086B" w:rsidRPr="007A5BBC" w:rsidRDefault="0088086B" w:rsidP="0088086B">
      <w:pPr>
        <w:tabs>
          <w:tab w:val="left" w:pos="360"/>
          <w:tab w:val="left" w:pos="900"/>
        </w:tabs>
        <w:rPr>
          <w:rFonts w:ascii="Times New Roman" w:hAnsi="Times New Roman"/>
          <w:szCs w:val="24"/>
        </w:rPr>
      </w:pPr>
      <w:bookmarkStart w:id="6717" w:name="U9333"/>
      <w:r w:rsidRPr="007A5BBC">
        <w:rPr>
          <w:rFonts w:ascii="Times New Roman" w:hAnsi="Times New Roman"/>
          <w:szCs w:val="24"/>
        </w:rPr>
        <w:t>Section 9-333</w:t>
      </w:r>
      <w:bookmarkEnd w:id="6717"/>
      <w:r w:rsidRPr="007A5BBC">
        <w:rPr>
          <w:rFonts w:ascii="Times New Roman" w:hAnsi="Times New Roman"/>
          <w:szCs w:val="24"/>
        </w:rPr>
        <w:t>. Priority of Certain Liens Arising by Operation of Law.</w:t>
      </w:r>
    </w:p>
    <w:p w14:paraId="7A6A9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88086B">
      <w:pPr>
        <w:tabs>
          <w:tab w:val="left" w:pos="360"/>
          <w:tab w:val="left" w:pos="900"/>
        </w:tabs>
        <w:rPr>
          <w:rFonts w:ascii="Times New Roman" w:hAnsi="Times New Roman"/>
          <w:szCs w:val="24"/>
        </w:rPr>
      </w:pPr>
    </w:p>
    <w:p w14:paraId="61B388E6" w14:textId="77777777" w:rsidR="0088086B" w:rsidRPr="007A5BBC" w:rsidRDefault="0088086B" w:rsidP="0088086B">
      <w:pPr>
        <w:tabs>
          <w:tab w:val="left" w:pos="360"/>
          <w:tab w:val="left" w:pos="900"/>
        </w:tabs>
        <w:rPr>
          <w:rFonts w:ascii="Times New Roman" w:hAnsi="Times New Roman"/>
          <w:szCs w:val="24"/>
        </w:rPr>
      </w:pPr>
      <w:bookmarkStart w:id="6718" w:name="U9334"/>
      <w:r w:rsidRPr="007A5BBC">
        <w:rPr>
          <w:rFonts w:ascii="Times New Roman" w:hAnsi="Times New Roman"/>
          <w:szCs w:val="24"/>
        </w:rPr>
        <w:t>Section 9-334</w:t>
      </w:r>
      <w:bookmarkEnd w:id="6718"/>
      <w:r w:rsidRPr="007A5BBC">
        <w:rPr>
          <w:rFonts w:ascii="Times New Roman" w:hAnsi="Times New Roman"/>
          <w:szCs w:val="24"/>
        </w:rPr>
        <w:t>. Priority of Security Interests in Fixtures and Crops.</w:t>
      </w:r>
    </w:p>
    <w:p w14:paraId="3F97D4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is:</w:t>
      </w:r>
    </w:p>
    <w:p w14:paraId="61E96B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88086B">
      <w:pPr>
        <w:tabs>
          <w:tab w:val="left" w:pos="360"/>
          <w:tab w:val="left" w:pos="900"/>
        </w:tabs>
        <w:rPr>
          <w:rFonts w:ascii="Times New Roman" w:hAnsi="Times New Roman"/>
          <w:szCs w:val="24"/>
        </w:rPr>
      </w:pPr>
    </w:p>
    <w:p w14:paraId="681CCF2F" w14:textId="77777777" w:rsidR="0088086B" w:rsidRPr="007A5BBC" w:rsidRDefault="0088086B" w:rsidP="0088086B">
      <w:pPr>
        <w:tabs>
          <w:tab w:val="left" w:pos="360"/>
          <w:tab w:val="left" w:pos="900"/>
        </w:tabs>
        <w:rPr>
          <w:rFonts w:ascii="Times New Roman" w:hAnsi="Times New Roman"/>
          <w:szCs w:val="24"/>
        </w:rPr>
      </w:pPr>
      <w:bookmarkStart w:id="6719" w:name="U9335"/>
      <w:r w:rsidRPr="007A5BBC">
        <w:rPr>
          <w:rFonts w:ascii="Times New Roman" w:hAnsi="Times New Roman"/>
          <w:szCs w:val="24"/>
        </w:rPr>
        <w:t>Section 9-335</w:t>
      </w:r>
      <w:bookmarkEnd w:id="6719"/>
      <w:r w:rsidRPr="007A5BBC">
        <w:rPr>
          <w:rFonts w:ascii="Times New Roman" w:hAnsi="Times New Roman"/>
          <w:szCs w:val="24"/>
        </w:rPr>
        <w:t>. Accessions.</w:t>
      </w:r>
    </w:p>
    <w:p w14:paraId="34452DD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88086B">
      <w:pPr>
        <w:tabs>
          <w:tab w:val="left" w:pos="360"/>
          <w:tab w:val="left" w:pos="900"/>
        </w:tabs>
        <w:rPr>
          <w:rFonts w:ascii="Times New Roman" w:hAnsi="Times New Roman"/>
          <w:szCs w:val="24"/>
        </w:rPr>
      </w:pPr>
    </w:p>
    <w:p w14:paraId="0C5E4082" w14:textId="77777777" w:rsidR="0088086B" w:rsidRPr="007A5BBC" w:rsidRDefault="0088086B" w:rsidP="0088086B">
      <w:pPr>
        <w:tabs>
          <w:tab w:val="left" w:pos="360"/>
          <w:tab w:val="left" w:pos="900"/>
        </w:tabs>
        <w:rPr>
          <w:rFonts w:ascii="Times New Roman" w:hAnsi="Times New Roman"/>
          <w:szCs w:val="24"/>
        </w:rPr>
      </w:pPr>
      <w:bookmarkStart w:id="6720" w:name="U9336"/>
      <w:r w:rsidRPr="007A5BBC">
        <w:rPr>
          <w:rFonts w:ascii="Times New Roman" w:hAnsi="Times New Roman"/>
          <w:szCs w:val="24"/>
        </w:rPr>
        <w:t>Section 9-336</w:t>
      </w:r>
      <w:bookmarkEnd w:id="6720"/>
      <w:r w:rsidRPr="007A5BBC">
        <w:rPr>
          <w:rFonts w:ascii="Times New Roman" w:hAnsi="Times New Roman"/>
          <w:szCs w:val="24"/>
        </w:rPr>
        <w:t>. Commingled Goods.</w:t>
      </w:r>
    </w:p>
    <w:p w14:paraId="16DD6F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88086B">
      <w:pPr>
        <w:tabs>
          <w:tab w:val="left" w:pos="360"/>
          <w:tab w:val="left" w:pos="900"/>
        </w:tabs>
        <w:rPr>
          <w:rFonts w:ascii="Times New Roman" w:hAnsi="Times New Roman"/>
          <w:szCs w:val="24"/>
        </w:rPr>
      </w:pPr>
    </w:p>
    <w:p w14:paraId="4B484229" w14:textId="77777777" w:rsidR="0088086B" w:rsidRPr="007A5BBC" w:rsidRDefault="0088086B" w:rsidP="0088086B">
      <w:pPr>
        <w:tabs>
          <w:tab w:val="left" w:pos="360"/>
          <w:tab w:val="left" w:pos="900"/>
        </w:tabs>
        <w:rPr>
          <w:rFonts w:ascii="Times New Roman" w:hAnsi="Times New Roman"/>
          <w:szCs w:val="24"/>
        </w:rPr>
      </w:pPr>
      <w:bookmarkStart w:id="6721" w:name="U9337"/>
      <w:r w:rsidRPr="007A5BBC">
        <w:rPr>
          <w:rFonts w:ascii="Times New Roman" w:hAnsi="Times New Roman"/>
          <w:szCs w:val="24"/>
        </w:rPr>
        <w:t>Section 9-337</w:t>
      </w:r>
      <w:bookmarkEnd w:id="6721"/>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88086B">
      <w:pPr>
        <w:tabs>
          <w:tab w:val="left" w:pos="360"/>
          <w:tab w:val="left" w:pos="900"/>
        </w:tabs>
        <w:rPr>
          <w:rFonts w:ascii="Times New Roman" w:hAnsi="Times New Roman"/>
          <w:szCs w:val="24"/>
        </w:rPr>
      </w:pPr>
    </w:p>
    <w:p w14:paraId="1DDD72DA" w14:textId="77777777" w:rsidR="0088086B" w:rsidRPr="007A5BBC" w:rsidRDefault="0088086B" w:rsidP="0088086B">
      <w:pPr>
        <w:tabs>
          <w:tab w:val="left" w:pos="360"/>
          <w:tab w:val="left" w:pos="900"/>
        </w:tabs>
        <w:rPr>
          <w:rFonts w:ascii="Times New Roman" w:hAnsi="Times New Roman"/>
          <w:szCs w:val="24"/>
        </w:rPr>
      </w:pPr>
      <w:bookmarkStart w:id="6722" w:name="U9338"/>
      <w:r w:rsidRPr="007A5BBC">
        <w:rPr>
          <w:rFonts w:ascii="Times New Roman" w:hAnsi="Times New Roman"/>
          <w:szCs w:val="24"/>
        </w:rPr>
        <w:t>Section 9-338</w:t>
      </w:r>
      <w:bookmarkEnd w:id="6722"/>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88086B">
      <w:pPr>
        <w:tabs>
          <w:tab w:val="left" w:pos="360"/>
          <w:tab w:val="left" w:pos="900"/>
        </w:tabs>
        <w:rPr>
          <w:rFonts w:ascii="Times New Roman" w:hAnsi="Times New Roman"/>
          <w:szCs w:val="24"/>
        </w:rPr>
      </w:pPr>
    </w:p>
    <w:p w14:paraId="39A48026" w14:textId="77777777" w:rsidR="0088086B" w:rsidRPr="007A5BBC" w:rsidRDefault="0088086B" w:rsidP="0088086B">
      <w:pPr>
        <w:tabs>
          <w:tab w:val="left" w:pos="360"/>
          <w:tab w:val="left" w:pos="900"/>
        </w:tabs>
        <w:rPr>
          <w:rFonts w:ascii="Times New Roman" w:hAnsi="Times New Roman"/>
          <w:szCs w:val="24"/>
        </w:rPr>
      </w:pPr>
      <w:bookmarkStart w:id="6723" w:name="U9339"/>
      <w:r w:rsidRPr="007A5BBC">
        <w:rPr>
          <w:rFonts w:ascii="Times New Roman" w:hAnsi="Times New Roman"/>
          <w:szCs w:val="24"/>
        </w:rPr>
        <w:t>Section 9-339</w:t>
      </w:r>
      <w:bookmarkEnd w:id="6723"/>
      <w:r w:rsidRPr="007A5BBC">
        <w:rPr>
          <w:rFonts w:ascii="Times New Roman" w:hAnsi="Times New Roman"/>
          <w:szCs w:val="24"/>
        </w:rPr>
        <w:t>. Priority Subject to Subordination.</w:t>
      </w:r>
    </w:p>
    <w:p w14:paraId="76D500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88086B">
      <w:pPr>
        <w:tabs>
          <w:tab w:val="left" w:pos="360"/>
          <w:tab w:val="left" w:pos="900"/>
        </w:tabs>
        <w:rPr>
          <w:rFonts w:ascii="Times New Roman" w:hAnsi="Times New Roman"/>
          <w:szCs w:val="24"/>
        </w:rPr>
      </w:pPr>
    </w:p>
    <w:p w14:paraId="5BFFA331" w14:textId="711BDDD3" w:rsidR="0088086B" w:rsidRPr="007A5BBC" w:rsidRDefault="00782EE6" w:rsidP="0088086B">
      <w:pPr>
        <w:tabs>
          <w:tab w:val="left" w:pos="360"/>
          <w:tab w:val="left" w:pos="900"/>
        </w:tabs>
        <w:jc w:val="center"/>
        <w:rPr>
          <w:rFonts w:ascii="Times New Roman" w:hAnsi="Times New Roman"/>
          <w:szCs w:val="24"/>
        </w:rPr>
      </w:pPr>
      <w:bookmarkStart w:id="6724"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6724"/>
      <w:r w:rsidR="0088086B" w:rsidRPr="007A5BBC">
        <w:rPr>
          <w:rFonts w:ascii="Times New Roman" w:hAnsi="Times New Roman"/>
          <w:szCs w:val="24"/>
        </w:rPr>
        <w:t>- RIGHTS OF BANK</w:t>
      </w:r>
    </w:p>
    <w:p w14:paraId="79247EBE" w14:textId="77777777" w:rsidR="0088086B" w:rsidRPr="007A5BBC" w:rsidRDefault="0088086B" w:rsidP="0088086B">
      <w:pPr>
        <w:tabs>
          <w:tab w:val="left" w:pos="360"/>
          <w:tab w:val="left" w:pos="900"/>
        </w:tabs>
        <w:rPr>
          <w:rFonts w:ascii="Times New Roman" w:hAnsi="Times New Roman"/>
          <w:szCs w:val="24"/>
        </w:rPr>
      </w:pPr>
    </w:p>
    <w:p w14:paraId="081F271A" w14:textId="77777777" w:rsidR="0088086B" w:rsidRPr="007A5BBC" w:rsidRDefault="0088086B" w:rsidP="0088086B">
      <w:pPr>
        <w:tabs>
          <w:tab w:val="left" w:pos="360"/>
          <w:tab w:val="left" w:pos="900"/>
        </w:tabs>
        <w:rPr>
          <w:rFonts w:ascii="Times New Roman" w:hAnsi="Times New Roman"/>
          <w:szCs w:val="24"/>
        </w:rPr>
      </w:pPr>
      <w:bookmarkStart w:id="6725" w:name="U9340"/>
      <w:r w:rsidRPr="007A5BBC">
        <w:rPr>
          <w:rFonts w:ascii="Times New Roman" w:hAnsi="Times New Roman"/>
          <w:szCs w:val="24"/>
        </w:rPr>
        <w:t>Section 9-340</w:t>
      </w:r>
      <w:bookmarkEnd w:id="6725"/>
      <w:r w:rsidRPr="007A5BBC">
        <w:rPr>
          <w:rFonts w:ascii="Times New Roman" w:hAnsi="Times New Roman"/>
          <w:szCs w:val="24"/>
        </w:rPr>
        <w:t>. Effectiveness of Right of Recoupment or Set-off Against Deposit Account.</w:t>
      </w:r>
    </w:p>
    <w:p w14:paraId="2E2BCF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set-off ineffective. The exercise by a bank of a set-off against a deposit account is ineffective against a secured party that holds a security interest in the deposit account which is perfected by control under Section 9-104(a)(3), if the set-off is based on a claim against the debtor.</w:t>
      </w:r>
    </w:p>
    <w:p w14:paraId="7584AE6F" w14:textId="77777777" w:rsidR="0088086B" w:rsidRPr="007A5BBC" w:rsidRDefault="0088086B" w:rsidP="0088086B">
      <w:pPr>
        <w:tabs>
          <w:tab w:val="left" w:pos="360"/>
          <w:tab w:val="left" w:pos="900"/>
        </w:tabs>
        <w:rPr>
          <w:rFonts w:ascii="Times New Roman" w:hAnsi="Times New Roman"/>
          <w:szCs w:val="24"/>
        </w:rPr>
      </w:pPr>
    </w:p>
    <w:p w14:paraId="7E24C531" w14:textId="77777777" w:rsidR="0088086B" w:rsidRPr="007A5BBC" w:rsidRDefault="0088086B" w:rsidP="0088086B">
      <w:pPr>
        <w:tabs>
          <w:tab w:val="left" w:pos="360"/>
          <w:tab w:val="left" w:pos="900"/>
        </w:tabs>
        <w:rPr>
          <w:rFonts w:ascii="Times New Roman" w:hAnsi="Times New Roman"/>
          <w:szCs w:val="24"/>
        </w:rPr>
      </w:pPr>
      <w:bookmarkStart w:id="6726" w:name="U9341"/>
      <w:r w:rsidRPr="007A5BBC">
        <w:rPr>
          <w:rFonts w:ascii="Times New Roman" w:hAnsi="Times New Roman"/>
          <w:szCs w:val="24"/>
        </w:rPr>
        <w:t>Section 9-341</w:t>
      </w:r>
      <w:bookmarkEnd w:id="6726"/>
      <w:r w:rsidRPr="007A5BBC">
        <w:rPr>
          <w:rFonts w:ascii="Times New Roman" w:hAnsi="Times New Roman"/>
          <w:szCs w:val="24"/>
        </w:rPr>
        <w:t>. Bank's Rights and Duties with Respect to Deposit Account.</w:t>
      </w:r>
    </w:p>
    <w:p w14:paraId="63ADE6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88086B">
      <w:pPr>
        <w:tabs>
          <w:tab w:val="left" w:pos="360"/>
          <w:tab w:val="left" w:pos="900"/>
        </w:tabs>
        <w:rPr>
          <w:rFonts w:ascii="Times New Roman" w:hAnsi="Times New Roman"/>
          <w:szCs w:val="24"/>
        </w:rPr>
      </w:pPr>
    </w:p>
    <w:p w14:paraId="439D2FBA" w14:textId="77777777" w:rsidR="0088086B" w:rsidRPr="007A5BBC" w:rsidRDefault="0088086B" w:rsidP="0088086B">
      <w:pPr>
        <w:tabs>
          <w:tab w:val="left" w:pos="360"/>
          <w:tab w:val="left" w:pos="900"/>
        </w:tabs>
        <w:rPr>
          <w:rFonts w:ascii="Times New Roman" w:hAnsi="Times New Roman"/>
          <w:szCs w:val="24"/>
        </w:rPr>
      </w:pPr>
      <w:bookmarkStart w:id="6727" w:name="U9342"/>
      <w:r w:rsidRPr="007A5BBC">
        <w:rPr>
          <w:rFonts w:ascii="Times New Roman" w:hAnsi="Times New Roman"/>
          <w:szCs w:val="24"/>
        </w:rPr>
        <w:t>Section 9-342</w:t>
      </w:r>
      <w:bookmarkEnd w:id="6727"/>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88086B">
      <w:pPr>
        <w:tabs>
          <w:tab w:val="left" w:pos="360"/>
          <w:tab w:val="left" w:pos="900"/>
        </w:tabs>
        <w:rPr>
          <w:rFonts w:ascii="Times New Roman" w:hAnsi="Times New Roman"/>
          <w:szCs w:val="24"/>
        </w:rPr>
      </w:pPr>
    </w:p>
    <w:p w14:paraId="2F428E08" w14:textId="0604DB93" w:rsidR="0088086B" w:rsidRPr="007A5BBC" w:rsidRDefault="0088086B" w:rsidP="0088086B">
      <w:pPr>
        <w:tabs>
          <w:tab w:val="left" w:pos="360"/>
          <w:tab w:val="left" w:pos="900"/>
        </w:tabs>
        <w:jc w:val="center"/>
        <w:rPr>
          <w:rFonts w:ascii="Times New Roman" w:hAnsi="Times New Roman"/>
          <w:szCs w:val="24"/>
        </w:rPr>
      </w:pPr>
      <w:bookmarkStart w:id="6728" w:name="UPart4"/>
      <w:r w:rsidRPr="007A5BBC">
        <w:rPr>
          <w:rFonts w:ascii="Times New Roman" w:hAnsi="Times New Roman"/>
          <w:szCs w:val="24"/>
        </w:rPr>
        <w:t>Part 4</w:t>
      </w:r>
      <w:bookmarkEnd w:id="6728"/>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88086B">
      <w:pPr>
        <w:tabs>
          <w:tab w:val="left" w:pos="360"/>
          <w:tab w:val="left" w:pos="900"/>
        </w:tabs>
        <w:rPr>
          <w:rFonts w:ascii="Times New Roman" w:hAnsi="Times New Roman"/>
          <w:szCs w:val="24"/>
        </w:rPr>
      </w:pPr>
    </w:p>
    <w:p w14:paraId="32350CD0" w14:textId="77777777" w:rsidR="0088086B" w:rsidRPr="007A5BBC" w:rsidRDefault="0088086B" w:rsidP="0088086B">
      <w:pPr>
        <w:tabs>
          <w:tab w:val="left" w:pos="360"/>
          <w:tab w:val="left" w:pos="900"/>
        </w:tabs>
        <w:rPr>
          <w:rFonts w:ascii="Times New Roman" w:hAnsi="Times New Roman"/>
          <w:szCs w:val="24"/>
        </w:rPr>
      </w:pPr>
      <w:bookmarkStart w:id="6729" w:name="U9401"/>
      <w:r w:rsidRPr="007A5BBC">
        <w:rPr>
          <w:rFonts w:ascii="Times New Roman" w:hAnsi="Times New Roman"/>
          <w:szCs w:val="24"/>
        </w:rPr>
        <w:t>Section 9-401</w:t>
      </w:r>
      <w:bookmarkEnd w:id="6729"/>
      <w:r w:rsidRPr="007A5BBC">
        <w:rPr>
          <w:rFonts w:ascii="Times New Roman" w:hAnsi="Times New Roman"/>
          <w:szCs w:val="24"/>
        </w:rPr>
        <w:t>. Alienability of Debtor's Rights.</w:t>
      </w:r>
    </w:p>
    <w:p w14:paraId="383962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88086B">
      <w:pPr>
        <w:tabs>
          <w:tab w:val="left" w:pos="360"/>
          <w:tab w:val="left" w:pos="900"/>
        </w:tabs>
        <w:rPr>
          <w:rFonts w:ascii="Times New Roman" w:hAnsi="Times New Roman"/>
          <w:szCs w:val="24"/>
        </w:rPr>
      </w:pPr>
    </w:p>
    <w:p w14:paraId="0A29AD40" w14:textId="77777777" w:rsidR="0088086B" w:rsidRPr="007A5BBC" w:rsidRDefault="0088086B" w:rsidP="0088086B">
      <w:pPr>
        <w:tabs>
          <w:tab w:val="left" w:pos="360"/>
          <w:tab w:val="left" w:pos="900"/>
        </w:tabs>
        <w:rPr>
          <w:rFonts w:ascii="Times New Roman" w:hAnsi="Times New Roman"/>
          <w:szCs w:val="24"/>
        </w:rPr>
      </w:pPr>
      <w:bookmarkStart w:id="6730" w:name="U9402"/>
      <w:r w:rsidRPr="007A5BBC">
        <w:rPr>
          <w:rFonts w:ascii="Times New Roman" w:hAnsi="Times New Roman"/>
          <w:szCs w:val="24"/>
        </w:rPr>
        <w:t>Section 9-402</w:t>
      </w:r>
      <w:bookmarkEnd w:id="6730"/>
      <w:r w:rsidRPr="007A5BBC">
        <w:rPr>
          <w:rFonts w:ascii="Times New Roman" w:hAnsi="Times New Roman"/>
          <w:szCs w:val="24"/>
        </w:rPr>
        <w:t>. Secured Party Not Obligated on Contract of Debtor or in Tort.</w:t>
      </w:r>
    </w:p>
    <w:p w14:paraId="7BE83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88086B">
      <w:pPr>
        <w:tabs>
          <w:tab w:val="left" w:pos="360"/>
          <w:tab w:val="left" w:pos="900"/>
        </w:tabs>
        <w:rPr>
          <w:rFonts w:ascii="Times New Roman" w:hAnsi="Times New Roman"/>
          <w:szCs w:val="24"/>
        </w:rPr>
      </w:pPr>
    </w:p>
    <w:p w14:paraId="3721FD63" w14:textId="77777777" w:rsidR="0088086B" w:rsidRPr="007A5BBC" w:rsidRDefault="0088086B" w:rsidP="0088086B">
      <w:pPr>
        <w:tabs>
          <w:tab w:val="left" w:pos="360"/>
          <w:tab w:val="left" w:pos="900"/>
        </w:tabs>
        <w:rPr>
          <w:rFonts w:ascii="Times New Roman" w:hAnsi="Times New Roman"/>
          <w:szCs w:val="24"/>
        </w:rPr>
      </w:pPr>
      <w:bookmarkStart w:id="6731" w:name="U9403"/>
      <w:r w:rsidRPr="007A5BBC">
        <w:rPr>
          <w:rFonts w:ascii="Times New Roman" w:hAnsi="Times New Roman"/>
          <w:szCs w:val="24"/>
        </w:rPr>
        <w:t>Section 9-403</w:t>
      </w:r>
      <w:bookmarkEnd w:id="6731"/>
      <w:r w:rsidRPr="007A5BBC">
        <w:rPr>
          <w:rFonts w:ascii="Times New Roman" w:hAnsi="Times New Roman"/>
          <w:szCs w:val="24"/>
        </w:rPr>
        <w:t>. Agreement Not to Assert Defenses Against Assignee.</w:t>
      </w:r>
    </w:p>
    <w:p w14:paraId="2E029BB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the instrument even though the person is not the owner of the instrument or is in wrongful possession of the instrument.</w:t>
      </w:r>
    </w:p>
    <w:p w14:paraId="351D03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rights of an assignee are subject to claims or defenses that the account debtor could assert against the original obligee, and the record does not include such a statement:</w:t>
      </w:r>
    </w:p>
    <w:p w14:paraId="26A276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88086B">
      <w:pPr>
        <w:tabs>
          <w:tab w:val="left" w:pos="360"/>
          <w:tab w:val="left" w:pos="900"/>
        </w:tabs>
        <w:rPr>
          <w:rFonts w:ascii="Times New Roman" w:hAnsi="Times New Roman"/>
          <w:szCs w:val="24"/>
        </w:rPr>
      </w:pPr>
    </w:p>
    <w:p w14:paraId="191AACC2" w14:textId="77777777" w:rsidR="0088086B" w:rsidRPr="007A5BBC" w:rsidRDefault="0088086B" w:rsidP="0088086B">
      <w:pPr>
        <w:tabs>
          <w:tab w:val="left" w:pos="360"/>
          <w:tab w:val="left" w:pos="900"/>
        </w:tabs>
        <w:rPr>
          <w:rFonts w:ascii="Times New Roman" w:hAnsi="Times New Roman"/>
          <w:szCs w:val="24"/>
        </w:rPr>
      </w:pPr>
      <w:bookmarkStart w:id="6732" w:name="U9404"/>
      <w:r w:rsidRPr="007A5BBC">
        <w:rPr>
          <w:rFonts w:ascii="Times New Roman" w:hAnsi="Times New Roman"/>
          <w:szCs w:val="24"/>
        </w:rPr>
        <w:t>Section 9-404</w:t>
      </w:r>
      <w:bookmarkEnd w:id="6732"/>
      <w:r w:rsidRPr="007A5BBC">
        <w:rPr>
          <w:rFonts w:ascii="Times New Roman" w:hAnsi="Times New Roman"/>
          <w:szCs w:val="24"/>
        </w:rPr>
        <w:t>. Rights Acquired by Assignee; Claims and Defenses Against Assignee.</w:t>
      </w:r>
    </w:p>
    <w:p w14:paraId="2F623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88086B">
      <w:pPr>
        <w:tabs>
          <w:tab w:val="left" w:pos="360"/>
          <w:tab w:val="left" w:pos="900"/>
        </w:tabs>
        <w:rPr>
          <w:rFonts w:ascii="Times New Roman" w:hAnsi="Times New Roman"/>
          <w:szCs w:val="24"/>
        </w:rPr>
      </w:pPr>
    </w:p>
    <w:p w14:paraId="4BB8315A" w14:textId="77777777" w:rsidR="0088086B" w:rsidRPr="007A5BBC" w:rsidRDefault="0088086B" w:rsidP="0088086B">
      <w:pPr>
        <w:tabs>
          <w:tab w:val="left" w:pos="360"/>
          <w:tab w:val="left" w:pos="900"/>
        </w:tabs>
        <w:rPr>
          <w:rFonts w:ascii="Times New Roman" w:hAnsi="Times New Roman"/>
          <w:szCs w:val="24"/>
        </w:rPr>
      </w:pPr>
      <w:bookmarkStart w:id="6733" w:name="U9405"/>
      <w:r w:rsidRPr="007A5BBC">
        <w:rPr>
          <w:rFonts w:ascii="Times New Roman" w:hAnsi="Times New Roman"/>
          <w:szCs w:val="24"/>
        </w:rPr>
        <w:t>Section 9-405</w:t>
      </w:r>
      <w:bookmarkEnd w:id="6733"/>
      <w:r w:rsidRPr="007A5BBC">
        <w:rPr>
          <w:rFonts w:ascii="Times New Roman" w:hAnsi="Times New Roman"/>
          <w:szCs w:val="24"/>
        </w:rPr>
        <w:t xml:space="preserve">. Modification of Assigned Contract. </w:t>
      </w:r>
    </w:p>
    <w:p w14:paraId="744A1C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88086B">
      <w:pPr>
        <w:tabs>
          <w:tab w:val="left" w:pos="360"/>
          <w:tab w:val="left" w:pos="900"/>
        </w:tabs>
        <w:rPr>
          <w:rFonts w:ascii="Times New Roman" w:hAnsi="Times New Roman"/>
          <w:szCs w:val="24"/>
        </w:rPr>
      </w:pPr>
    </w:p>
    <w:p w14:paraId="4038860D" w14:textId="77777777" w:rsidR="0088086B" w:rsidRPr="007A5BBC" w:rsidRDefault="0088086B" w:rsidP="0088086B">
      <w:pPr>
        <w:tabs>
          <w:tab w:val="left" w:pos="360"/>
          <w:tab w:val="left" w:pos="900"/>
        </w:tabs>
        <w:rPr>
          <w:rFonts w:ascii="Times New Roman" w:hAnsi="Times New Roman"/>
          <w:szCs w:val="24"/>
        </w:rPr>
      </w:pPr>
      <w:bookmarkStart w:id="6734" w:name="U9406"/>
      <w:r w:rsidRPr="007A5BBC">
        <w:rPr>
          <w:rFonts w:ascii="Times New Roman" w:hAnsi="Times New Roman"/>
          <w:szCs w:val="24"/>
        </w:rPr>
        <w:t>Section 9-406</w:t>
      </w:r>
      <w:bookmarkEnd w:id="6734"/>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(A) only a portion of the account, chattel paper, or payment intangible has been assigned to that assignee; (B) a portion has been assigned to another assignee; or</w:t>
      </w:r>
    </w:p>
    <w:p w14:paraId="706FF110"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88086B">
      <w:pPr>
        <w:tabs>
          <w:tab w:val="left" w:pos="360"/>
          <w:tab w:val="left" w:pos="900"/>
        </w:tabs>
        <w:rPr>
          <w:rFonts w:ascii="Times New Roman" w:hAnsi="Times New Roman"/>
          <w:szCs w:val="24"/>
        </w:rPr>
      </w:pPr>
    </w:p>
    <w:p w14:paraId="4463157E" w14:textId="77777777" w:rsidR="0088086B" w:rsidRPr="007A5BBC" w:rsidRDefault="0088086B" w:rsidP="0088086B">
      <w:pPr>
        <w:tabs>
          <w:tab w:val="left" w:pos="360"/>
          <w:tab w:val="left" w:pos="900"/>
        </w:tabs>
        <w:rPr>
          <w:rFonts w:ascii="Times New Roman" w:hAnsi="Times New Roman"/>
          <w:szCs w:val="24"/>
        </w:rPr>
      </w:pPr>
      <w:bookmarkStart w:id="6735" w:name="U9407"/>
      <w:r w:rsidRPr="007A5BBC">
        <w:rPr>
          <w:rFonts w:ascii="Times New Roman" w:hAnsi="Times New Roman"/>
          <w:szCs w:val="24"/>
        </w:rPr>
        <w:t>Section 9-407</w:t>
      </w:r>
      <w:bookmarkEnd w:id="6735"/>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transfer by the lessee of the lessee's right of possession or use of the goods in violation of the term; or</w:t>
      </w:r>
    </w:p>
    <w:p w14:paraId="23A9DD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88086B">
      <w:pPr>
        <w:tabs>
          <w:tab w:val="left" w:pos="360"/>
          <w:tab w:val="left" w:pos="900"/>
        </w:tabs>
        <w:rPr>
          <w:rFonts w:ascii="Times New Roman" w:hAnsi="Times New Roman"/>
          <w:szCs w:val="24"/>
        </w:rPr>
      </w:pPr>
    </w:p>
    <w:p w14:paraId="2B96575C" w14:textId="77777777" w:rsidR="0088086B" w:rsidRPr="007A5BBC" w:rsidRDefault="0088086B" w:rsidP="0088086B">
      <w:pPr>
        <w:tabs>
          <w:tab w:val="left" w:pos="360"/>
          <w:tab w:val="left" w:pos="900"/>
        </w:tabs>
        <w:rPr>
          <w:rFonts w:ascii="Times New Roman" w:hAnsi="Times New Roman"/>
          <w:szCs w:val="24"/>
        </w:rPr>
      </w:pPr>
      <w:bookmarkStart w:id="6736" w:name="U9408"/>
      <w:r w:rsidRPr="007A5BBC">
        <w:rPr>
          <w:rFonts w:ascii="Times New Roman" w:hAnsi="Times New Roman"/>
          <w:szCs w:val="24"/>
        </w:rPr>
        <w:t>Section 9-408</w:t>
      </w:r>
      <w:bookmarkEnd w:id="6736"/>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defense, termination, right of termination, or remedy under the promissory note, health-care-insurance receivable, or general intangible. </w:t>
      </w:r>
    </w:p>
    <w:p w14:paraId="02B89F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88086B">
      <w:pPr>
        <w:tabs>
          <w:tab w:val="left" w:pos="360"/>
          <w:tab w:val="left" w:pos="900"/>
        </w:tabs>
        <w:rPr>
          <w:rFonts w:ascii="Times New Roman" w:hAnsi="Times New Roman"/>
          <w:szCs w:val="24"/>
        </w:rPr>
      </w:pPr>
    </w:p>
    <w:p w14:paraId="5D8EB3E5" w14:textId="77777777" w:rsidR="0088086B" w:rsidRPr="007A5BBC" w:rsidRDefault="0088086B" w:rsidP="0088086B">
      <w:pPr>
        <w:tabs>
          <w:tab w:val="left" w:pos="360"/>
          <w:tab w:val="left" w:pos="900"/>
        </w:tabs>
        <w:rPr>
          <w:rFonts w:ascii="Times New Roman" w:hAnsi="Times New Roman"/>
          <w:szCs w:val="24"/>
        </w:rPr>
      </w:pPr>
      <w:bookmarkStart w:id="6737" w:name="U9409"/>
      <w:r w:rsidRPr="007A5BBC">
        <w:rPr>
          <w:rFonts w:ascii="Times New Roman" w:hAnsi="Times New Roman"/>
          <w:szCs w:val="24"/>
        </w:rPr>
        <w:t>Section 9-409</w:t>
      </w:r>
      <w:bookmarkEnd w:id="6737"/>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or law restricting assignment generally ineffective. A term in a letter-of-credit or a rule of law, statute, regulation, custom, or practice applicable to the letter of credit which prohibits, restricts, or requires the consent of an applicant, issuer, or nominated person to a 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88086B">
      <w:pPr>
        <w:tabs>
          <w:tab w:val="left" w:pos="360"/>
          <w:tab w:val="left" w:pos="900"/>
        </w:tabs>
        <w:rPr>
          <w:rFonts w:ascii="Times New Roman" w:hAnsi="Times New Roman"/>
          <w:szCs w:val="24"/>
        </w:rPr>
      </w:pPr>
    </w:p>
    <w:p w14:paraId="0A9676FB" w14:textId="77777777" w:rsidR="0088086B" w:rsidRPr="007A5BBC" w:rsidRDefault="0088086B" w:rsidP="0088086B">
      <w:pPr>
        <w:tabs>
          <w:tab w:val="left" w:pos="360"/>
          <w:tab w:val="left" w:pos="900"/>
        </w:tabs>
        <w:jc w:val="center"/>
        <w:rPr>
          <w:rFonts w:ascii="Times New Roman" w:hAnsi="Times New Roman"/>
          <w:szCs w:val="24"/>
        </w:rPr>
      </w:pPr>
      <w:bookmarkStart w:id="6738" w:name="UPart5"/>
      <w:r w:rsidRPr="007A5BBC">
        <w:rPr>
          <w:rFonts w:ascii="Times New Roman" w:hAnsi="Times New Roman"/>
          <w:szCs w:val="24"/>
        </w:rPr>
        <w:t>Part 5</w:t>
      </w:r>
      <w:bookmarkEnd w:id="6738"/>
      <w:r w:rsidRPr="007A5BBC">
        <w:rPr>
          <w:rFonts w:ascii="Times New Roman" w:hAnsi="Times New Roman"/>
          <w:szCs w:val="24"/>
        </w:rPr>
        <w:t>- FILING</w:t>
      </w:r>
    </w:p>
    <w:p w14:paraId="495F3B2C" w14:textId="5BE984DC"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88086B">
      <w:pPr>
        <w:tabs>
          <w:tab w:val="left" w:pos="360"/>
          <w:tab w:val="left" w:pos="900"/>
        </w:tabs>
        <w:rPr>
          <w:rFonts w:ascii="Times New Roman" w:hAnsi="Times New Roman"/>
          <w:szCs w:val="24"/>
        </w:rPr>
      </w:pPr>
    </w:p>
    <w:p w14:paraId="4409084E" w14:textId="77777777" w:rsidR="0088086B" w:rsidRPr="007A5BBC" w:rsidRDefault="0088086B" w:rsidP="0088086B">
      <w:pPr>
        <w:tabs>
          <w:tab w:val="left" w:pos="360"/>
          <w:tab w:val="left" w:pos="900"/>
        </w:tabs>
        <w:rPr>
          <w:rFonts w:ascii="Times New Roman" w:hAnsi="Times New Roman"/>
          <w:szCs w:val="24"/>
        </w:rPr>
      </w:pPr>
      <w:bookmarkStart w:id="6739" w:name="U9501"/>
      <w:r w:rsidRPr="007A5BBC">
        <w:rPr>
          <w:rFonts w:ascii="Times New Roman" w:hAnsi="Times New Roman"/>
          <w:szCs w:val="24"/>
        </w:rPr>
        <w:t>Section 9-501</w:t>
      </w:r>
      <w:bookmarkEnd w:id="6739"/>
      <w:r w:rsidRPr="007A5BBC">
        <w:rPr>
          <w:rFonts w:ascii="Times New Roman" w:hAnsi="Times New Roman"/>
          <w:szCs w:val="24"/>
        </w:rPr>
        <w:t xml:space="preserve">. Filing Office. </w:t>
      </w:r>
    </w:p>
    <w:p w14:paraId="29907E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88086B">
      <w:pPr>
        <w:tabs>
          <w:tab w:val="left" w:pos="360"/>
          <w:tab w:val="left" w:pos="900"/>
        </w:tabs>
        <w:rPr>
          <w:rFonts w:ascii="Times New Roman" w:hAnsi="Times New Roman"/>
          <w:szCs w:val="24"/>
        </w:rPr>
      </w:pPr>
    </w:p>
    <w:p w14:paraId="42A46669" w14:textId="77777777" w:rsidR="0088086B" w:rsidRPr="007A5BBC" w:rsidRDefault="0088086B" w:rsidP="0088086B">
      <w:pPr>
        <w:tabs>
          <w:tab w:val="left" w:pos="360"/>
          <w:tab w:val="left" w:pos="900"/>
        </w:tabs>
        <w:rPr>
          <w:rFonts w:ascii="Times New Roman" w:hAnsi="Times New Roman"/>
          <w:szCs w:val="24"/>
        </w:rPr>
      </w:pPr>
      <w:bookmarkStart w:id="6740" w:name="U9502"/>
      <w:r w:rsidRPr="007A5BBC">
        <w:rPr>
          <w:rFonts w:ascii="Times New Roman" w:hAnsi="Times New Roman"/>
          <w:szCs w:val="24"/>
        </w:rPr>
        <w:t>Section 9-502</w:t>
      </w:r>
      <w:bookmarkEnd w:id="6740"/>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 the case of a cooperative interest, indicates the number or other designation and the street address of the cooperative unit. </w:t>
      </w:r>
    </w:p>
    <w:p w14:paraId="40207B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if the debtor does not have an interest of record in the real property, provide the name of a record owner. </w:t>
      </w:r>
    </w:p>
    <w:p w14:paraId="7C8DD6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county in which the cooperative unit is located;</w:t>
      </w:r>
    </w:p>
    <w:p w14:paraId="5C1C2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88086B">
      <w:pPr>
        <w:tabs>
          <w:tab w:val="left" w:pos="360"/>
          <w:tab w:val="left" w:pos="900"/>
        </w:tabs>
        <w:ind w:left="720"/>
        <w:rPr>
          <w:rFonts w:ascii="Times New Roman" w:hAnsi="Times New Roman"/>
          <w:szCs w:val="24"/>
        </w:rPr>
      </w:pPr>
    </w:p>
    <w:p w14:paraId="73D1C30F" w14:textId="77777777" w:rsidR="0088086B" w:rsidRPr="007A5BBC" w:rsidRDefault="0088086B" w:rsidP="0088086B">
      <w:pPr>
        <w:tabs>
          <w:tab w:val="left" w:pos="360"/>
          <w:tab w:val="left" w:pos="900"/>
        </w:tabs>
        <w:rPr>
          <w:rFonts w:ascii="Times New Roman" w:hAnsi="Times New Roman"/>
          <w:szCs w:val="24"/>
        </w:rPr>
      </w:pPr>
      <w:bookmarkStart w:id="6741" w:name="U9503"/>
      <w:r w:rsidRPr="007A5BBC">
        <w:rPr>
          <w:rFonts w:ascii="Times New Roman" w:hAnsi="Times New Roman"/>
          <w:szCs w:val="24"/>
        </w:rPr>
        <w:t>Section 9-503</w:t>
      </w:r>
      <w:bookmarkEnd w:id="6741"/>
      <w:r w:rsidRPr="007A5BBC">
        <w:rPr>
          <w:rFonts w:ascii="Times New Roman" w:hAnsi="Times New Roman"/>
          <w:szCs w:val="24"/>
        </w:rPr>
        <w:t xml:space="preserve">. Name of Debtor and Secured Party. </w:t>
      </w:r>
    </w:p>
    <w:p w14:paraId="5134FD0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registered organization's jurisdiction of organization which purports to state, amend, or restate the registered organization's name;</w:t>
      </w:r>
    </w:p>
    <w:p w14:paraId="21C70A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unless required under subsection (a)(6)(B), names of partners, members, associates, or other persons comprising the debtor. </w:t>
      </w:r>
    </w:p>
    <w:p w14:paraId="5484B6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88086B">
      <w:pPr>
        <w:tabs>
          <w:tab w:val="left" w:pos="360"/>
          <w:tab w:val="left" w:pos="900"/>
        </w:tabs>
        <w:rPr>
          <w:rFonts w:ascii="Times New Roman" w:hAnsi="Times New Roman"/>
          <w:szCs w:val="24"/>
        </w:rPr>
      </w:pPr>
    </w:p>
    <w:p w14:paraId="5A7F09F9" w14:textId="77777777" w:rsidR="0088086B" w:rsidRPr="007A5BBC" w:rsidRDefault="0088086B" w:rsidP="0088086B">
      <w:pPr>
        <w:tabs>
          <w:tab w:val="left" w:pos="360"/>
          <w:tab w:val="left" w:pos="900"/>
        </w:tabs>
        <w:rPr>
          <w:rFonts w:ascii="Times New Roman" w:hAnsi="Times New Roman"/>
          <w:szCs w:val="24"/>
        </w:rPr>
      </w:pPr>
      <w:bookmarkStart w:id="6742" w:name="U9504"/>
      <w:r w:rsidRPr="007A5BBC">
        <w:rPr>
          <w:rFonts w:ascii="Times New Roman" w:hAnsi="Times New Roman"/>
          <w:szCs w:val="24"/>
        </w:rPr>
        <w:t>Section 9-504</w:t>
      </w:r>
      <w:bookmarkEnd w:id="6742"/>
      <w:r w:rsidRPr="007A5BBC">
        <w:rPr>
          <w:rFonts w:ascii="Times New Roman" w:hAnsi="Times New Roman"/>
          <w:szCs w:val="24"/>
        </w:rPr>
        <w:t xml:space="preserve">. Indication of Collateral. </w:t>
      </w:r>
    </w:p>
    <w:p w14:paraId="56AE6A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88086B">
      <w:pPr>
        <w:tabs>
          <w:tab w:val="left" w:pos="360"/>
          <w:tab w:val="left" w:pos="900"/>
        </w:tabs>
        <w:rPr>
          <w:rFonts w:ascii="Times New Roman" w:hAnsi="Times New Roman"/>
          <w:szCs w:val="24"/>
        </w:rPr>
      </w:pPr>
    </w:p>
    <w:p w14:paraId="7D9B6652" w14:textId="77777777" w:rsidR="0088086B" w:rsidRPr="007A5BBC" w:rsidRDefault="0088086B" w:rsidP="0088086B">
      <w:pPr>
        <w:tabs>
          <w:tab w:val="left" w:pos="360"/>
          <w:tab w:val="left" w:pos="900"/>
        </w:tabs>
        <w:rPr>
          <w:rFonts w:ascii="Times New Roman" w:hAnsi="Times New Roman"/>
          <w:szCs w:val="24"/>
        </w:rPr>
      </w:pPr>
      <w:bookmarkStart w:id="6743" w:name="U9505"/>
      <w:r w:rsidRPr="007A5BBC">
        <w:rPr>
          <w:rFonts w:ascii="Times New Roman" w:hAnsi="Times New Roman"/>
          <w:szCs w:val="24"/>
        </w:rPr>
        <w:t>Section 9-505</w:t>
      </w:r>
      <w:bookmarkEnd w:id="6743"/>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financing statement under subsection (a). This part applies to the filing of a financing statement under subsection (a) and, as appropriate, to compliance that is equivalent 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88086B">
      <w:pPr>
        <w:tabs>
          <w:tab w:val="left" w:pos="360"/>
          <w:tab w:val="left" w:pos="900"/>
        </w:tabs>
        <w:rPr>
          <w:rFonts w:ascii="Times New Roman" w:hAnsi="Times New Roman"/>
          <w:szCs w:val="24"/>
        </w:rPr>
      </w:pPr>
    </w:p>
    <w:p w14:paraId="6251D72F" w14:textId="77777777" w:rsidR="0088086B" w:rsidRPr="007A5BBC" w:rsidRDefault="0088086B" w:rsidP="0088086B">
      <w:pPr>
        <w:tabs>
          <w:tab w:val="left" w:pos="360"/>
          <w:tab w:val="left" w:pos="900"/>
        </w:tabs>
        <w:rPr>
          <w:rFonts w:ascii="Times New Roman" w:hAnsi="Times New Roman"/>
          <w:szCs w:val="24"/>
        </w:rPr>
      </w:pPr>
      <w:bookmarkStart w:id="6744" w:name="U9506"/>
      <w:r w:rsidRPr="007A5BBC">
        <w:rPr>
          <w:rFonts w:ascii="Times New Roman" w:hAnsi="Times New Roman"/>
          <w:szCs w:val="24"/>
        </w:rPr>
        <w:t>Section 9-506</w:t>
      </w:r>
      <w:bookmarkEnd w:id="6744"/>
      <w:r w:rsidRPr="007A5BBC">
        <w:rPr>
          <w:rFonts w:ascii="Times New Roman" w:hAnsi="Times New Roman"/>
          <w:szCs w:val="24"/>
        </w:rPr>
        <w:t xml:space="preserve">. Effect of Errors or Omissions. </w:t>
      </w:r>
    </w:p>
    <w:p w14:paraId="78B908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88086B">
      <w:pPr>
        <w:tabs>
          <w:tab w:val="left" w:pos="360"/>
          <w:tab w:val="left" w:pos="900"/>
        </w:tabs>
        <w:rPr>
          <w:rFonts w:ascii="Times New Roman" w:hAnsi="Times New Roman"/>
          <w:szCs w:val="24"/>
        </w:rPr>
      </w:pPr>
    </w:p>
    <w:p w14:paraId="0185126A" w14:textId="77777777" w:rsidR="0088086B" w:rsidRPr="007A5BBC" w:rsidRDefault="0088086B" w:rsidP="0088086B">
      <w:pPr>
        <w:tabs>
          <w:tab w:val="left" w:pos="360"/>
          <w:tab w:val="left" w:pos="900"/>
        </w:tabs>
        <w:rPr>
          <w:rFonts w:ascii="Times New Roman" w:hAnsi="Times New Roman"/>
          <w:szCs w:val="24"/>
        </w:rPr>
      </w:pPr>
      <w:bookmarkStart w:id="6745" w:name="U9507"/>
      <w:r w:rsidRPr="007A5BBC">
        <w:rPr>
          <w:rFonts w:ascii="Times New Roman" w:hAnsi="Times New Roman"/>
          <w:szCs w:val="24"/>
        </w:rPr>
        <w:t>Section 9-507</w:t>
      </w:r>
      <w:bookmarkEnd w:id="6745"/>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debtor more than four months after the filed financing statement becomes 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88086B">
      <w:pPr>
        <w:tabs>
          <w:tab w:val="left" w:pos="360"/>
          <w:tab w:val="left" w:pos="900"/>
        </w:tabs>
        <w:rPr>
          <w:rFonts w:ascii="Times New Roman" w:hAnsi="Times New Roman"/>
          <w:szCs w:val="24"/>
        </w:rPr>
      </w:pPr>
    </w:p>
    <w:p w14:paraId="55676015" w14:textId="77777777" w:rsidR="0088086B" w:rsidRPr="007A5BBC" w:rsidRDefault="0088086B" w:rsidP="0088086B">
      <w:pPr>
        <w:tabs>
          <w:tab w:val="left" w:pos="360"/>
          <w:tab w:val="left" w:pos="900"/>
        </w:tabs>
        <w:rPr>
          <w:rFonts w:ascii="Times New Roman" w:hAnsi="Times New Roman"/>
          <w:szCs w:val="24"/>
        </w:rPr>
      </w:pPr>
      <w:bookmarkStart w:id="6746" w:name="U9508"/>
      <w:r w:rsidRPr="007A5BBC">
        <w:rPr>
          <w:rFonts w:ascii="Times New Roman" w:hAnsi="Times New Roman"/>
          <w:szCs w:val="24"/>
        </w:rPr>
        <w:t>Section 9-508</w:t>
      </w:r>
      <w:bookmarkEnd w:id="6746"/>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88086B">
      <w:pPr>
        <w:tabs>
          <w:tab w:val="left" w:pos="360"/>
          <w:tab w:val="left" w:pos="900"/>
        </w:tabs>
        <w:rPr>
          <w:rFonts w:ascii="Times New Roman" w:hAnsi="Times New Roman"/>
          <w:szCs w:val="24"/>
        </w:rPr>
      </w:pPr>
    </w:p>
    <w:p w14:paraId="463A49C2" w14:textId="77777777" w:rsidR="0088086B" w:rsidRPr="007A5BBC" w:rsidRDefault="0088086B" w:rsidP="0088086B">
      <w:pPr>
        <w:tabs>
          <w:tab w:val="left" w:pos="360"/>
          <w:tab w:val="left" w:pos="900"/>
        </w:tabs>
        <w:rPr>
          <w:rFonts w:ascii="Times New Roman" w:hAnsi="Times New Roman"/>
          <w:szCs w:val="24"/>
        </w:rPr>
      </w:pPr>
      <w:bookmarkStart w:id="6747" w:name="U9509"/>
      <w:r w:rsidRPr="007A5BBC">
        <w:rPr>
          <w:rFonts w:ascii="Times New Roman" w:hAnsi="Times New Roman"/>
          <w:szCs w:val="24"/>
        </w:rPr>
        <w:t>Section 9-509</w:t>
      </w:r>
      <w:bookmarkEnd w:id="6747"/>
      <w:r w:rsidRPr="007A5BBC">
        <w:rPr>
          <w:rFonts w:ascii="Times New Roman" w:hAnsi="Times New Roman"/>
          <w:szCs w:val="24"/>
        </w:rPr>
        <w:t xml:space="preserve">. Persons Entitled to File a Record. </w:t>
      </w:r>
    </w:p>
    <w:p w14:paraId="452C70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property that becomes collateral under Section 9-315(a)(2), whether or not the security agreement expressly covers proceeds. </w:t>
      </w:r>
    </w:p>
    <w:p w14:paraId="7B2F9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88086B">
      <w:pPr>
        <w:tabs>
          <w:tab w:val="left" w:pos="360"/>
          <w:tab w:val="left" w:pos="900"/>
        </w:tabs>
        <w:rPr>
          <w:rFonts w:ascii="Times New Roman" w:hAnsi="Times New Roman"/>
          <w:szCs w:val="24"/>
        </w:rPr>
      </w:pPr>
    </w:p>
    <w:p w14:paraId="017A3523" w14:textId="77777777" w:rsidR="0088086B" w:rsidRPr="007A5BBC" w:rsidRDefault="0088086B" w:rsidP="0088086B">
      <w:pPr>
        <w:tabs>
          <w:tab w:val="left" w:pos="360"/>
          <w:tab w:val="left" w:pos="900"/>
        </w:tabs>
        <w:rPr>
          <w:rFonts w:ascii="Times New Roman" w:hAnsi="Times New Roman"/>
          <w:szCs w:val="24"/>
        </w:rPr>
      </w:pPr>
      <w:bookmarkStart w:id="6748" w:name="U9510"/>
      <w:r w:rsidRPr="007A5BBC">
        <w:rPr>
          <w:rFonts w:ascii="Times New Roman" w:hAnsi="Times New Roman"/>
          <w:szCs w:val="24"/>
        </w:rPr>
        <w:t>Section 9-510</w:t>
      </w:r>
      <w:bookmarkEnd w:id="6748"/>
      <w:r w:rsidRPr="007A5BBC">
        <w:rPr>
          <w:rFonts w:ascii="Times New Roman" w:hAnsi="Times New Roman"/>
          <w:szCs w:val="24"/>
        </w:rPr>
        <w:t xml:space="preserve">. Effectiveness of Filed Record. </w:t>
      </w:r>
    </w:p>
    <w:p w14:paraId="48553C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88086B">
      <w:pPr>
        <w:tabs>
          <w:tab w:val="left" w:pos="360"/>
          <w:tab w:val="left" w:pos="900"/>
        </w:tabs>
        <w:rPr>
          <w:rFonts w:ascii="Times New Roman" w:hAnsi="Times New Roman"/>
          <w:szCs w:val="24"/>
        </w:rPr>
      </w:pPr>
    </w:p>
    <w:p w14:paraId="2A196BBB" w14:textId="77777777" w:rsidR="0088086B" w:rsidRPr="007A5BBC" w:rsidRDefault="0088086B" w:rsidP="0088086B">
      <w:pPr>
        <w:tabs>
          <w:tab w:val="left" w:pos="360"/>
          <w:tab w:val="left" w:pos="900"/>
        </w:tabs>
        <w:rPr>
          <w:rFonts w:ascii="Times New Roman" w:hAnsi="Times New Roman"/>
          <w:szCs w:val="24"/>
        </w:rPr>
      </w:pPr>
      <w:bookmarkStart w:id="6749" w:name="U9511"/>
      <w:r w:rsidRPr="007A5BBC">
        <w:rPr>
          <w:rFonts w:ascii="Times New Roman" w:hAnsi="Times New Roman"/>
          <w:szCs w:val="24"/>
        </w:rPr>
        <w:t>Section 9-511</w:t>
      </w:r>
      <w:bookmarkEnd w:id="6749"/>
      <w:r w:rsidRPr="007A5BBC">
        <w:rPr>
          <w:rFonts w:ascii="Times New Roman" w:hAnsi="Times New Roman"/>
          <w:szCs w:val="24"/>
        </w:rPr>
        <w:t xml:space="preserve">. Secured Party of Record. </w:t>
      </w:r>
    </w:p>
    <w:p w14:paraId="2C46AC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is filed, the person named in the amendment is a secured party of record. If an amendment is filed under Section 9-514(b), the assignee named in the amendment is a secured party of record. </w:t>
      </w:r>
    </w:p>
    <w:p w14:paraId="25EF3E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88086B">
      <w:pPr>
        <w:tabs>
          <w:tab w:val="left" w:pos="360"/>
          <w:tab w:val="left" w:pos="900"/>
        </w:tabs>
        <w:rPr>
          <w:rFonts w:ascii="Times New Roman" w:hAnsi="Times New Roman"/>
          <w:szCs w:val="24"/>
        </w:rPr>
      </w:pPr>
    </w:p>
    <w:p w14:paraId="51CDCFC9" w14:textId="77777777" w:rsidR="0088086B" w:rsidRPr="007A5BBC" w:rsidRDefault="0088086B" w:rsidP="0088086B">
      <w:pPr>
        <w:tabs>
          <w:tab w:val="left" w:pos="360"/>
          <w:tab w:val="left" w:pos="900"/>
        </w:tabs>
        <w:rPr>
          <w:rFonts w:ascii="Times New Roman" w:hAnsi="Times New Roman"/>
          <w:szCs w:val="24"/>
        </w:rPr>
      </w:pPr>
      <w:bookmarkStart w:id="6750" w:name="U9512"/>
      <w:r w:rsidRPr="007A5BBC">
        <w:rPr>
          <w:rFonts w:ascii="Times New Roman" w:hAnsi="Times New Roman"/>
          <w:szCs w:val="24"/>
        </w:rPr>
        <w:t>Section 9-512</w:t>
      </w:r>
      <w:bookmarkEnd w:id="6750"/>
      <w:r w:rsidRPr="007A5BBC">
        <w:rPr>
          <w:rFonts w:ascii="Times New Roman" w:hAnsi="Times New Roman"/>
          <w:szCs w:val="24"/>
        </w:rPr>
        <w:t xml:space="preserve">. Amendment of Financing Statement. </w:t>
      </w:r>
    </w:p>
    <w:p w14:paraId="5FA940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88086B">
      <w:pPr>
        <w:tabs>
          <w:tab w:val="left" w:pos="360"/>
          <w:tab w:val="left" w:pos="900"/>
        </w:tabs>
        <w:rPr>
          <w:rFonts w:ascii="Times New Roman" w:hAnsi="Times New Roman"/>
          <w:szCs w:val="24"/>
        </w:rPr>
      </w:pPr>
    </w:p>
    <w:p w14:paraId="460AA299" w14:textId="77777777" w:rsidR="0088086B" w:rsidRPr="007A5BBC" w:rsidRDefault="0088086B" w:rsidP="0088086B">
      <w:pPr>
        <w:tabs>
          <w:tab w:val="left" w:pos="360"/>
          <w:tab w:val="left" w:pos="900"/>
        </w:tabs>
        <w:rPr>
          <w:rFonts w:ascii="Times New Roman" w:hAnsi="Times New Roman"/>
          <w:szCs w:val="24"/>
        </w:rPr>
      </w:pPr>
      <w:bookmarkStart w:id="6751" w:name="U9513"/>
      <w:r w:rsidRPr="007A5BBC">
        <w:rPr>
          <w:rFonts w:ascii="Times New Roman" w:hAnsi="Times New Roman"/>
          <w:szCs w:val="24"/>
        </w:rPr>
        <w:t>Section 9-513</w:t>
      </w:r>
      <w:bookmarkEnd w:id="6751"/>
      <w:r w:rsidRPr="007A5BBC">
        <w:rPr>
          <w:rFonts w:ascii="Times New Roman" w:hAnsi="Times New Roman"/>
          <w:szCs w:val="24"/>
        </w:rPr>
        <w:t xml:space="preserve">. Termination Statement. </w:t>
      </w:r>
    </w:p>
    <w:p w14:paraId="210C9D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did not authorize the filing of the initial financing statement. </w:t>
      </w:r>
    </w:p>
    <w:p w14:paraId="5DD6597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for compliance with subsection (a). To comply with subsection (a), a secured party shall cause the secured party of record to file the termination statement:</w:t>
      </w:r>
    </w:p>
    <w:p w14:paraId="0332B8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the offices of the secured party, the secured party or its agent shall be entitled to a reasonable fee for attendance at the cooperative interest settlement.</w:t>
      </w:r>
    </w:p>
    <w:p w14:paraId="58A251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88086B">
      <w:pPr>
        <w:tabs>
          <w:tab w:val="left" w:pos="360"/>
          <w:tab w:val="left" w:pos="900"/>
        </w:tabs>
        <w:rPr>
          <w:rFonts w:ascii="Times New Roman" w:hAnsi="Times New Roman"/>
          <w:szCs w:val="24"/>
        </w:rPr>
      </w:pPr>
    </w:p>
    <w:p w14:paraId="6594E957" w14:textId="77777777" w:rsidR="0088086B" w:rsidRPr="007A5BBC" w:rsidRDefault="0088086B" w:rsidP="0088086B">
      <w:pPr>
        <w:tabs>
          <w:tab w:val="left" w:pos="360"/>
          <w:tab w:val="left" w:pos="900"/>
        </w:tabs>
        <w:rPr>
          <w:rFonts w:ascii="Times New Roman" w:hAnsi="Times New Roman"/>
          <w:szCs w:val="24"/>
        </w:rPr>
      </w:pPr>
      <w:bookmarkStart w:id="6752" w:name="U9514"/>
      <w:r w:rsidRPr="007A5BBC">
        <w:rPr>
          <w:rFonts w:ascii="Times New Roman" w:hAnsi="Times New Roman"/>
          <w:szCs w:val="24"/>
        </w:rPr>
        <w:t>Section 9-514</w:t>
      </w:r>
      <w:bookmarkEnd w:id="6752"/>
      <w:r w:rsidRPr="007A5BBC">
        <w:rPr>
          <w:rFonts w:ascii="Times New Roman" w:hAnsi="Times New Roman"/>
          <w:szCs w:val="24"/>
        </w:rPr>
        <w:t xml:space="preserve">. Assignment of Powers of Secured Party of Record. </w:t>
      </w:r>
    </w:p>
    <w:p w14:paraId="1CC88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88086B">
      <w:pPr>
        <w:tabs>
          <w:tab w:val="left" w:pos="360"/>
          <w:tab w:val="left" w:pos="900"/>
        </w:tabs>
        <w:rPr>
          <w:rFonts w:ascii="Times New Roman" w:hAnsi="Times New Roman"/>
          <w:szCs w:val="24"/>
        </w:rPr>
      </w:pPr>
    </w:p>
    <w:p w14:paraId="414A6E11" w14:textId="77777777" w:rsidR="0088086B" w:rsidRPr="007A5BBC" w:rsidRDefault="0088086B" w:rsidP="0088086B">
      <w:pPr>
        <w:tabs>
          <w:tab w:val="left" w:pos="360"/>
          <w:tab w:val="left" w:pos="900"/>
        </w:tabs>
        <w:rPr>
          <w:rFonts w:ascii="Times New Roman" w:hAnsi="Times New Roman"/>
          <w:szCs w:val="24"/>
        </w:rPr>
      </w:pPr>
      <w:bookmarkStart w:id="6753" w:name="U9515"/>
      <w:r w:rsidRPr="007A5BBC">
        <w:rPr>
          <w:rFonts w:ascii="Times New Roman" w:hAnsi="Times New Roman"/>
          <w:szCs w:val="24"/>
        </w:rPr>
        <w:t>Section 9-515</w:t>
      </w:r>
      <w:bookmarkEnd w:id="6753"/>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88086B">
      <w:pPr>
        <w:tabs>
          <w:tab w:val="left" w:pos="360"/>
          <w:tab w:val="left" w:pos="900"/>
        </w:tabs>
        <w:rPr>
          <w:rFonts w:ascii="Times New Roman" w:hAnsi="Times New Roman"/>
          <w:szCs w:val="24"/>
        </w:rPr>
      </w:pPr>
    </w:p>
    <w:p w14:paraId="02EA041B" w14:textId="77777777" w:rsidR="0088086B" w:rsidRPr="007A5BBC" w:rsidRDefault="0088086B" w:rsidP="0088086B">
      <w:pPr>
        <w:tabs>
          <w:tab w:val="left" w:pos="360"/>
          <w:tab w:val="left" w:pos="900"/>
        </w:tabs>
        <w:rPr>
          <w:rFonts w:ascii="Times New Roman" w:hAnsi="Times New Roman"/>
          <w:szCs w:val="24"/>
        </w:rPr>
      </w:pPr>
      <w:bookmarkStart w:id="6754" w:name="U9516"/>
      <w:r w:rsidRPr="007A5BBC">
        <w:rPr>
          <w:rFonts w:ascii="Times New Roman" w:hAnsi="Times New Roman"/>
          <w:szCs w:val="24"/>
        </w:rPr>
        <w:t>Section 9-516</w:t>
      </w:r>
      <w:bookmarkEnd w:id="6754"/>
      <w:r w:rsidRPr="007A5BBC">
        <w:rPr>
          <w:rFonts w:ascii="Times New Roman" w:hAnsi="Times New Roman"/>
          <w:szCs w:val="24"/>
        </w:rPr>
        <w:t xml:space="preserve">. What Constitutes Filing; Effectiveness of Filing. </w:t>
      </w:r>
    </w:p>
    <w:p w14:paraId="66AC3C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filing office is unable to index the record because: </w:t>
      </w:r>
    </w:p>
    <w:p w14:paraId="70FBC9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identifies an initial financing statement whose effectiveness has lapsed under Section 9-515; </w:t>
      </w:r>
    </w:p>
    <w:p w14:paraId="340615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addendum, except as against a purchaser of the collateral which gives value in reasonable reliance upon the absence of the record from the files.</w:t>
      </w:r>
    </w:p>
    <w:p w14:paraId="3BF5703E" w14:textId="77777777" w:rsidR="0088086B" w:rsidRPr="007A5BBC" w:rsidRDefault="0088086B" w:rsidP="0088086B">
      <w:pPr>
        <w:tabs>
          <w:tab w:val="left" w:pos="360"/>
          <w:tab w:val="left" w:pos="900"/>
        </w:tabs>
        <w:rPr>
          <w:rFonts w:ascii="Times New Roman" w:hAnsi="Times New Roman"/>
          <w:szCs w:val="24"/>
        </w:rPr>
      </w:pPr>
    </w:p>
    <w:p w14:paraId="51DFBEC8" w14:textId="77777777" w:rsidR="0088086B" w:rsidRPr="007A5BBC" w:rsidRDefault="0088086B" w:rsidP="0088086B">
      <w:pPr>
        <w:tabs>
          <w:tab w:val="left" w:pos="360"/>
          <w:tab w:val="left" w:pos="900"/>
        </w:tabs>
        <w:rPr>
          <w:rFonts w:ascii="Times New Roman" w:hAnsi="Times New Roman"/>
          <w:szCs w:val="24"/>
        </w:rPr>
      </w:pPr>
      <w:bookmarkStart w:id="6755" w:name="U9517"/>
      <w:r w:rsidRPr="007A5BBC">
        <w:rPr>
          <w:rFonts w:ascii="Times New Roman" w:hAnsi="Times New Roman"/>
          <w:szCs w:val="24"/>
        </w:rPr>
        <w:t>Section 9-517</w:t>
      </w:r>
      <w:bookmarkEnd w:id="6755"/>
      <w:r w:rsidRPr="007A5BBC">
        <w:rPr>
          <w:rFonts w:ascii="Times New Roman" w:hAnsi="Times New Roman"/>
          <w:szCs w:val="24"/>
        </w:rPr>
        <w:t xml:space="preserve">. Effect of Indexing Errors. </w:t>
      </w:r>
    </w:p>
    <w:p w14:paraId="0FA6EAB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88086B">
      <w:pPr>
        <w:tabs>
          <w:tab w:val="left" w:pos="360"/>
          <w:tab w:val="left" w:pos="900"/>
        </w:tabs>
        <w:rPr>
          <w:rFonts w:ascii="Times New Roman" w:hAnsi="Times New Roman"/>
          <w:szCs w:val="24"/>
        </w:rPr>
      </w:pPr>
    </w:p>
    <w:p w14:paraId="7C41CF04" w14:textId="77777777" w:rsidR="0088086B" w:rsidRPr="007A5BBC" w:rsidRDefault="0088086B" w:rsidP="0088086B">
      <w:pPr>
        <w:tabs>
          <w:tab w:val="left" w:pos="360"/>
          <w:tab w:val="left" w:pos="900"/>
        </w:tabs>
        <w:rPr>
          <w:rFonts w:ascii="Times New Roman" w:hAnsi="Times New Roman"/>
          <w:szCs w:val="24"/>
        </w:rPr>
      </w:pPr>
      <w:bookmarkStart w:id="6756" w:name="U9518"/>
      <w:r w:rsidRPr="007A5BBC">
        <w:rPr>
          <w:rFonts w:ascii="Times New Roman" w:hAnsi="Times New Roman"/>
          <w:szCs w:val="24"/>
        </w:rPr>
        <w:t>Section 9-518</w:t>
      </w:r>
      <w:bookmarkEnd w:id="6756"/>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Special proceeding to redact or expunge a falsely filed or amended financing statement. </w:t>
      </w:r>
    </w:p>
    <w:p w14:paraId="2CE480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financing statement filed or amended by the respondent pursuant to section 9-509 was falsely filed or amended to retaliate for: </w:t>
      </w:r>
    </w:p>
    <w:p w14:paraId="12651D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88086B">
      <w:pPr>
        <w:tabs>
          <w:tab w:val="left" w:pos="360"/>
          <w:tab w:val="left" w:pos="900"/>
        </w:tabs>
        <w:rPr>
          <w:rFonts w:ascii="Times New Roman" w:hAnsi="Times New Roman"/>
          <w:szCs w:val="24"/>
        </w:rPr>
      </w:pPr>
    </w:p>
    <w:p w14:paraId="45A1C694" w14:textId="18E14D79" w:rsidR="0088086B" w:rsidRPr="007A5BBC" w:rsidRDefault="00782EE6" w:rsidP="0088086B">
      <w:pPr>
        <w:tabs>
          <w:tab w:val="left" w:pos="360"/>
          <w:tab w:val="left" w:pos="900"/>
        </w:tabs>
        <w:jc w:val="center"/>
        <w:rPr>
          <w:rFonts w:ascii="Times New Roman" w:hAnsi="Times New Roman"/>
          <w:szCs w:val="24"/>
        </w:rPr>
      </w:pPr>
      <w:bookmarkStart w:id="6757"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6757"/>
      <w:r w:rsidR="0088086B" w:rsidRPr="007A5BBC">
        <w:rPr>
          <w:rFonts w:ascii="Times New Roman" w:hAnsi="Times New Roman"/>
          <w:szCs w:val="24"/>
        </w:rPr>
        <w:t>- DUTIES AND OPERATION OF FILING OFFICE</w:t>
      </w:r>
    </w:p>
    <w:p w14:paraId="6A4C082F" w14:textId="77777777" w:rsidR="0088086B" w:rsidRPr="007A5BBC" w:rsidRDefault="0088086B" w:rsidP="0088086B">
      <w:pPr>
        <w:tabs>
          <w:tab w:val="left" w:pos="360"/>
          <w:tab w:val="left" w:pos="900"/>
        </w:tabs>
        <w:rPr>
          <w:rFonts w:ascii="Times New Roman" w:hAnsi="Times New Roman"/>
          <w:szCs w:val="24"/>
        </w:rPr>
      </w:pPr>
    </w:p>
    <w:p w14:paraId="01E2ECE9" w14:textId="77777777" w:rsidR="0088086B" w:rsidRPr="007A5BBC" w:rsidRDefault="0088086B" w:rsidP="0088086B">
      <w:pPr>
        <w:tabs>
          <w:tab w:val="left" w:pos="360"/>
          <w:tab w:val="left" w:pos="900"/>
        </w:tabs>
        <w:rPr>
          <w:rFonts w:ascii="Times New Roman" w:hAnsi="Times New Roman"/>
          <w:szCs w:val="24"/>
        </w:rPr>
      </w:pPr>
      <w:bookmarkStart w:id="6758" w:name="U9519"/>
      <w:r w:rsidRPr="007A5BBC">
        <w:rPr>
          <w:rFonts w:ascii="Times New Roman" w:hAnsi="Times New Roman"/>
          <w:szCs w:val="24"/>
        </w:rPr>
        <w:t>Section 9-519</w:t>
      </w:r>
      <w:bookmarkEnd w:id="6758"/>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maintain the filed record for public inspection; and</w:t>
      </w:r>
    </w:p>
    <w:p w14:paraId="4B2481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88086B">
      <w:pPr>
        <w:tabs>
          <w:tab w:val="left" w:pos="360"/>
          <w:tab w:val="left" w:pos="900"/>
        </w:tabs>
        <w:rPr>
          <w:rFonts w:ascii="Times New Roman" w:hAnsi="Times New Roman"/>
          <w:szCs w:val="24"/>
        </w:rPr>
      </w:pPr>
    </w:p>
    <w:p w14:paraId="39C4CA80" w14:textId="77777777" w:rsidR="0088086B" w:rsidRPr="007A5BBC" w:rsidRDefault="0088086B" w:rsidP="0088086B">
      <w:pPr>
        <w:tabs>
          <w:tab w:val="left" w:pos="360"/>
          <w:tab w:val="left" w:pos="900"/>
        </w:tabs>
        <w:rPr>
          <w:rFonts w:ascii="Times New Roman" w:hAnsi="Times New Roman"/>
          <w:szCs w:val="24"/>
        </w:rPr>
      </w:pPr>
      <w:bookmarkStart w:id="6759" w:name="U9520"/>
      <w:r w:rsidRPr="007A5BBC">
        <w:rPr>
          <w:rFonts w:ascii="Times New Roman" w:hAnsi="Times New Roman"/>
          <w:szCs w:val="24"/>
        </w:rPr>
        <w:t>Section 9-520</w:t>
      </w:r>
      <w:bookmarkEnd w:id="6759"/>
      <w:r w:rsidRPr="007A5BBC">
        <w:rPr>
          <w:rFonts w:ascii="Times New Roman" w:hAnsi="Times New Roman"/>
          <w:szCs w:val="24"/>
        </w:rPr>
        <w:t xml:space="preserve">. Acceptance and Refusal to Accept Record. </w:t>
      </w:r>
    </w:p>
    <w:p w14:paraId="4D9952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88086B">
      <w:pPr>
        <w:tabs>
          <w:tab w:val="left" w:pos="360"/>
          <w:tab w:val="left" w:pos="900"/>
        </w:tabs>
        <w:rPr>
          <w:rFonts w:ascii="Times New Roman" w:hAnsi="Times New Roman"/>
          <w:szCs w:val="24"/>
        </w:rPr>
      </w:pPr>
    </w:p>
    <w:p w14:paraId="030F1348" w14:textId="77777777" w:rsidR="0088086B" w:rsidRPr="007A5BBC" w:rsidRDefault="0088086B" w:rsidP="0088086B">
      <w:pPr>
        <w:tabs>
          <w:tab w:val="left" w:pos="360"/>
          <w:tab w:val="left" w:pos="900"/>
        </w:tabs>
        <w:rPr>
          <w:rFonts w:ascii="Times New Roman" w:hAnsi="Times New Roman"/>
          <w:szCs w:val="24"/>
        </w:rPr>
      </w:pPr>
      <w:bookmarkStart w:id="6760" w:name="U9521"/>
      <w:r w:rsidRPr="007A5BBC">
        <w:rPr>
          <w:rFonts w:ascii="Times New Roman" w:hAnsi="Times New Roman"/>
          <w:szCs w:val="24"/>
        </w:rPr>
        <w:t>Section 9-521</w:t>
      </w:r>
      <w:bookmarkEnd w:id="6760"/>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88086B">
      <w:pPr>
        <w:tabs>
          <w:tab w:val="left" w:pos="360"/>
          <w:tab w:val="left" w:pos="900"/>
        </w:tabs>
        <w:rPr>
          <w:rFonts w:ascii="Times New Roman" w:hAnsi="Times New Roman"/>
          <w:szCs w:val="24"/>
        </w:rPr>
      </w:pPr>
    </w:p>
    <w:p w14:paraId="1143EAE0" w14:textId="77777777" w:rsidR="0088086B" w:rsidRPr="007A5BBC" w:rsidRDefault="0088086B" w:rsidP="0088086B">
      <w:pPr>
        <w:tabs>
          <w:tab w:val="left" w:pos="360"/>
          <w:tab w:val="left" w:pos="900"/>
        </w:tabs>
        <w:rPr>
          <w:rFonts w:ascii="Times New Roman" w:hAnsi="Times New Roman"/>
          <w:szCs w:val="24"/>
        </w:rPr>
      </w:pPr>
      <w:bookmarkStart w:id="6761" w:name="U9522"/>
      <w:r w:rsidRPr="007A5BBC">
        <w:rPr>
          <w:rFonts w:ascii="Times New Roman" w:hAnsi="Times New Roman"/>
          <w:szCs w:val="24"/>
        </w:rPr>
        <w:t>Section 9-522</w:t>
      </w:r>
      <w:bookmarkEnd w:id="6761"/>
      <w:r w:rsidRPr="007A5BBC">
        <w:rPr>
          <w:rFonts w:ascii="Times New Roman" w:hAnsi="Times New Roman"/>
          <w:szCs w:val="24"/>
        </w:rPr>
        <w:t xml:space="preserve">. Maintenance and Destruction of Records. </w:t>
      </w:r>
    </w:p>
    <w:p w14:paraId="759660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Post-lapse maintenance and retrieval of information. The filing office shall maintain a record of the information provided in a filed financing statement for at least one year after the 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88086B">
      <w:pPr>
        <w:tabs>
          <w:tab w:val="left" w:pos="360"/>
          <w:tab w:val="left" w:pos="900"/>
        </w:tabs>
        <w:rPr>
          <w:rFonts w:ascii="Times New Roman" w:hAnsi="Times New Roman"/>
          <w:szCs w:val="24"/>
        </w:rPr>
      </w:pPr>
    </w:p>
    <w:p w14:paraId="4E652B60" w14:textId="77777777" w:rsidR="0088086B" w:rsidRPr="007A5BBC" w:rsidRDefault="0088086B" w:rsidP="0088086B">
      <w:pPr>
        <w:tabs>
          <w:tab w:val="left" w:pos="360"/>
          <w:tab w:val="left" w:pos="900"/>
        </w:tabs>
        <w:rPr>
          <w:rFonts w:ascii="Times New Roman" w:hAnsi="Times New Roman"/>
          <w:szCs w:val="24"/>
        </w:rPr>
      </w:pPr>
      <w:bookmarkStart w:id="6762" w:name="U9523"/>
      <w:r w:rsidRPr="007A5BBC">
        <w:rPr>
          <w:rFonts w:ascii="Times New Roman" w:hAnsi="Times New Roman"/>
          <w:szCs w:val="24"/>
        </w:rPr>
        <w:t>Section 9-523</w:t>
      </w:r>
      <w:bookmarkEnd w:id="6762"/>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send the copy to the person. </w:t>
      </w:r>
    </w:p>
    <w:p w14:paraId="3923CBF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designates a particular debtor or, if the request so states, designates a particular debtor at the address specified in the request; </w:t>
      </w:r>
    </w:p>
    <w:p w14:paraId="06DCC2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88086B">
      <w:pPr>
        <w:tabs>
          <w:tab w:val="left" w:pos="360"/>
          <w:tab w:val="left" w:pos="900"/>
        </w:tabs>
        <w:rPr>
          <w:rFonts w:ascii="Times New Roman" w:hAnsi="Times New Roman"/>
          <w:szCs w:val="24"/>
        </w:rPr>
      </w:pPr>
    </w:p>
    <w:p w14:paraId="20677437" w14:textId="77777777" w:rsidR="0088086B" w:rsidRPr="007A5BBC" w:rsidRDefault="0088086B" w:rsidP="0088086B">
      <w:pPr>
        <w:tabs>
          <w:tab w:val="left" w:pos="360"/>
          <w:tab w:val="left" w:pos="900"/>
        </w:tabs>
        <w:rPr>
          <w:rFonts w:ascii="Times New Roman" w:hAnsi="Times New Roman"/>
          <w:szCs w:val="24"/>
        </w:rPr>
      </w:pPr>
      <w:bookmarkStart w:id="6763" w:name="U9524"/>
      <w:r w:rsidRPr="007A5BBC">
        <w:rPr>
          <w:rFonts w:ascii="Times New Roman" w:hAnsi="Times New Roman"/>
          <w:szCs w:val="24"/>
        </w:rPr>
        <w:t>Section 9-524</w:t>
      </w:r>
      <w:bookmarkEnd w:id="6763"/>
      <w:r w:rsidRPr="007A5BBC">
        <w:rPr>
          <w:rFonts w:ascii="Times New Roman" w:hAnsi="Times New Roman"/>
          <w:szCs w:val="24"/>
        </w:rPr>
        <w:t xml:space="preserve">. Delay by Filing Office. </w:t>
      </w:r>
    </w:p>
    <w:p w14:paraId="3BE224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88086B">
      <w:pPr>
        <w:tabs>
          <w:tab w:val="left" w:pos="360"/>
          <w:tab w:val="left" w:pos="900"/>
        </w:tabs>
        <w:rPr>
          <w:rFonts w:ascii="Times New Roman" w:hAnsi="Times New Roman"/>
          <w:szCs w:val="24"/>
        </w:rPr>
      </w:pPr>
    </w:p>
    <w:p w14:paraId="02B150A7" w14:textId="77777777" w:rsidR="0088086B" w:rsidRPr="007A5BBC" w:rsidRDefault="0088086B" w:rsidP="0088086B">
      <w:pPr>
        <w:tabs>
          <w:tab w:val="left" w:pos="360"/>
          <w:tab w:val="left" w:pos="900"/>
        </w:tabs>
        <w:rPr>
          <w:rFonts w:ascii="Times New Roman" w:hAnsi="Times New Roman"/>
          <w:szCs w:val="24"/>
        </w:rPr>
      </w:pPr>
      <w:bookmarkStart w:id="6764" w:name="U9525"/>
      <w:r w:rsidRPr="007A5BBC">
        <w:rPr>
          <w:rFonts w:ascii="Times New Roman" w:hAnsi="Times New Roman"/>
          <w:szCs w:val="24"/>
        </w:rPr>
        <w:t>Section 9-525</w:t>
      </w:r>
      <w:bookmarkEnd w:id="6764"/>
      <w:r w:rsidRPr="007A5BBC">
        <w:rPr>
          <w:rFonts w:ascii="Times New Roman" w:hAnsi="Times New Roman"/>
          <w:szCs w:val="24"/>
        </w:rPr>
        <w:t xml:space="preserve">. Fees. </w:t>
      </w:r>
    </w:p>
    <w:p w14:paraId="676FC0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Fees for filing and services under this chapter shall be determined in accordance with section ninety-six-a of the executive law.</w:t>
      </w:r>
    </w:p>
    <w:p w14:paraId="45408F69" w14:textId="77777777" w:rsidR="0088086B" w:rsidRPr="007A5BBC" w:rsidRDefault="0088086B" w:rsidP="0088086B">
      <w:pPr>
        <w:tabs>
          <w:tab w:val="left" w:pos="360"/>
          <w:tab w:val="left" w:pos="900"/>
        </w:tabs>
        <w:rPr>
          <w:rFonts w:ascii="Times New Roman" w:hAnsi="Times New Roman"/>
          <w:szCs w:val="24"/>
        </w:rPr>
      </w:pPr>
    </w:p>
    <w:p w14:paraId="58CA8DB4" w14:textId="77777777" w:rsidR="0088086B" w:rsidRPr="007A5BBC" w:rsidRDefault="0088086B" w:rsidP="0088086B">
      <w:pPr>
        <w:tabs>
          <w:tab w:val="left" w:pos="360"/>
          <w:tab w:val="left" w:pos="900"/>
        </w:tabs>
        <w:rPr>
          <w:rFonts w:ascii="Times New Roman" w:hAnsi="Times New Roman"/>
          <w:szCs w:val="24"/>
        </w:rPr>
      </w:pPr>
      <w:bookmarkStart w:id="6765" w:name="U9526"/>
      <w:r w:rsidRPr="007A5BBC">
        <w:rPr>
          <w:rFonts w:ascii="Times New Roman" w:hAnsi="Times New Roman"/>
          <w:szCs w:val="24"/>
        </w:rPr>
        <w:t>Section 9-526</w:t>
      </w:r>
      <w:bookmarkEnd w:id="6765"/>
      <w:r w:rsidRPr="007A5BBC">
        <w:rPr>
          <w:rFonts w:ascii="Times New Roman" w:hAnsi="Times New Roman"/>
          <w:szCs w:val="24"/>
        </w:rPr>
        <w:t xml:space="preserve">. Filing-office Rules. </w:t>
      </w:r>
    </w:p>
    <w:p w14:paraId="6DAB15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88086B">
      <w:pPr>
        <w:tabs>
          <w:tab w:val="left" w:pos="360"/>
          <w:tab w:val="left" w:pos="900"/>
        </w:tabs>
        <w:rPr>
          <w:rFonts w:ascii="Times New Roman" w:hAnsi="Times New Roman"/>
          <w:szCs w:val="24"/>
        </w:rPr>
      </w:pPr>
    </w:p>
    <w:p w14:paraId="75B19C1A" w14:textId="77777777" w:rsidR="0088086B" w:rsidRPr="007A5BBC" w:rsidRDefault="0088086B" w:rsidP="0088086B">
      <w:pPr>
        <w:tabs>
          <w:tab w:val="left" w:pos="360"/>
          <w:tab w:val="left" w:pos="900"/>
        </w:tabs>
        <w:rPr>
          <w:rFonts w:ascii="Times New Roman" w:hAnsi="Times New Roman"/>
          <w:szCs w:val="24"/>
        </w:rPr>
      </w:pPr>
      <w:bookmarkStart w:id="6766" w:name="U9527"/>
      <w:r w:rsidRPr="007A5BBC">
        <w:rPr>
          <w:rFonts w:ascii="Times New Roman" w:hAnsi="Times New Roman"/>
          <w:szCs w:val="24"/>
        </w:rPr>
        <w:t>Section 9-527</w:t>
      </w:r>
      <w:bookmarkEnd w:id="6766"/>
      <w:r w:rsidRPr="007A5BBC">
        <w:rPr>
          <w:rFonts w:ascii="Times New Roman" w:hAnsi="Times New Roman"/>
          <w:szCs w:val="24"/>
        </w:rPr>
        <w:t xml:space="preserve">. Duty to Report. </w:t>
      </w:r>
    </w:p>
    <w:p w14:paraId="39BE82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88086B">
      <w:pPr>
        <w:tabs>
          <w:tab w:val="left" w:pos="360"/>
          <w:tab w:val="left" w:pos="900"/>
        </w:tabs>
        <w:rPr>
          <w:rFonts w:ascii="Times New Roman" w:hAnsi="Times New Roman"/>
          <w:szCs w:val="24"/>
        </w:rPr>
      </w:pPr>
    </w:p>
    <w:p w14:paraId="29E054AD" w14:textId="77777777" w:rsidR="0088086B" w:rsidRPr="007A5BBC" w:rsidRDefault="0088086B" w:rsidP="0088086B">
      <w:pPr>
        <w:tabs>
          <w:tab w:val="left" w:pos="360"/>
          <w:tab w:val="left" w:pos="900"/>
        </w:tabs>
        <w:jc w:val="center"/>
        <w:rPr>
          <w:rFonts w:ascii="Times New Roman" w:hAnsi="Times New Roman"/>
          <w:szCs w:val="24"/>
        </w:rPr>
      </w:pPr>
      <w:bookmarkStart w:id="6767" w:name="UPart6"/>
      <w:r w:rsidRPr="007A5BBC">
        <w:rPr>
          <w:rFonts w:ascii="Times New Roman" w:hAnsi="Times New Roman"/>
          <w:szCs w:val="24"/>
        </w:rPr>
        <w:t>Part 6</w:t>
      </w:r>
      <w:bookmarkEnd w:id="6767"/>
      <w:r w:rsidRPr="007A5BBC">
        <w:rPr>
          <w:rFonts w:ascii="Times New Roman" w:hAnsi="Times New Roman"/>
          <w:szCs w:val="24"/>
        </w:rPr>
        <w:t>- DEFAULT</w:t>
      </w:r>
    </w:p>
    <w:p w14:paraId="1E1D2E84" w14:textId="608EB21F"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88086B">
      <w:pPr>
        <w:tabs>
          <w:tab w:val="left" w:pos="360"/>
          <w:tab w:val="left" w:pos="900"/>
        </w:tabs>
        <w:rPr>
          <w:rFonts w:ascii="Times New Roman" w:hAnsi="Times New Roman"/>
          <w:szCs w:val="24"/>
        </w:rPr>
      </w:pPr>
    </w:p>
    <w:p w14:paraId="4CDC9A2C" w14:textId="77777777" w:rsidR="0088086B" w:rsidRPr="007A5BBC" w:rsidRDefault="0088086B" w:rsidP="0088086B">
      <w:pPr>
        <w:tabs>
          <w:tab w:val="left" w:pos="360"/>
          <w:tab w:val="left" w:pos="900"/>
        </w:tabs>
        <w:rPr>
          <w:rFonts w:ascii="Times New Roman" w:hAnsi="Times New Roman"/>
          <w:szCs w:val="24"/>
        </w:rPr>
      </w:pPr>
      <w:bookmarkStart w:id="6768" w:name="U9601"/>
      <w:r w:rsidRPr="007A5BBC">
        <w:rPr>
          <w:rFonts w:ascii="Times New Roman" w:hAnsi="Times New Roman"/>
          <w:szCs w:val="24"/>
        </w:rPr>
        <w:t>Section 9-601</w:t>
      </w:r>
      <w:bookmarkEnd w:id="6768"/>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88086B">
      <w:pPr>
        <w:tabs>
          <w:tab w:val="left" w:pos="360"/>
          <w:tab w:val="left" w:pos="900"/>
        </w:tabs>
        <w:rPr>
          <w:rFonts w:ascii="Times New Roman" w:hAnsi="Times New Roman"/>
          <w:szCs w:val="24"/>
        </w:rPr>
      </w:pPr>
    </w:p>
    <w:p w14:paraId="38B2DB2A" w14:textId="77777777" w:rsidR="0088086B" w:rsidRPr="007A5BBC" w:rsidRDefault="0088086B" w:rsidP="0088086B">
      <w:pPr>
        <w:tabs>
          <w:tab w:val="left" w:pos="360"/>
          <w:tab w:val="left" w:pos="900"/>
        </w:tabs>
        <w:rPr>
          <w:rFonts w:ascii="Times New Roman" w:hAnsi="Times New Roman"/>
          <w:szCs w:val="24"/>
        </w:rPr>
      </w:pPr>
      <w:bookmarkStart w:id="6769" w:name="U9602"/>
      <w:r w:rsidRPr="007A5BBC">
        <w:rPr>
          <w:rFonts w:ascii="Times New Roman" w:hAnsi="Times New Roman"/>
          <w:szCs w:val="24"/>
        </w:rPr>
        <w:t>Section 9-602</w:t>
      </w:r>
      <w:bookmarkEnd w:id="6769"/>
      <w:r w:rsidRPr="007A5BBC">
        <w:rPr>
          <w:rFonts w:ascii="Times New Roman" w:hAnsi="Times New Roman"/>
          <w:szCs w:val="24"/>
        </w:rPr>
        <w:t xml:space="preserve">. Waiver and Variance of Rights and Duties. </w:t>
      </w:r>
    </w:p>
    <w:p w14:paraId="408EA88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Section 9-210, which deals with requests for an accounting and requests concerning a list of collateral and statement of account; (c) Section 9-607 </w:t>
      </w:r>
    </w:p>
    <w:p w14:paraId="365D08D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88086B">
      <w:pPr>
        <w:tabs>
          <w:tab w:val="left" w:pos="360"/>
          <w:tab w:val="left" w:pos="900"/>
        </w:tabs>
        <w:rPr>
          <w:rFonts w:ascii="Times New Roman" w:hAnsi="Times New Roman"/>
          <w:szCs w:val="24"/>
        </w:rPr>
      </w:pPr>
    </w:p>
    <w:p w14:paraId="5D479C9D" w14:textId="77777777" w:rsidR="0088086B" w:rsidRPr="007A5BBC" w:rsidRDefault="0088086B" w:rsidP="0088086B">
      <w:pPr>
        <w:tabs>
          <w:tab w:val="left" w:pos="360"/>
          <w:tab w:val="left" w:pos="900"/>
        </w:tabs>
        <w:rPr>
          <w:rFonts w:ascii="Times New Roman" w:hAnsi="Times New Roman"/>
          <w:szCs w:val="24"/>
        </w:rPr>
      </w:pPr>
      <w:bookmarkStart w:id="6770" w:name="U9603"/>
      <w:r w:rsidRPr="007A5BBC">
        <w:rPr>
          <w:rFonts w:ascii="Times New Roman" w:hAnsi="Times New Roman"/>
          <w:szCs w:val="24"/>
        </w:rPr>
        <w:t>Section 9-603</w:t>
      </w:r>
      <w:bookmarkEnd w:id="6770"/>
      <w:r w:rsidRPr="007A5BBC">
        <w:rPr>
          <w:rFonts w:ascii="Times New Roman" w:hAnsi="Times New Roman"/>
          <w:szCs w:val="24"/>
        </w:rPr>
        <w:t xml:space="preserve">. Agreement on Standards Concerning Rights and Duties. </w:t>
      </w:r>
    </w:p>
    <w:p w14:paraId="1F50098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88086B">
      <w:pPr>
        <w:tabs>
          <w:tab w:val="left" w:pos="360"/>
          <w:tab w:val="left" w:pos="900"/>
        </w:tabs>
        <w:rPr>
          <w:rFonts w:ascii="Times New Roman" w:hAnsi="Times New Roman"/>
          <w:szCs w:val="24"/>
        </w:rPr>
      </w:pPr>
    </w:p>
    <w:p w14:paraId="050262DB" w14:textId="77777777" w:rsidR="0088086B" w:rsidRPr="007A5BBC" w:rsidRDefault="0088086B" w:rsidP="0088086B">
      <w:pPr>
        <w:tabs>
          <w:tab w:val="left" w:pos="360"/>
          <w:tab w:val="left" w:pos="900"/>
        </w:tabs>
        <w:rPr>
          <w:rFonts w:ascii="Times New Roman" w:hAnsi="Times New Roman"/>
          <w:szCs w:val="24"/>
        </w:rPr>
      </w:pPr>
      <w:bookmarkStart w:id="6771" w:name="U9604"/>
      <w:r w:rsidRPr="007A5BBC">
        <w:rPr>
          <w:rFonts w:ascii="Times New Roman" w:hAnsi="Times New Roman"/>
          <w:szCs w:val="24"/>
        </w:rPr>
        <w:t>Section 9-604</w:t>
      </w:r>
      <w:bookmarkEnd w:id="6771"/>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Enforcement: personal and real property. If a security agreement covers both personal and real property, a secured party may proceed:</w:t>
      </w:r>
    </w:p>
    <w:p w14:paraId="0A329D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88086B">
      <w:pPr>
        <w:tabs>
          <w:tab w:val="left" w:pos="360"/>
          <w:tab w:val="left" w:pos="900"/>
        </w:tabs>
        <w:rPr>
          <w:rFonts w:ascii="Times New Roman" w:hAnsi="Times New Roman"/>
          <w:szCs w:val="24"/>
        </w:rPr>
      </w:pPr>
    </w:p>
    <w:p w14:paraId="07C85628" w14:textId="77777777" w:rsidR="0088086B" w:rsidRPr="007A5BBC" w:rsidRDefault="0088086B" w:rsidP="0088086B">
      <w:pPr>
        <w:tabs>
          <w:tab w:val="left" w:pos="360"/>
          <w:tab w:val="left" w:pos="900"/>
        </w:tabs>
        <w:rPr>
          <w:rFonts w:ascii="Times New Roman" w:hAnsi="Times New Roman"/>
          <w:szCs w:val="24"/>
        </w:rPr>
      </w:pPr>
      <w:bookmarkStart w:id="6772" w:name="U9605"/>
      <w:r w:rsidRPr="007A5BBC">
        <w:rPr>
          <w:rFonts w:ascii="Times New Roman" w:hAnsi="Times New Roman"/>
          <w:szCs w:val="24"/>
        </w:rPr>
        <w:t>Section 9-605</w:t>
      </w:r>
      <w:bookmarkEnd w:id="6772"/>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88086B">
      <w:pPr>
        <w:tabs>
          <w:tab w:val="left" w:pos="360"/>
          <w:tab w:val="left" w:pos="900"/>
        </w:tabs>
        <w:ind w:left="720"/>
        <w:rPr>
          <w:rFonts w:ascii="Times New Roman" w:hAnsi="Times New Roman"/>
          <w:szCs w:val="24"/>
        </w:rPr>
      </w:pPr>
    </w:p>
    <w:p w14:paraId="4A280D79" w14:textId="77777777" w:rsidR="0088086B" w:rsidRPr="007A5BBC" w:rsidRDefault="0088086B" w:rsidP="0088086B">
      <w:pPr>
        <w:tabs>
          <w:tab w:val="left" w:pos="360"/>
          <w:tab w:val="left" w:pos="900"/>
        </w:tabs>
        <w:rPr>
          <w:rFonts w:ascii="Times New Roman" w:hAnsi="Times New Roman"/>
          <w:szCs w:val="24"/>
        </w:rPr>
      </w:pPr>
      <w:bookmarkStart w:id="6773" w:name="U9606"/>
      <w:r w:rsidRPr="007A5BBC">
        <w:rPr>
          <w:rFonts w:ascii="Times New Roman" w:hAnsi="Times New Roman"/>
          <w:szCs w:val="24"/>
        </w:rPr>
        <w:t>Section 9-606</w:t>
      </w:r>
      <w:bookmarkEnd w:id="6773"/>
      <w:r w:rsidRPr="007A5BBC">
        <w:rPr>
          <w:rFonts w:ascii="Times New Roman" w:hAnsi="Times New Roman"/>
          <w:szCs w:val="24"/>
        </w:rPr>
        <w:t xml:space="preserve">. Time of Default for Agricultural Lien. </w:t>
      </w:r>
    </w:p>
    <w:p w14:paraId="7D99AB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88086B">
      <w:pPr>
        <w:tabs>
          <w:tab w:val="left" w:pos="360"/>
          <w:tab w:val="left" w:pos="900"/>
        </w:tabs>
        <w:rPr>
          <w:rFonts w:ascii="Times New Roman" w:hAnsi="Times New Roman"/>
          <w:szCs w:val="24"/>
        </w:rPr>
      </w:pPr>
    </w:p>
    <w:p w14:paraId="6416D2C0" w14:textId="77777777" w:rsidR="0088086B" w:rsidRPr="007A5BBC" w:rsidRDefault="0088086B" w:rsidP="0088086B">
      <w:pPr>
        <w:tabs>
          <w:tab w:val="left" w:pos="360"/>
          <w:tab w:val="left" w:pos="900"/>
        </w:tabs>
        <w:rPr>
          <w:rFonts w:ascii="Times New Roman" w:hAnsi="Times New Roman"/>
          <w:szCs w:val="24"/>
        </w:rPr>
      </w:pPr>
      <w:bookmarkStart w:id="6774" w:name="U9607"/>
      <w:r w:rsidRPr="007A5BBC">
        <w:rPr>
          <w:rFonts w:ascii="Times New Roman" w:hAnsi="Times New Roman"/>
          <w:szCs w:val="24"/>
        </w:rPr>
        <w:t>Section 9-607</w:t>
      </w:r>
      <w:bookmarkEnd w:id="6774"/>
      <w:r w:rsidRPr="007A5BBC">
        <w:rPr>
          <w:rFonts w:ascii="Times New Roman" w:hAnsi="Times New Roman"/>
          <w:szCs w:val="24"/>
        </w:rPr>
        <w:t xml:space="preserve">. Collection and Enforcement by Secured Party. </w:t>
      </w:r>
    </w:p>
    <w:p w14:paraId="5AA00A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88086B">
      <w:pPr>
        <w:tabs>
          <w:tab w:val="left" w:pos="360"/>
          <w:tab w:val="left" w:pos="900"/>
        </w:tabs>
        <w:rPr>
          <w:rFonts w:ascii="Times New Roman" w:hAnsi="Times New Roman"/>
          <w:szCs w:val="24"/>
        </w:rPr>
      </w:pPr>
    </w:p>
    <w:p w14:paraId="51394D13" w14:textId="77777777" w:rsidR="0088086B" w:rsidRPr="007A5BBC" w:rsidRDefault="0088086B" w:rsidP="0088086B">
      <w:pPr>
        <w:tabs>
          <w:tab w:val="left" w:pos="360"/>
          <w:tab w:val="left" w:pos="900"/>
        </w:tabs>
        <w:rPr>
          <w:rFonts w:ascii="Times New Roman" w:hAnsi="Times New Roman"/>
          <w:szCs w:val="24"/>
        </w:rPr>
      </w:pPr>
      <w:bookmarkStart w:id="6775" w:name="U9608"/>
      <w:r w:rsidRPr="007A5BBC">
        <w:rPr>
          <w:rFonts w:ascii="Times New Roman" w:hAnsi="Times New Roman"/>
          <w:szCs w:val="24"/>
        </w:rPr>
        <w:t>Section 9-608</w:t>
      </w:r>
      <w:bookmarkEnd w:id="6775"/>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88086B">
      <w:pPr>
        <w:tabs>
          <w:tab w:val="left" w:pos="360"/>
          <w:tab w:val="left" w:pos="900"/>
        </w:tabs>
        <w:rPr>
          <w:rFonts w:ascii="Times New Roman" w:hAnsi="Times New Roman"/>
          <w:szCs w:val="24"/>
        </w:rPr>
      </w:pPr>
    </w:p>
    <w:p w14:paraId="385720C9" w14:textId="77777777" w:rsidR="0088086B" w:rsidRPr="007A5BBC" w:rsidRDefault="0088086B" w:rsidP="0088086B">
      <w:pPr>
        <w:tabs>
          <w:tab w:val="left" w:pos="360"/>
          <w:tab w:val="left" w:pos="900"/>
        </w:tabs>
        <w:rPr>
          <w:rFonts w:ascii="Times New Roman" w:hAnsi="Times New Roman"/>
          <w:szCs w:val="24"/>
        </w:rPr>
      </w:pPr>
      <w:bookmarkStart w:id="6776" w:name="U9609"/>
      <w:r w:rsidRPr="007A5BBC">
        <w:rPr>
          <w:rFonts w:ascii="Times New Roman" w:hAnsi="Times New Roman"/>
          <w:szCs w:val="24"/>
        </w:rPr>
        <w:t>Section 9-609</w:t>
      </w:r>
      <w:bookmarkEnd w:id="6776"/>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Possession; rendering equipment unusable; disposition on debtor's premises. After default, a secured party:</w:t>
      </w:r>
    </w:p>
    <w:p w14:paraId="48DE8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Judicial and nonjudicial process. A secured party may proceed under subsection (a):</w:t>
      </w:r>
    </w:p>
    <w:p w14:paraId="653135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88086B">
      <w:pPr>
        <w:tabs>
          <w:tab w:val="left" w:pos="360"/>
          <w:tab w:val="left" w:pos="900"/>
        </w:tabs>
        <w:rPr>
          <w:rFonts w:ascii="Times New Roman" w:hAnsi="Times New Roman"/>
          <w:szCs w:val="24"/>
        </w:rPr>
      </w:pPr>
    </w:p>
    <w:p w14:paraId="58827937" w14:textId="77777777" w:rsidR="0088086B" w:rsidRPr="007A5BBC" w:rsidRDefault="0088086B" w:rsidP="0088086B">
      <w:pPr>
        <w:tabs>
          <w:tab w:val="left" w:pos="360"/>
          <w:tab w:val="left" w:pos="900"/>
        </w:tabs>
        <w:rPr>
          <w:rFonts w:ascii="Times New Roman" w:hAnsi="Times New Roman"/>
          <w:szCs w:val="24"/>
        </w:rPr>
      </w:pPr>
      <w:bookmarkStart w:id="6777" w:name="U9610"/>
      <w:r w:rsidRPr="007A5BBC">
        <w:rPr>
          <w:rFonts w:ascii="Times New Roman" w:hAnsi="Times New Roman"/>
          <w:szCs w:val="24"/>
        </w:rPr>
        <w:t>Section 9-610</w:t>
      </w:r>
      <w:bookmarkEnd w:id="6777"/>
      <w:r w:rsidRPr="007A5BBC">
        <w:rPr>
          <w:rFonts w:ascii="Times New Roman" w:hAnsi="Times New Roman"/>
          <w:szCs w:val="24"/>
        </w:rPr>
        <w:t xml:space="preserve">. Disposition of Collateral after Default. </w:t>
      </w:r>
    </w:p>
    <w:p w14:paraId="20711F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88086B">
      <w:pPr>
        <w:tabs>
          <w:tab w:val="left" w:pos="360"/>
          <w:tab w:val="left" w:pos="900"/>
        </w:tabs>
        <w:rPr>
          <w:rFonts w:ascii="Times New Roman" w:hAnsi="Times New Roman"/>
          <w:szCs w:val="24"/>
        </w:rPr>
      </w:pPr>
    </w:p>
    <w:p w14:paraId="0FA0EA63" w14:textId="77777777" w:rsidR="0088086B" w:rsidRPr="007A5BBC" w:rsidRDefault="0088086B" w:rsidP="0088086B">
      <w:pPr>
        <w:tabs>
          <w:tab w:val="left" w:pos="360"/>
          <w:tab w:val="left" w:pos="900"/>
        </w:tabs>
        <w:rPr>
          <w:rFonts w:ascii="Times New Roman" w:hAnsi="Times New Roman"/>
          <w:szCs w:val="24"/>
        </w:rPr>
      </w:pPr>
      <w:bookmarkStart w:id="6778" w:name="U9611"/>
      <w:r w:rsidRPr="007A5BBC">
        <w:rPr>
          <w:rFonts w:ascii="Times New Roman" w:hAnsi="Times New Roman"/>
          <w:szCs w:val="24"/>
        </w:rPr>
        <w:t>Section 9-611</w:t>
      </w:r>
      <w:bookmarkEnd w:id="6778"/>
      <w:r w:rsidRPr="007A5BBC">
        <w:rPr>
          <w:rFonts w:ascii="Times New Roman" w:hAnsi="Times New Roman"/>
          <w:szCs w:val="24"/>
        </w:rPr>
        <w:t xml:space="preserve">. Notification Before Disposition of Collateral. </w:t>
      </w:r>
    </w:p>
    <w:p w14:paraId="2B4C9E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sends to the debtor and any secondary obligor an authenticated notification of disposition; or</w:t>
      </w:r>
    </w:p>
    <w:p w14:paraId="15B301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they will perform and fees they will charge, and which prohibits them from taking any money from you until they have completed all such promised services. </w:t>
      </w:r>
    </w:p>
    <w:p w14:paraId="558B03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pPr>
        <w:spacing w:after="0"/>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88086B">
      <w:pPr>
        <w:tabs>
          <w:tab w:val="left" w:pos="360"/>
          <w:tab w:val="left" w:pos="900"/>
        </w:tabs>
        <w:rPr>
          <w:rFonts w:ascii="Times New Roman" w:hAnsi="Times New Roman"/>
          <w:szCs w:val="24"/>
        </w:rPr>
      </w:pPr>
      <w:bookmarkStart w:id="6779" w:name="U9612"/>
      <w:r w:rsidRPr="007A5BBC">
        <w:rPr>
          <w:rFonts w:ascii="Times New Roman" w:hAnsi="Times New Roman"/>
          <w:szCs w:val="24"/>
        </w:rPr>
        <w:t>Section 9-612</w:t>
      </w:r>
      <w:bookmarkEnd w:id="6779"/>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88086B">
      <w:pPr>
        <w:tabs>
          <w:tab w:val="left" w:pos="360"/>
          <w:tab w:val="left" w:pos="900"/>
        </w:tabs>
        <w:rPr>
          <w:rFonts w:ascii="Times New Roman" w:hAnsi="Times New Roman"/>
          <w:szCs w:val="24"/>
        </w:rPr>
      </w:pPr>
    </w:p>
    <w:p w14:paraId="51DAB7B4" w14:textId="77777777" w:rsidR="0088086B" w:rsidRPr="007A5BBC" w:rsidRDefault="0088086B" w:rsidP="0088086B">
      <w:pPr>
        <w:tabs>
          <w:tab w:val="left" w:pos="360"/>
          <w:tab w:val="left" w:pos="900"/>
        </w:tabs>
        <w:rPr>
          <w:rFonts w:ascii="Times New Roman" w:hAnsi="Times New Roman"/>
          <w:szCs w:val="24"/>
        </w:rPr>
      </w:pPr>
      <w:bookmarkStart w:id="6780" w:name="U9613"/>
      <w:r w:rsidRPr="007A5BBC">
        <w:rPr>
          <w:rFonts w:ascii="Times New Roman" w:hAnsi="Times New Roman"/>
          <w:szCs w:val="24"/>
        </w:rPr>
        <w:t>Section 9-613</w:t>
      </w:r>
      <w:bookmarkEnd w:id="6780"/>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88086B">
      <w:pPr>
        <w:tabs>
          <w:tab w:val="left" w:pos="360"/>
          <w:tab w:val="left" w:pos="900"/>
        </w:tabs>
        <w:rPr>
          <w:rFonts w:ascii="Times New Roman" w:hAnsi="Times New Roman"/>
          <w:szCs w:val="24"/>
        </w:rPr>
      </w:pPr>
    </w:p>
    <w:p w14:paraId="0686B697" w14:textId="77777777" w:rsidR="0088086B" w:rsidRPr="007A5BBC" w:rsidRDefault="0088086B" w:rsidP="0088086B">
      <w:pPr>
        <w:tabs>
          <w:tab w:val="left" w:pos="360"/>
          <w:tab w:val="left" w:pos="900"/>
        </w:tabs>
        <w:rPr>
          <w:rFonts w:ascii="Times New Roman" w:hAnsi="Times New Roman"/>
          <w:szCs w:val="24"/>
        </w:rPr>
      </w:pPr>
      <w:bookmarkStart w:id="6781" w:name="U9614"/>
      <w:r w:rsidRPr="007A5BBC">
        <w:rPr>
          <w:rFonts w:ascii="Times New Roman" w:hAnsi="Times New Roman"/>
          <w:szCs w:val="24"/>
        </w:rPr>
        <w:t>Section 9-614</w:t>
      </w:r>
      <w:bookmarkEnd w:id="6781"/>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88086B">
      <w:pPr>
        <w:tabs>
          <w:tab w:val="left" w:pos="360"/>
          <w:tab w:val="left" w:pos="900"/>
        </w:tabs>
        <w:rPr>
          <w:rFonts w:ascii="Times New Roman" w:hAnsi="Times New Roman"/>
          <w:szCs w:val="24"/>
        </w:rPr>
      </w:pPr>
    </w:p>
    <w:p w14:paraId="343C96FD" w14:textId="77777777" w:rsidR="0088086B" w:rsidRPr="007A5BBC" w:rsidRDefault="0088086B" w:rsidP="0088086B">
      <w:pPr>
        <w:tabs>
          <w:tab w:val="left" w:pos="360"/>
          <w:tab w:val="left" w:pos="900"/>
        </w:tabs>
        <w:rPr>
          <w:rFonts w:ascii="Times New Roman" w:hAnsi="Times New Roman"/>
          <w:szCs w:val="24"/>
        </w:rPr>
      </w:pPr>
      <w:bookmarkStart w:id="6782" w:name="U9615"/>
      <w:r w:rsidRPr="007A5BBC">
        <w:rPr>
          <w:rFonts w:ascii="Times New Roman" w:hAnsi="Times New Roman"/>
          <w:szCs w:val="24"/>
        </w:rPr>
        <w:t>Section 9-615</w:t>
      </w:r>
      <w:bookmarkEnd w:id="6782"/>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88086B">
      <w:pPr>
        <w:tabs>
          <w:tab w:val="left" w:pos="360"/>
          <w:tab w:val="left" w:pos="900"/>
        </w:tabs>
        <w:rPr>
          <w:rFonts w:ascii="Times New Roman" w:hAnsi="Times New Roman"/>
          <w:szCs w:val="24"/>
        </w:rPr>
      </w:pPr>
    </w:p>
    <w:p w14:paraId="1D46B13C" w14:textId="77777777" w:rsidR="0088086B" w:rsidRPr="007A5BBC" w:rsidRDefault="0088086B" w:rsidP="0088086B">
      <w:pPr>
        <w:tabs>
          <w:tab w:val="left" w:pos="360"/>
          <w:tab w:val="left" w:pos="900"/>
        </w:tabs>
        <w:rPr>
          <w:rFonts w:ascii="Times New Roman" w:hAnsi="Times New Roman"/>
          <w:szCs w:val="24"/>
        </w:rPr>
      </w:pPr>
      <w:bookmarkStart w:id="6783" w:name="U9616"/>
      <w:r w:rsidRPr="007A5BBC">
        <w:rPr>
          <w:rFonts w:ascii="Times New Roman" w:hAnsi="Times New Roman"/>
          <w:szCs w:val="24"/>
        </w:rPr>
        <w:t>Section 9-616</w:t>
      </w:r>
      <w:bookmarkEnd w:id="6783"/>
      <w:r w:rsidRPr="007A5BBC">
        <w:rPr>
          <w:rFonts w:ascii="Times New Roman" w:hAnsi="Times New Roman"/>
          <w:szCs w:val="24"/>
        </w:rPr>
        <w:t xml:space="preserve">. Explanation of Calculation of Surplus or Deficiency. </w:t>
      </w:r>
    </w:p>
    <w:p w14:paraId="3C0A010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"Explanation" means a writing that: </w:t>
      </w:r>
    </w:p>
    <w:p w14:paraId="5ECE2D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"Request" means a record: </w:t>
      </w:r>
    </w:p>
    <w:p w14:paraId="0E7DA1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88086B">
      <w:pPr>
        <w:tabs>
          <w:tab w:val="left" w:pos="360"/>
          <w:tab w:val="left" w:pos="900"/>
        </w:tabs>
        <w:rPr>
          <w:rFonts w:ascii="Times New Roman" w:hAnsi="Times New Roman"/>
          <w:szCs w:val="24"/>
        </w:rPr>
      </w:pPr>
    </w:p>
    <w:p w14:paraId="6C69E474" w14:textId="77777777" w:rsidR="0088086B" w:rsidRPr="007A5BBC" w:rsidRDefault="0088086B" w:rsidP="0088086B">
      <w:pPr>
        <w:tabs>
          <w:tab w:val="left" w:pos="360"/>
          <w:tab w:val="left" w:pos="900"/>
        </w:tabs>
        <w:rPr>
          <w:rFonts w:ascii="Times New Roman" w:hAnsi="Times New Roman"/>
          <w:szCs w:val="24"/>
        </w:rPr>
      </w:pPr>
      <w:bookmarkStart w:id="6784" w:name="U9617"/>
      <w:r w:rsidRPr="007A5BBC">
        <w:rPr>
          <w:rFonts w:ascii="Times New Roman" w:hAnsi="Times New Roman"/>
          <w:szCs w:val="24"/>
        </w:rPr>
        <w:t>Section 9-617</w:t>
      </w:r>
      <w:bookmarkEnd w:id="6784"/>
      <w:r w:rsidRPr="007A5BBC">
        <w:rPr>
          <w:rFonts w:ascii="Times New Roman" w:hAnsi="Times New Roman"/>
          <w:szCs w:val="24"/>
        </w:rPr>
        <w:t xml:space="preserve">. Rights of Transferee of Collateral. </w:t>
      </w:r>
    </w:p>
    <w:p w14:paraId="356E19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88086B">
      <w:pPr>
        <w:tabs>
          <w:tab w:val="left" w:pos="360"/>
          <w:tab w:val="left" w:pos="900"/>
        </w:tabs>
        <w:ind w:left="360"/>
        <w:rPr>
          <w:rFonts w:ascii="Times New Roman" w:hAnsi="Times New Roman"/>
          <w:szCs w:val="24"/>
        </w:rPr>
      </w:pPr>
    </w:p>
    <w:p w14:paraId="1E341DD4" w14:textId="77777777" w:rsidR="0088086B" w:rsidRPr="007A5BBC" w:rsidRDefault="0088086B" w:rsidP="0088086B">
      <w:pPr>
        <w:tabs>
          <w:tab w:val="left" w:pos="360"/>
          <w:tab w:val="left" w:pos="900"/>
        </w:tabs>
        <w:rPr>
          <w:rFonts w:ascii="Times New Roman" w:hAnsi="Times New Roman"/>
          <w:szCs w:val="24"/>
        </w:rPr>
      </w:pPr>
      <w:bookmarkStart w:id="6785" w:name="U9618"/>
      <w:r w:rsidRPr="007A5BBC">
        <w:rPr>
          <w:rFonts w:ascii="Times New Roman" w:hAnsi="Times New Roman"/>
          <w:szCs w:val="24"/>
        </w:rPr>
        <w:t>Section 9-618</w:t>
      </w:r>
      <w:bookmarkEnd w:id="6785"/>
      <w:r w:rsidRPr="007A5BBC">
        <w:rPr>
          <w:rFonts w:ascii="Times New Roman" w:hAnsi="Times New Roman"/>
          <w:szCs w:val="24"/>
        </w:rPr>
        <w:t xml:space="preserve">. Rights and Duties of Certain Secondary Obligors. </w:t>
      </w:r>
    </w:p>
    <w:p w14:paraId="506914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receives an assignment of a secured obligation from the secured party;</w:t>
      </w:r>
    </w:p>
    <w:p w14:paraId="0CF965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88086B">
      <w:pPr>
        <w:tabs>
          <w:tab w:val="left" w:pos="360"/>
          <w:tab w:val="left" w:pos="900"/>
        </w:tabs>
        <w:rPr>
          <w:rFonts w:ascii="Times New Roman" w:hAnsi="Times New Roman"/>
          <w:szCs w:val="24"/>
        </w:rPr>
      </w:pPr>
    </w:p>
    <w:p w14:paraId="73F9DF41" w14:textId="77777777" w:rsidR="0088086B" w:rsidRPr="007A5BBC" w:rsidRDefault="0088086B" w:rsidP="0088086B">
      <w:pPr>
        <w:tabs>
          <w:tab w:val="left" w:pos="360"/>
          <w:tab w:val="left" w:pos="900"/>
        </w:tabs>
        <w:rPr>
          <w:rFonts w:ascii="Times New Roman" w:hAnsi="Times New Roman"/>
          <w:szCs w:val="24"/>
        </w:rPr>
      </w:pPr>
      <w:bookmarkStart w:id="6786" w:name="U9619"/>
      <w:r w:rsidRPr="007A5BBC">
        <w:rPr>
          <w:rFonts w:ascii="Times New Roman" w:hAnsi="Times New Roman"/>
          <w:szCs w:val="24"/>
        </w:rPr>
        <w:t>Section 9-619</w:t>
      </w:r>
      <w:bookmarkEnd w:id="6786"/>
      <w:r w:rsidRPr="007A5BBC">
        <w:rPr>
          <w:rFonts w:ascii="Times New Roman" w:hAnsi="Times New Roman"/>
          <w:szCs w:val="24"/>
        </w:rPr>
        <w:t xml:space="preserve">. Transfer of Record or Legal Title. </w:t>
      </w:r>
    </w:p>
    <w:p w14:paraId="53F6C7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debtor has defaulted in connection with an obligation secured by specified collateral;</w:t>
      </w:r>
    </w:p>
    <w:p w14:paraId="481284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88086B">
      <w:pPr>
        <w:tabs>
          <w:tab w:val="left" w:pos="360"/>
          <w:tab w:val="left" w:pos="900"/>
        </w:tabs>
        <w:rPr>
          <w:rFonts w:ascii="Times New Roman" w:hAnsi="Times New Roman"/>
          <w:szCs w:val="24"/>
        </w:rPr>
      </w:pPr>
    </w:p>
    <w:p w14:paraId="7119515A" w14:textId="77777777" w:rsidR="0088086B" w:rsidRPr="007A5BBC" w:rsidRDefault="0088086B" w:rsidP="0088086B">
      <w:pPr>
        <w:tabs>
          <w:tab w:val="left" w:pos="360"/>
          <w:tab w:val="left" w:pos="900"/>
        </w:tabs>
        <w:rPr>
          <w:rFonts w:ascii="Times New Roman" w:hAnsi="Times New Roman"/>
          <w:szCs w:val="24"/>
        </w:rPr>
      </w:pPr>
      <w:bookmarkStart w:id="6787" w:name="U9620"/>
      <w:r w:rsidRPr="007A5BBC">
        <w:rPr>
          <w:rFonts w:ascii="Times New Roman" w:hAnsi="Times New Roman"/>
          <w:szCs w:val="24"/>
        </w:rPr>
        <w:t>Section 9-620</w:t>
      </w:r>
      <w:bookmarkEnd w:id="6787"/>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consents to the acceptance in an authenticated record or sends a proposal to the debtor; and</w:t>
      </w:r>
    </w:p>
    <w:p w14:paraId="6DBED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other cases: </w:t>
      </w:r>
    </w:p>
    <w:p w14:paraId="5AB780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88086B">
      <w:pPr>
        <w:tabs>
          <w:tab w:val="left" w:pos="360"/>
          <w:tab w:val="left" w:pos="900"/>
        </w:tabs>
        <w:rPr>
          <w:rFonts w:ascii="Times New Roman" w:hAnsi="Times New Roman"/>
          <w:szCs w:val="24"/>
        </w:rPr>
      </w:pPr>
    </w:p>
    <w:p w14:paraId="02D62D99" w14:textId="77777777" w:rsidR="0088086B" w:rsidRPr="007A5BBC" w:rsidRDefault="0088086B" w:rsidP="0088086B">
      <w:pPr>
        <w:tabs>
          <w:tab w:val="left" w:pos="360"/>
          <w:tab w:val="left" w:pos="900"/>
        </w:tabs>
        <w:rPr>
          <w:rFonts w:ascii="Times New Roman" w:hAnsi="Times New Roman"/>
          <w:szCs w:val="24"/>
        </w:rPr>
      </w:pPr>
      <w:bookmarkStart w:id="6788" w:name="U9621"/>
      <w:r w:rsidRPr="007A5BBC">
        <w:rPr>
          <w:rFonts w:ascii="Times New Roman" w:hAnsi="Times New Roman"/>
          <w:szCs w:val="24"/>
        </w:rPr>
        <w:t>Section 9-621</w:t>
      </w:r>
      <w:bookmarkEnd w:id="6788"/>
      <w:r w:rsidRPr="007A5BBC">
        <w:rPr>
          <w:rFonts w:ascii="Times New Roman" w:hAnsi="Times New Roman"/>
          <w:szCs w:val="24"/>
        </w:rPr>
        <w:t xml:space="preserve">. Notification of Proposal to Accept Collateral. </w:t>
      </w:r>
    </w:p>
    <w:p w14:paraId="6D9FF0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88086B">
      <w:pPr>
        <w:tabs>
          <w:tab w:val="left" w:pos="360"/>
          <w:tab w:val="left" w:pos="900"/>
        </w:tabs>
        <w:rPr>
          <w:rFonts w:ascii="Times New Roman" w:hAnsi="Times New Roman"/>
          <w:szCs w:val="24"/>
        </w:rPr>
      </w:pPr>
    </w:p>
    <w:p w14:paraId="46102CAA" w14:textId="77777777" w:rsidR="0088086B" w:rsidRPr="007A5BBC" w:rsidRDefault="0088086B" w:rsidP="0088086B">
      <w:pPr>
        <w:tabs>
          <w:tab w:val="left" w:pos="360"/>
          <w:tab w:val="left" w:pos="900"/>
        </w:tabs>
        <w:rPr>
          <w:rFonts w:ascii="Times New Roman" w:hAnsi="Times New Roman"/>
          <w:szCs w:val="24"/>
        </w:rPr>
      </w:pPr>
      <w:bookmarkStart w:id="6789" w:name="U9622"/>
      <w:r w:rsidRPr="007A5BBC">
        <w:rPr>
          <w:rFonts w:ascii="Times New Roman" w:hAnsi="Times New Roman"/>
          <w:szCs w:val="24"/>
        </w:rPr>
        <w:t>Section 9-622</w:t>
      </w:r>
      <w:bookmarkEnd w:id="6789"/>
      <w:r w:rsidRPr="007A5BBC">
        <w:rPr>
          <w:rFonts w:ascii="Times New Roman" w:hAnsi="Times New Roman"/>
          <w:szCs w:val="24"/>
        </w:rPr>
        <w:t xml:space="preserve">. Effect of Acceptance of Collateral. </w:t>
      </w:r>
    </w:p>
    <w:p w14:paraId="758E4D1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discharges the security interest or agricultural lien that is the subject of the debtor's consent and any subordinate security interest or other subordinate lien; and</w:t>
      </w:r>
    </w:p>
    <w:p w14:paraId="06B760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88086B">
      <w:pPr>
        <w:tabs>
          <w:tab w:val="left" w:pos="360"/>
          <w:tab w:val="left" w:pos="900"/>
        </w:tabs>
        <w:rPr>
          <w:rFonts w:ascii="Times New Roman" w:hAnsi="Times New Roman"/>
          <w:szCs w:val="24"/>
        </w:rPr>
      </w:pPr>
    </w:p>
    <w:p w14:paraId="58AEBBC5" w14:textId="77777777" w:rsidR="0088086B" w:rsidRPr="007A5BBC" w:rsidRDefault="0088086B" w:rsidP="0088086B">
      <w:pPr>
        <w:tabs>
          <w:tab w:val="left" w:pos="360"/>
          <w:tab w:val="left" w:pos="900"/>
        </w:tabs>
        <w:rPr>
          <w:rFonts w:ascii="Times New Roman" w:hAnsi="Times New Roman"/>
          <w:szCs w:val="24"/>
        </w:rPr>
      </w:pPr>
      <w:bookmarkStart w:id="6790" w:name="U9623"/>
      <w:r w:rsidRPr="007A5BBC">
        <w:rPr>
          <w:rFonts w:ascii="Times New Roman" w:hAnsi="Times New Roman"/>
          <w:szCs w:val="24"/>
        </w:rPr>
        <w:t>Section 9-623</w:t>
      </w:r>
      <w:bookmarkEnd w:id="6790"/>
      <w:r w:rsidRPr="007A5BBC">
        <w:rPr>
          <w:rFonts w:ascii="Times New Roman" w:hAnsi="Times New Roman"/>
          <w:szCs w:val="24"/>
        </w:rPr>
        <w:t xml:space="preserve">. Right to Redeem Collateral. </w:t>
      </w:r>
    </w:p>
    <w:p w14:paraId="42664F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has disposed of collateral or entered into a contract for its disposition under Section 9-610; or</w:t>
      </w:r>
    </w:p>
    <w:p w14:paraId="0A527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88086B">
      <w:pPr>
        <w:tabs>
          <w:tab w:val="left" w:pos="360"/>
          <w:tab w:val="left" w:pos="900"/>
        </w:tabs>
        <w:ind w:left="360"/>
        <w:rPr>
          <w:rFonts w:ascii="Times New Roman" w:hAnsi="Times New Roman"/>
          <w:szCs w:val="24"/>
        </w:rPr>
      </w:pPr>
    </w:p>
    <w:p w14:paraId="7F41BFA2" w14:textId="77777777" w:rsidR="0088086B" w:rsidRPr="007A5BBC" w:rsidRDefault="0088086B" w:rsidP="0088086B">
      <w:pPr>
        <w:tabs>
          <w:tab w:val="left" w:pos="360"/>
          <w:tab w:val="left" w:pos="900"/>
        </w:tabs>
        <w:rPr>
          <w:rFonts w:ascii="Times New Roman" w:hAnsi="Times New Roman"/>
          <w:szCs w:val="24"/>
        </w:rPr>
      </w:pPr>
      <w:bookmarkStart w:id="6791" w:name="U9624"/>
      <w:r w:rsidRPr="007A5BBC">
        <w:rPr>
          <w:rFonts w:ascii="Times New Roman" w:hAnsi="Times New Roman"/>
          <w:szCs w:val="24"/>
        </w:rPr>
        <w:t>Section 9-624</w:t>
      </w:r>
      <w:bookmarkEnd w:id="6791"/>
      <w:r w:rsidRPr="007A5BBC">
        <w:rPr>
          <w:rFonts w:ascii="Times New Roman" w:hAnsi="Times New Roman"/>
          <w:szCs w:val="24"/>
        </w:rPr>
        <w:t xml:space="preserve">. Waiver. </w:t>
      </w:r>
    </w:p>
    <w:p w14:paraId="1861B0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88086B">
      <w:pPr>
        <w:tabs>
          <w:tab w:val="left" w:pos="360"/>
          <w:tab w:val="left" w:pos="900"/>
        </w:tabs>
        <w:rPr>
          <w:rFonts w:ascii="Times New Roman" w:hAnsi="Times New Roman"/>
          <w:szCs w:val="24"/>
        </w:rPr>
      </w:pPr>
    </w:p>
    <w:p w14:paraId="33835761" w14:textId="046871B4" w:rsidR="0088086B" w:rsidRPr="007A5BBC" w:rsidRDefault="00782EE6" w:rsidP="0088086B">
      <w:pPr>
        <w:tabs>
          <w:tab w:val="left" w:pos="360"/>
          <w:tab w:val="left" w:pos="900"/>
        </w:tabs>
        <w:jc w:val="center"/>
        <w:rPr>
          <w:rFonts w:ascii="Times New Roman" w:hAnsi="Times New Roman"/>
          <w:szCs w:val="24"/>
        </w:rPr>
      </w:pPr>
      <w:bookmarkStart w:id="6792"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6792"/>
      <w:r w:rsidR="0088086B" w:rsidRPr="007A5BBC">
        <w:rPr>
          <w:rFonts w:ascii="Times New Roman" w:hAnsi="Times New Roman"/>
          <w:szCs w:val="24"/>
        </w:rPr>
        <w:t>- NONCOMPLIANCE WITH ARTICLE</w:t>
      </w:r>
    </w:p>
    <w:p w14:paraId="50BBEB58" w14:textId="77777777" w:rsidR="0088086B" w:rsidRPr="007A5BBC" w:rsidRDefault="0088086B" w:rsidP="0088086B">
      <w:pPr>
        <w:tabs>
          <w:tab w:val="left" w:pos="360"/>
          <w:tab w:val="left" w:pos="900"/>
        </w:tabs>
        <w:rPr>
          <w:rFonts w:ascii="Times New Roman" w:hAnsi="Times New Roman"/>
          <w:szCs w:val="24"/>
        </w:rPr>
      </w:pPr>
    </w:p>
    <w:p w14:paraId="54407745" w14:textId="77777777" w:rsidR="0088086B" w:rsidRPr="007A5BBC" w:rsidRDefault="0088086B" w:rsidP="0088086B">
      <w:pPr>
        <w:tabs>
          <w:tab w:val="left" w:pos="360"/>
          <w:tab w:val="left" w:pos="900"/>
        </w:tabs>
        <w:rPr>
          <w:rFonts w:ascii="Times New Roman" w:hAnsi="Times New Roman"/>
          <w:szCs w:val="24"/>
        </w:rPr>
      </w:pPr>
      <w:bookmarkStart w:id="6793" w:name="U9625"/>
      <w:r w:rsidRPr="007A5BBC">
        <w:rPr>
          <w:rFonts w:ascii="Times New Roman" w:hAnsi="Times New Roman"/>
          <w:szCs w:val="24"/>
        </w:rPr>
        <w:t>Section 9-625</w:t>
      </w:r>
      <w:bookmarkEnd w:id="6793"/>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88086B">
      <w:pPr>
        <w:tabs>
          <w:tab w:val="left" w:pos="360"/>
          <w:tab w:val="left" w:pos="900"/>
        </w:tabs>
        <w:rPr>
          <w:rFonts w:ascii="Times New Roman" w:hAnsi="Times New Roman"/>
          <w:szCs w:val="24"/>
        </w:rPr>
      </w:pPr>
    </w:p>
    <w:p w14:paraId="76949756" w14:textId="77777777" w:rsidR="0088086B" w:rsidRPr="007A5BBC" w:rsidRDefault="0088086B" w:rsidP="0088086B">
      <w:pPr>
        <w:tabs>
          <w:tab w:val="left" w:pos="360"/>
          <w:tab w:val="left" w:pos="900"/>
        </w:tabs>
        <w:rPr>
          <w:rFonts w:ascii="Times New Roman" w:hAnsi="Times New Roman"/>
          <w:szCs w:val="24"/>
        </w:rPr>
      </w:pPr>
      <w:bookmarkStart w:id="6794" w:name="U9626"/>
      <w:r w:rsidRPr="007A5BBC">
        <w:rPr>
          <w:rFonts w:ascii="Times New Roman" w:hAnsi="Times New Roman"/>
          <w:szCs w:val="24"/>
        </w:rPr>
        <w:t>Section 9-626</w:t>
      </w:r>
      <w:bookmarkEnd w:id="6794"/>
      <w:r w:rsidRPr="007A5BBC">
        <w:rPr>
          <w:rFonts w:ascii="Times New Roman" w:hAnsi="Times New Roman"/>
          <w:szCs w:val="24"/>
        </w:rPr>
        <w:t xml:space="preserve">. Action in Which Deficiency or Surplus is in Issue. </w:t>
      </w:r>
    </w:p>
    <w:p w14:paraId="3D7EC2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88086B">
      <w:pPr>
        <w:tabs>
          <w:tab w:val="left" w:pos="360"/>
          <w:tab w:val="left" w:pos="900"/>
        </w:tabs>
        <w:rPr>
          <w:rFonts w:ascii="Times New Roman" w:hAnsi="Times New Roman"/>
          <w:szCs w:val="24"/>
        </w:rPr>
      </w:pPr>
    </w:p>
    <w:p w14:paraId="49FA4670" w14:textId="77777777" w:rsidR="0088086B" w:rsidRPr="007A5BBC" w:rsidRDefault="0088086B" w:rsidP="0088086B">
      <w:pPr>
        <w:tabs>
          <w:tab w:val="left" w:pos="360"/>
          <w:tab w:val="left" w:pos="900"/>
        </w:tabs>
        <w:rPr>
          <w:rFonts w:ascii="Times New Roman" w:hAnsi="Times New Roman"/>
          <w:szCs w:val="24"/>
        </w:rPr>
      </w:pPr>
      <w:bookmarkStart w:id="6795" w:name="U9627"/>
      <w:r w:rsidRPr="007A5BBC">
        <w:rPr>
          <w:rFonts w:ascii="Times New Roman" w:hAnsi="Times New Roman"/>
          <w:szCs w:val="24"/>
        </w:rPr>
        <w:t>Section 9-627</w:t>
      </w:r>
      <w:bookmarkEnd w:id="6795"/>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otherwise in conformity with reasonable commercial practices among dealers in the type of property that was the subject of the disposition. </w:t>
      </w:r>
    </w:p>
    <w:p w14:paraId="0FA56C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88086B">
      <w:pPr>
        <w:tabs>
          <w:tab w:val="left" w:pos="360"/>
          <w:tab w:val="left" w:pos="900"/>
        </w:tabs>
        <w:rPr>
          <w:rFonts w:ascii="Times New Roman" w:hAnsi="Times New Roman"/>
          <w:szCs w:val="24"/>
        </w:rPr>
      </w:pPr>
    </w:p>
    <w:p w14:paraId="247F8264" w14:textId="77777777" w:rsidR="0088086B" w:rsidRPr="007A5BBC" w:rsidRDefault="0088086B" w:rsidP="0088086B">
      <w:pPr>
        <w:tabs>
          <w:tab w:val="left" w:pos="360"/>
          <w:tab w:val="left" w:pos="900"/>
        </w:tabs>
        <w:rPr>
          <w:rFonts w:ascii="Times New Roman" w:hAnsi="Times New Roman"/>
          <w:szCs w:val="24"/>
        </w:rPr>
      </w:pPr>
      <w:bookmarkStart w:id="6796" w:name="U9628"/>
      <w:r w:rsidRPr="007A5BBC">
        <w:rPr>
          <w:rFonts w:ascii="Times New Roman" w:hAnsi="Times New Roman"/>
          <w:szCs w:val="24"/>
        </w:rPr>
        <w:t>Section 9-628</w:t>
      </w:r>
      <w:bookmarkEnd w:id="6796"/>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a secured party or lienholder that has filed a financing statement against a person, unless the secured party knows: </w:t>
      </w:r>
    </w:p>
    <w:p w14:paraId="2F912A0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liability if reasonable belief that transaction not a consumer-goods transaction or consumer transaction. A secured party is not liable to any person, and a person's liability for a deficiency is not affected, because of any act or omission arising out of 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88086B">
      <w:pPr>
        <w:tabs>
          <w:tab w:val="left" w:pos="360"/>
          <w:tab w:val="left" w:pos="900"/>
        </w:tabs>
        <w:rPr>
          <w:rFonts w:ascii="Times New Roman" w:hAnsi="Times New Roman"/>
          <w:szCs w:val="24"/>
        </w:rPr>
      </w:pPr>
    </w:p>
    <w:p w14:paraId="483014EE" w14:textId="77777777" w:rsidR="0088086B" w:rsidRPr="007A5BBC" w:rsidRDefault="0088086B" w:rsidP="0088086B">
      <w:pPr>
        <w:tabs>
          <w:tab w:val="left" w:pos="360"/>
          <w:tab w:val="left" w:pos="900"/>
        </w:tabs>
        <w:jc w:val="center"/>
        <w:rPr>
          <w:rFonts w:ascii="Times New Roman" w:hAnsi="Times New Roman"/>
          <w:szCs w:val="24"/>
        </w:rPr>
      </w:pPr>
      <w:bookmarkStart w:id="6797" w:name="UPart7"/>
      <w:r w:rsidRPr="007A5BBC">
        <w:rPr>
          <w:rFonts w:ascii="Times New Roman" w:hAnsi="Times New Roman"/>
          <w:szCs w:val="24"/>
        </w:rPr>
        <w:t xml:space="preserve">Part 7 </w:t>
      </w:r>
      <w:bookmarkEnd w:id="6797"/>
      <w:r w:rsidRPr="007A5BBC">
        <w:rPr>
          <w:rFonts w:ascii="Times New Roman" w:hAnsi="Times New Roman"/>
          <w:szCs w:val="24"/>
        </w:rPr>
        <w:t>– TRANSITION</w:t>
      </w:r>
    </w:p>
    <w:p w14:paraId="779FC73F" w14:textId="77777777" w:rsidR="0088086B" w:rsidRPr="007A5BBC" w:rsidRDefault="0088086B" w:rsidP="0088086B">
      <w:pPr>
        <w:tabs>
          <w:tab w:val="left" w:pos="360"/>
          <w:tab w:val="left" w:pos="900"/>
        </w:tabs>
        <w:rPr>
          <w:rFonts w:ascii="Times New Roman" w:hAnsi="Times New Roman"/>
          <w:szCs w:val="24"/>
        </w:rPr>
      </w:pPr>
    </w:p>
    <w:p w14:paraId="47ABC574" w14:textId="77777777" w:rsidR="0088086B" w:rsidRPr="007A5BBC" w:rsidRDefault="0088086B" w:rsidP="0088086B">
      <w:pPr>
        <w:tabs>
          <w:tab w:val="left" w:pos="360"/>
          <w:tab w:val="left" w:pos="900"/>
        </w:tabs>
        <w:rPr>
          <w:rFonts w:ascii="Times New Roman" w:hAnsi="Times New Roman"/>
          <w:szCs w:val="24"/>
        </w:rPr>
      </w:pPr>
      <w:bookmarkStart w:id="6798" w:name="U9700"/>
      <w:r w:rsidRPr="007A5BBC">
        <w:rPr>
          <w:rFonts w:ascii="Times New Roman" w:hAnsi="Times New Roman"/>
          <w:szCs w:val="24"/>
        </w:rPr>
        <w:t>Section 9-700</w:t>
      </w:r>
      <w:bookmarkEnd w:id="6798"/>
      <w:r w:rsidRPr="007A5BBC">
        <w:rPr>
          <w:rFonts w:ascii="Times New Roman" w:hAnsi="Times New Roman"/>
          <w:szCs w:val="24"/>
        </w:rPr>
        <w:t xml:space="preserve">. Definitions. </w:t>
      </w:r>
    </w:p>
    <w:p w14:paraId="23C2DF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88086B">
      <w:pPr>
        <w:tabs>
          <w:tab w:val="left" w:pos="360"/>
          <w:tab w:val="left" w:pos="900"/>
        </w:tabs>
        <w:rPr>
          <w:rFonts w:ascii="Times New Roman" w:hAnsi="Times New Roman"/>
          <w:szCs w:val="24"/>
        </w:rPr>
      </w:pPr>
    </w:p>
    <w:p w14:paraId="5E0AA59A" w14:textId="77777777" w:rsidR="0088086B" w:rsidRPr="007A5BBC" w:rsidRDefault="0088086B" w:rsidP="0088086B">
      <w:pPr>
        <w:tabs>
          <w:tab w:val="left" w:pos="360"/>
          <w:tab w:val="left" w:pos="900"/>
        </w:tabs>
        <w:rPr>
          <w:rFonts w:ascii="Times New Roman" w:hAnsi="Times New Roman"/>
          <w:szCs w:val="24"/>
        </w:rPr>
      </w:pPr>
      <w:bookmarkStart w:id="6799" w:name="U9701"/>
      <w:r w:rsidRPr="007A5BBC">
        <w:rPr>
          <w:rFonts w:ascii="Times New Roman" w:hAnsi="Times New Roman"/>
          <w:szCs w:val="24"/>
        </w:rPr>
        <w:t>Section 9-701</w:t>
      </w:r>
      <w:bookmarkEnd w:id="6799"/>
      <w:r w:rsidRPr="007A5BBC">
        <w:rPr>
          <w:rFonts w:ascii="Times New Roman" w:hAnsi="Times New Roman"/>
          <w:szCs w:val="24"/>
        </w:rPr>
        <w:t xml:space="preserve">. Effective Date. </w:t>
      </w:r>
    </w:p>
    <w:p w14:paraId="597FE9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88086B">
      <w:pPr>
        <w:tabs>
          <w:tab w:val="left" w:pos="360"/>
          <w:tab w:val="left" w:pos="900"/>
        </w:tabs>
        <w:rPr>
          <w:rFonts w:ascii="Times New Roman" w:hAnsi="Times New Roman"/>
          <w:szCs w:val="24"/>
        </w:rPr>
      </w:pPr>
    </w:p>
    <w:p w14:paraId="7A1AAB9D" w14:textId="77777777" w:rsidR="0088086B" w:rsidRPr="007A5BBC" w:rsidRDefault="0088086B" w:rsidP="0088086B">
      <w:pPr>
        <w:tabs>
          <w:tab w:val="left" w:pos="360"/>
          <w:tab w:val="left" w:pos="900"/>
        </w:tabs>
        <w:rPr>
          <w:rFonts w:ascii="Times New Roman" w:hAnsi="Times New Roman"/>
          <w:szCs w:val="24"/>
        </w:rPr>
      </w:pPr>
      <w:bookmarkStart w:id="6800" w:name="U9702"/>
      <w:r w:rsidRPr="007A5BBC">
        <w:rPr>
          <w:rFonts w:ascii="Times New Roman" w:hAnsi="Times New Roman"/>
          <w:szCs w:val="24"/>
        </w:rPr>
        <w:t>Section 9-702</w:t>
      </w:r>
      <w:bookmarkEnd w:id="6800"/>
      <w:r w:rsidRPr="007A5BBC">
        <w:rPr>
          <w:rFonts w:ascii="Times New Roman" w:hAnsi="Times New Roman"/>
          <w:szCs w:val="24"/>
        </w:rPr>
        <w:t xml:space="preserve">. Savings Clause. </w:t>
      </w:r>
    </w:p>
    <w:p w14:paraId="6C36AB5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validity. Except as otherwise provided in subsection (c) and Sections 9-703 through 9-709:</w:t>
      </w:r>
    </w:p>
    <w:p w14:paraId="28B21C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transactions and liens that were not governed by Former Article 9, were validly entered into or created before Revised Article 9 takes effect, and would be subject to Revised Article 9 if they had been entered into or created after Revised Article 9 takes effect, and the rights, duties, and interests flowing from those transactions and liens remain valid after Revised Article 9 takes effect; and</w:t>
      </w:r>
    </w:p>
    <w:p w14:paraId="53F3BA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88086B">
      <w:pPr>
        <w:tabs>
          <w:tab w:val="left" w:pos="360"/>
          <w:tab w:val="left" w:pos="900"/>
        </w:tabs>
        <w:rPr>
          <w:rFonts w:ascii="Times New Roman" w:hAnsi="Times New Roman"/>
          <w:szCs w:val="24"/>
        </w:rPr>
      </w:pPr>
    </w:p>
    <w:p w14:paraId="1E75F8FC" w14:textId="77777777" w:rsidR="0088086B" w:rsidRPr="007A5BBC" w:rsidRDefault="0088086B" w:rsidP="0088086B">
      <w:pPr>
        <w:tabs>
          <w:tab w:val="left" w:pos="360"/>
          <w:tab w:val="left" w:pos="900"/>
        </w:tabs>
        <w:rPr>
          <w:rFonts w:ascii="Times New Roman" w:hAnsi="Times New Roman"/>
          <w:szCs w:val="24"/>
        </w:rPr>
      </w:pPr>
      <w:bookmarkStart w:id="6801" w:name="U9703"/>
      <w:r w:rsidRPr="007A5BBC">
        <w:rPr>
          <w:rFonts w:ascii="Times New Roman" w:hAnsi="Times New Roman"/>
          <w:szCs w:val="24"/>
        </w:rPr>
        <w:t>Section 9-703</w:t>
      </w:r>
      <w:bookmarkEnd w:id="6801"/>
      <w:r w:rsidRPr="007A5BBC">
        <w:rPr>
          <w:rFonts w:ascii="Times New Roman" w:hAnsi="Times New Roman"/>
          <w:szCs w:val="24"/>
        </w:rPr>
        <w:t xml:space="preserve">. Security Interest Perfected Before Effective Date. </w:t>
      </w:r>
    </w:p>
    <w:p w14:paraId="2EDD95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88086B">
      <w:pPr>
        <w:tabs>
          <w:tab w:val="left" w:pos="360"/>
          <w:tab w:val="left" w:pos="900"/>
        </w:tabs>
        <w:ind w:left="360"/>
        <w:rPr>
          <w:rFonts w:ascii="Times New Roman" w:hAnsi="Times New Roman"/>
          <w:szCs w:val="24"/>
        </w:rPr>
      </w:pPr>
    </w:p>
    <w:p w14:paraId="0F603C6F" w14:textId="77777777" w:rsidR="0088086B" w:rsidRPr="007A5BBC" w:rsidRDefault="0088086B" w:rsidP="0088086B">
      <w:pPr>
        <w:tabs>
          <w:tab w:val="left" w:pos="360"/>
          <w:tab w:val="left" w:pos="900"/>
        </w:tabs>
        <w:rPr>
          <w:rFonts w:ascii="Times New Roman" w:hAnsi="Times New Roman"/>
          <w:szCs w:val="24"/>
        </w:rPr>
      </w:pPr>
      <w:bookmarkStart w:id="6802" w:name="U9704"/>
      <w:r w:rsidRPr="007A5BBC">
        <w:rPr>
          <w:rFonts w:ascii="Times New Roman" w:hAnsi="Times New Roman"/>
          <w:szCs w:val="24"/>
        </w:rPr>
        <w:t>Section 9-704</w:t>
      </w:r>
      <w:bookmarkEnd w:id="6802"/>
      <w:r w:rsidRPr="007A5BBC">
        <w:rPr>
          <w:rFonts w:ascii="Times New Roman" w:hAnsi="Times New Roman"/>
          <w:szCs w:val="24"/>
        </w:rPr>
        <w:t xml:space="preserve">. Security Interest Unperfected Before Effective Date. </w:t>
      </w:r>
    </w:p>
    <w:p w14:paraId="79FB2B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88086B">
      <w:pPr>
        <w:tabs>
          <w:tab w:val="left" w:pos="360"/>
          <w:tab w:val="left" w:pos="900"/>
        </w:tabs>
        <w:rPr>
          <w:rFonts w:ascii="Times New Roman" w:hAnsi="Times New Roman"/>
          <w:szCs w:val="24"/>
        </w:rPr>
      </w:pPr>
    </w:p>
    <w:p w14:paraId="5DACF88F" w14:textId="77777777" w:rsidR="0088086B" w:rsidRPr="007A5BBC" w:rsidRDefault="0088086B" w:rsidP="0088086B">
      <w:pPr>
        <w:tabs>
          <w:tab w:val="left" w:pos="360"/>
          <w:tab w:val="left" w:pos="900"/>
        </w:tabs>
        <w:rPr>
          <w:rFonts w:ascii="Times New Roman" w:hAnsi="Times New Roman"/>
          <w:szCs w:val="24"/>
        </w:rPr>
      </w:pPr>
      <w:bookmarkStart w:id="6803" w:name="U9705"/>
      <w:r w:rsidRPr="007A5BBC">
        <w:rPr>
          <w:rFonts w:ascii="Times New Roman" w:hAnsi="Times New Roman"/>
          <w:szCs w:val="24"/>
        </w:rPr>
        <w:t>Section 9-705</w:t>
      </w:r>
      <w:bookmarkEnd w:id="6803"/>
      <w:r w:rsidRPr="007A5BBC">
        <w:rPr>
          <w:rFonts w:ascii="Times New Roman" w:hAnsi="Times New Roman"/>
          <w:szCs w:val="24"/>
        </w:rPr>
        <w:t xml:space="preserve">. Effectiveness of Action Taken Before Effective Date. </w:t>
      </w:r>
    </w:p>
    <w:p w14:paraId="4FC877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88086B">
      <w:pPr>
        <w:tabs>
          <w:tab w:val="left" w:pos="360"/>
          <w:tab w:val="left" w:pos="900"/>
        </w:tabs>
        <w:ind w:left="360"/>
        <w:rPr>
          <w:rFonts w:ascii="Times New Roman" w:hAnsi="Times New Roman"/>
          <w:szCs w:val="24"/>
        </w:rPr>
      </w:pPr>
    </w:p>
    <w:p w14:paraId="04EABF1F" w14:textId="77777777" w:rsidR="0088086B" w:rsidRPr="007A5BBC" w:rsidRDefault="0088086B" w:rsidP="0088086B">
      <w:pPr>
        <w:tabs>
          <w:tab w:val="left" w:pos="360"/>
          <w:tab w:val="left" w:pos="900"/>
        </w:tabs>
        <w:rPr>
          <w:rFonts w:ascii="Times New Roman" w:hAnsi="Times New Roman"/>
          <w:szCs w:val="24"/>
        </w:rPr>
      </w:pPr>
      <w:bookmarkStart w:id="6804" w:name="U9706"/>
      <w:r w:rsidRPr="007A5BBC">
        <w:rPr>
          <w:rFonts w:ascii="Times New Roman" w:hAnsi="Times New Roman"/>
          <w:szCs w:val="24"/>
        </w:rPr>
        <w:t>Section 9-706</w:t>
      </w:r>
      <w:bookmarkEnd w:id="6804"/>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identify the pre-effective-date financing statement by indicating the office in which the financing statement was filed and providing the dates of filing and file numbers, if any, of the financing statement and of the most recent continuation statement filed with respect to the financing statement; and</w:t>
      </w:r>
    </w:p>
    <w:p w14:paraId="7D8A1F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88086B">
      <w:pPr>
        <w:tabs>
          <w:tab w:val="left" w:pos="360"/>
          <w:tab w:val="left" w:pos="900"/>
        </w:tabs>
        <w:rPr>
          <w:rFonts w:ascii="Times New Roman" w:hAnsi="Times New Roman"/>
          <w:szCs w:val="24"/>
        </w:rPr>
      </w:pPr>
    </w:p>
    <w:p w14:paraId="59EABEF1" w14:textId="77777777" w:rsidR="0088086B" w:rsidRPr="007A5BBC" w:rsidRDefault="0088086B" w:rsidP="0088086B">
      <w:pPr>
        <w:tabs>
          <w:tab w:val="left" w:pos="360"/>
          <w:tab w:val="left" w:pos="900"/>
        </w:tabs>
        <w:rPr>
          <w:rFonts w:ascii="Times New Roman" w:hAnsi="Times New Roman"/>
          <w:szCs w:val="24"/>
        </w:rPr>
      </w:pPr>
      <w:bookmarkStart w:id="6805" w:name="U9707"/>
      <w:r w:rsidRPr="007A5BBC">
        <w:rPr>
          <w:rFonts w:ascii="Times New Roman" w:hAnsi="Times New Roman"/>
          <w:szCs w:val="24"/>
        </w:rPr>
        <w:t>Section 9-707</w:t>
      </w:r>
      <w:bookmarkEnd w:id="6805"/>
      <w:r w:rsidRPr="007A5BBC">
        <w:rPr>
          <w:rFonts w:ascii="Times New Roman" w:hAnsi="Times New Roman"/>
          <w:szCs w:val="24"/>
        </w:rPr>
        <w:t xml:space="preserve">. Amendment of Pre-effective-date Financing Statement. </w:t>
      </w:r>
    </w:p>
    <w:p w14:paraId="1DAC01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88086B">
      <w:pPr>
        <w:tabs>
          <w:tab w:val="left" w:pos="360"/>
          <w:tab w:val="left" w:pos="900"/>
        </w:tabs>
        <w:rPr>
          <w:rFonts w:ascii="Times New Roman" w:hAnsi="Times New Roman"/>
          <w:szCs w:val="24"/>
        </w:rPr>
      </w:pPr>
    </w:p>
    <w:p w14:paraId="58EA91CC" w14:textId="77777777" w:rsidR="0088086B" w:rsidRPr="007A5BBC" w:rsidRDefault="0088086B" w:rsidP="0088086B">
      <w:pPr>
        <w:tabs>
          <w:tab w:val="left" w:pos="360"/>
          <w:tab w:val="left" w:pos="900"/>
        </w:tabs>
        <w:rPr>
          <w:rFonts w:ascii="Times New Roman" w:hAnsi="Times New Roman"/>
          <w:szCs w:val="24"/>
        </w:rPr>
      </w:pPr>
      <w:bookmarkStart w:id="6806" w:name="U9708"/>
      <w:r w:rsidRPr="007A5BBC">
        <w:rPr>
          <w:rFonts w:ascii="Times New Roman" w:hAnsi="Times New Roman"/>
          <w:szCs w:val="24"/>
        </w:rPr>
        <w:t>Section 9-708</w:t>
      </w:r>
      <w:bookmarkEnd w:id="6806"/>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 may file an initial financing statement or a continuation statement under this part if: </w:t>
      </w:r>
    </w:p>
    <w:p w14:paraId="1B3F6F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to continue the effectiveness of a financing statement filed before Revised Article 9 takes effect; or</w:t>
      </w:r>
    </w:p>
    <w:p w14:paraId="64D939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88086B">
      <w:pPr>
        <w:tabs>
          <w:tab w:val="left" w:pos="360"/>
          <w:tab w:val="left" w:pos="900"/>
        </w:tabs>
        <w:rPr>
          <w:rFonts w:ascii="Times New Roman" w:hAnsi="Times New Roman"/>
          <w:szCs w:val="24"/>
        </w:rPr>
      </w:pPr>
    </w:p>
    <w:p w14:paraId="1CC6585E" w14:textId="77777777" w:rsidR="0088086B" w:rsidRPr="007A5BBC" w:rsidRDefault="0088086B" w:rsidP="0088086B">
      <w:pPr>
        <w:tabs>
          <w:tab w:val="left" w:pos="360"/>
          <w:tab w:val="left" w:pos="900"/>
        </w:tabs>
        <w:rPr>
          <w:rFonts w:ascii="Times New Roman" w:hAnsi="Times New Roman"/>
          <w:szCs w:val="24"/>
        </w:rPr>
      </w:pPr>
      <w:bookmarkStart w:id="6807" w:name="U9709"/>
      <w:r w:rsidRPr="007A5BBC">
        <w:rPr>
          <w:rFonts w:ascii="Times New Roman" w:hAnsi="Times New Roman"/>
          <w:szCs w:val="24"/>
        </w:rPr>
        <w:t>Section 9-709</w:t>
      </w:r>
      <w:bookmarkEnd w:id="6807"/>
      <w:r w:rsidRPr="007A5BBC">
        <w:rPr>
          <w:rFonts w:ascii="Times New Roman" w:hAnsi="Times New Roman"/>
          <w:szCs w:val="24"/>
        </w:rPr>
        <w:t xml:space="preserve">. Priority. </w:t>
      </w:r>
    </w:p>
    <w:p w14:paraId="0038BD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88086B">
      <w:pPr>
        <w:tabs>
          <w:tab w:val="left" w:pos="360"/>
          <w:tab w:val="left" w:pos="900"/>
        </w:tabs>
        <w:rPr>
          <w:rFonts w:ascii="Times New Roman" w:hAnsi="Times New Roman"/>
          <w:szCs w:val="24"/>
        </w:rPr>
      </w:pPr>
    </w:p>
    <w:p w14:paraId="19EDC792" w14:textId="77777777" w:rsidR="0088086B" w:rsidRPr="007A5BBC" w:rsidRDefault="0088086B" w:rsidP="0088086B">
      <w:pPr>
        <w:tabs>
          <w:tab w:val="left" w:pos="360"/>
          <w:tab w:val="left" w:pos="900"/>
        </w:tabs>
        <w:rPr>
          <w:rFonts w:ascii="Times New Roman" w:hAnsi="Times New Roman"/>
          <w:szCs w:val="24"/>
        </w:rPr>
      </w:pPr>
      <w:bookmarkStart w:id="6808" w:name="U9710"/>
      <w:r w:rsidRPr="007A5BBC">
        <w:rPr>
          <w:rFonts w:ascii="Times New Roman" w:hAnsi="Times New Roman"/>
          <w:szCs w:val="24"/>
        </w:rPr>
        <w:t>Section 9-710</w:t>
      </w:r>
      <w:bookmarkEnd w:id="6808"/>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"Cooperative interest", "mortgage", "as-extracted collateral", "fixture filing", "goods" and "fixtures" have the meanings set forth in this Article. </w:t>
      </w:r>
    </w:p>
    <w:p w14:paraId="035582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collateral is a cooperative interest.</w:t>
      </w:r>
    </w:p>
    <w:p w14:paraId="6A0C3D33" w14:textId="64B2EE44" w:rsidR="004B35E4" w:rsidRPr="00AB4BE5" w:rsidRDefault="0088086B" w:rsidP="00AB4BE5">
      <w:pPr>
        <w:spacing w:after="0"/>
        <w:rPr>
          <w:rFonts w:ascii="Times New Roman" w:hAnsi="Times New Roman"/>
          <w:szCs w:val="24"/>
        </w:rPr>
      </w:pPr>
      <w:r w:rsidRPr="007A5BBC">
        <w:rPr>
          <w:rFonts w:ascii="Times New Roman" w:hAnsi="Times New Roman"/>
          <w:szCs w:val="24"/>
        </w:rPr>
        <w:br w:type="page"/>
      </w:r>
    </w:p>
    <w:p w14:paraId="7B15A5FA" w14:textId="354759B2" w:rsidR="004B35E4" w:rsidRPr="00CA3AA8" w:rsidRDefault="00AB4BE5" w:rsidP="007E61C1">
      <w:pPr>
        <w:pStyle w:val="APPENDIX"/>
        <w:numPr>
          <w:ilvl w:val="0"/>
          <w:numId w:val="0"/>
        </w:numPr>
      </w:pPr>
      <w:bookmarkStart w:id="6809" w:name="_Toc90983851"/>
      <w:r>
        <w:t>Appendix G.</w:t>
      </w:r>
      <w:r w:rsidR="004C0288" w:rsidRPr="00CA3AA8">
        <w:rPr>
          <w:bCs/>
        </w:rPr>
        <w:t xml:space="preserve"> </w:t>
      </w:r>
      <w:bookmarkStart w:id="6810" w:name="_Toc79693534"/>
      <w:bookmarkStart w:id="6811" w:name="_Toc79693854"/>
      <w:bookmarkStart w:id="6812" w:name="_Toc79694807"/>
      <w:bookmarkStart w:id="6813" w:name="_Toc79695439"/>
      <w:bookmarkStart w:id="6814" w:name="_Toc79697685"/>
      <w:bookmarkStart w:id="6815" w:name="_Toc79699356"/>
      <w:bookmarkStart w:id="6816" w:name="_Toc79699682"/>
      <w:bookmarkStart w:id="6817" w:name="_Toc79700020"/>
      <w:bookmarkStart w:id="6818" w:name="_Toc87039444"/>
      <w:r w:rsidR="004B35E4" w:rsidRPr="00CA3AA8">
        <w:t xml:space="preserve">Example </w:t>
      </w:r>
      <w:r w:rsidR="0091145C" w:rsidRPr="00CA3AA8">
        <w:t xml:space="preserve">of </w:t>
      </w:r>
      <w:r w:rsidR="004B35E4" w:rsidRPr="00CA3AA8">
        <w:t>Promissory Note</w:t>
      </w:r>
      <w:bookmarkEnd w:id="6809"/>
      <w:bookmarkEnd w:id="6810"/>
      <w:bookmarkEnd w:id="6811"/>
      <w:bookmarkEnd w:id="6812"/>
      <w:bookmarkEnd w:id="6813"/>
      <w:bookmarkEnd w:id="6814"/>
      <w:bookmarkEnd w:id="6815"/>
      <w:bookmarkEnd w:id="6816"/>
      <w:bookmarkEnd w:id="6817"/>
      <w:bookmarkEnd w:id="6818"/>
    </w:p>
    <w:p w14:paraId="545AFC45" w14:textId="77777777" w:rsidR="004B35E4" w:rsidRPr="007A5BBC" w:rsidRDefault="004B35E4" w:rsidP="004B35E4">
      <w:pPr>
        <w:spacing w:after="0"/>
        <w:jc w:val="center"/>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4B35E4">
      <w:pPr>
        <w:jc w:val="center"/>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86F9AD4"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083725">
        <w:rPr>
          <w:rFonts w:ascii="Times New Roman" w:hAnsi="Times New Roman"/>
          <w:szCs w:val="24"/>
        </w:rPr>
        <w:t xml:space="preserve">. </w:t>
      </w:r>
    </w:p>
    <w:p w14:paraId="26C70D18"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5C0A34F1" w14:textId="1595402E" w:rsidR="004B35E4" w:rsidRPr="004C0288" w:rsidRDefault="00AB4BE5" w:rsidP="007E61C1">
      <w:pPr>
        <w:pStyle w:val="APPENDIX"/>
        <w:numPr>
          <w:ilvl w:val="0"/>
          <w:numId w:val="0"/>
        </w:numPr>
      </w:pPr>
      <w:bookmarkStart w:id="6819" w:name="_Toc90983852"/>
      <w:r>
        <w:t>Appendix H.</w:t>
      </w:r>
      <w:r w:rsidR="00993A8D">
        <w:t xml:space="preserve"> </w:t>
      </w:r>
      <w:bookmarkStart w:id="6820" w:name="_Toc79693535"/>
      <w:bookmarkStart w:id="6821" w:name="_Toc79693855"/>
      <w:bookmarkStart w:id="6822" w:name="_Toc79694808"/>
      <w:bookmarkStart w:id="6823" w:name="_Toc79695440"/>
      <w:bookmarkStart w:id="6824" w:name="_Toc79697686"/>
      <w:bookmarkStart w:id="6825" w:name="_Toc79699357"/>
      <w:bookmarkStart w:id="6826" w:name="_Toc79699683"/>
      <w:bookmarkStart w:id="6827" w:name="_Toc79700021"/>
      <w:bookmarkStart w:id="6828" w:name="_Toc87039445"/>
      <w:r w:rsidR="004B35E4" w:rsidRPr="004C0288">
        <w:t xml:space="preserve">Example </w:t>
      </w:r>
      <w:r w:rsidR="0091145C" w:rsidRPr="004C0288">
        <w:t xml:space="preserve">of </w:t>
      </w:r>
      <w:r w:rsidR="004B35E4" w:rsidRPr="004C0288">
        <w:t>Security Agreement</w:t>
      </w:r>
      <w:bookmarkEnd w:id="6819"/>
      <w:bookmarkEnd w:id="6820"/>
      <w:bookmarkEnd w:id="6821"/>
      <w:bookmarkEnd w:id="6822"/>
      <w:bookmarkEnd w:id="6823"/>
      <w:bookmarkEnd w:id="6824"/>
      <w:bookmarkEnd w:id="6825"/>
      <w:bookmarkEnd w:id="6826"/>
      <w:bookmarkEnd w:id="6827"/>
      <w:bookmarkEnd w:id="6828"/>
    </w:p>
    <w:p w14:paraId="1825D42A" w14:textId="42E0BA52" w:rsidR="004B35E4" w:rsidRPr="007A5BBC" w:rsidRDefault="004B35E4" w:rsidP="00506CB3">
      <w:pPr>
        <w:jc w:val="center"/>
        <w:rPr>
          <w:rFonts w:ascii="Times New Roman" w:hAnsi="Times New Roman"/>
          <w:b/>
          <w:szCs w:val="24"/>
        </w:rPr>
      </w:pPr>
      <w:r w:rsidRPr="007A5BBC">
        <w:rPr>
          <w:rFonts w:ascii="Times New Roman" w:hAnsi="Times New Roman"/>
          <w:b/>
          <w:szCs w:val="24"/>
        </w:rPr>
        <w:t>SECURITY AGREEMENT</w:t>
      </w:r>
    </w:p>
    <w:p w14:paraId="5ACC42B3" w14:textId="77777777" w:rsidR="00506CB3" w:rsidRDefault="004B35E4" w:rsidP="00506CB3">
      <w:pPr>
        <w:pStyle w:val="ListParagraph"/>
        <w:numPr>
          <w:ilvl w:val="0"/>
          <w:numId w:val="3"/>
        </w:numPr>
        <w:jc w:val="both"/>
      </w:pPr>
      <w:r w:rsidRPr="007A5BBC">
        <w:rPr>
          <w:b/>
        </w:rPr>
        <w:t>Grant</w:t>
      </w:r>
      <w:r w:rsidRPr="007A5BBC">
        <w:t>. On this 12th day of January, 2012, JOE SCHMOE, with his principal place of business at EI White Hall, Suite 144(i), Syracuse, New York 13244-1030</w:t>
      </w:r>
      <w:r w:rsidR="00296C42" w:rsidRPr="007A5BBC">
        <w:t xml:space="preserve"> </w:t>
      </w:r>
      <w:r w:rsidRPr="007A5BBC">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5E07EB8C" w14:textId="77777777" w:rsidR="00506CB3" w:rsidRDefault="00506CB3" w:rsidP="00506CB3">
      <w:pPr>
        <w:pStyle w:val="ListParagraph"/>
        <w:numPr>
          <w:ilvl w:val="0"/>
          <w:numId w:val="0"/>
        </w:numPr>
        <w:ind w:left="360"/>
        <w:jc w:val="both"/>
        <w:rPr>
          <w:b/>
        </w:rPr>
      </w:pPr>
    </w:p>
    <w:p w14:paraId="1419ED0A" w14:textId="77777777" w:rsidR="00506CB3" w:rsidRPr="00506CB3" w:rsidRDefault="00506CB3" w:rsidP="00506CB3">
      <w:pPr>
        <w:pStyle w:val="ListParagraph"/>
        <w:numPr>
          <w:ilvl w:val="0"/>
          <w:numId w:val="0"/>
        </w:numPr>
        <w:ind w:left="1495"/>
        <w:jc w:val="both"/>
        <w:rPr>
          <w:b/>
          <w:bCs/>
        </w:rPr>
      </w:pPr>
      <w:r w:rsidRPr="00506CB3">
        <w:rPr>
          <w:b/>
          <w:bCs/>
        </w:rPr>
        <w:t>ALL INVENTORY AND EQUIPMENT, INCLUDING LAW BOOKS</w:t>
      </w:r>
    </w:p>
    <w:p w14:paraId="53DE5970" w14:textId="77777777" w:rsidR="00506CB3" w:rsidRDefault="00506CB3" w:rsidP="00506CB3">
      <w:pPr>
        <w:pStyle w:val="ListParagraph"/>
        <w:numPr>
          <w:ilvl w:val="0"/>
          <w:numId w:val="0"/>
        </w:numPr>
        <w:ind w:left="360"/>
        <w:jc w:val="both"/>
        <w:rPr>
          <w:b/>
        </w:rPr>
      </w:pPr>
    </w:p>
    <w:p w14:paraId="0B75D97A" w14:textId="73B7239E" w:rsidR="004B35E4" w:rsidRPr="00506CB3" w:rsidRDefault="004B35E4" w:rsidP="00506CB3">
      <w:pPr>
        <w:pStyle w:val="ListParagraph"/>
        <w:numPr>
          <w:ilvl w:val="0"/>
          <w:numId w:val="0"/>
        </w:numPr>
        <w:ind w:left="360"/>
        <w:jc w:val="both"/>
      </w:pPr>
      <w:r w:rsidRPr="00506CB3">
        <w:rPr>
          <w:szCs w:val="24"/>
        </w:rPr>
        <w:t xml:space="preserve">to secure payment of the following obligations of Debtor to Secured Party (all hereinafter called the "Obligations"): </w:t>
      </w:r>
    </w:p>
    <w:p w14:paraId="351E794B" w14:textId="67747113" w:rsidR="000F462A" w:rsidRPr="00506CB3" w:rsidRDefault="004B35E4" w:rsidP="00506CB3">
      <w:pPr>
        <w:pStyle w:val="ListParagraph"/>
        <w:numPr>
          <w:ilvl w:val="0"/>
          <w:numId w:val="0"/>
        </w:numPr>
        <w:ind w:left="1495"/>
        <w:jc w:val="both"/>
        <w:rPr>
          <w:b/>
          <w:bCs/>
        </w:rPr>
      </w:pPr>
      <w:r w:rsidRPr="00506CB3">
        <w:rPr>
          <w:b/>
          <w:bCs/>
        </w:rPr>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506CB3">
      <w:pPr>
        <w:pStyle w:val="ListParagraph"/>
        <w:numPr>
          <w:ilvl w:val="0"/>
          <w:numId w:val="3"/>
        </w:numPr>
        <w:jc w:val="both"/>
      </w:pPr>
      <w:r w:rsidRPr="007A5BBC">
        <w:rPr>
          <w:b/>
        </w:rPr>
        <w:t>Warranties and Covenants of Debtor</w:t>
      </w:r>
      <w:r w:rsidR="005F6A8B">
        <w:t xml:space="preserve">. </w:t>
      </w:r>
      <w:r w:rsidRPr="007A5BBC">
        <w:t>Debtor warrants and covenants that:</w:t>
      </w:r>
    </w:p>
    <w:p w14:paraId="732B06B5" w14:textId="668223A6" w:rsidR="004B35E4" w:rsidRPr="007A5BBC" w:rsidRDefault="004B35E4" w:rsidP="00506CB3">
      <w:pPr>
        <w:pStyle w:val="ListParagraph"/>
        <w:numPr>
          <w:ilvl w:val="1"/>
          <w:numId w:val="3"/>
        </w:numPr>
        <w:jc w:val="both"/>
      </w:pPr>
      <w:r w:rsidRPr="007A5BBC">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506CB3">
      <w:pPr>
        <w:pStyle w:val="ListParagraph"/>
        <w:numPr>
          <w:ilvl w:val="1"/>
          <w:numId w:val="3"/>
        </w:numPr>
        <w:jc w:val="both"/>
      </w:pPr>
      <w:r w:rsidRPr="007A5BBC">
        <w:t>No Financing Statement covering any of the Collateral or any proceeds thereof is on file in any public office</w:t>
      </w:r>
      <w:r w:rsidR="005F6A8B">
        <w:t xml:space="preserve">. </w:t>
      </w:r>
      <w:r w:rsidRPr="007A5BBC">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t xml:space="preserve">. </w:t>
      </w:r>
      <w:r w:rsidRPr="007A5BBC">
        <w:t xml:space="preserve">A carbon, photographic or other reproduction of this agreement is sufficient as a financing statement. </w:t>
      </w:r>
    </w:p>
    <w:p w14:paraId="161BF29F" w14:textId="77777777" w:rsidR="004B35E4" w:rsidRPr="007A5BBC" w:rsidRDefault="004B35E4" w:rsidP="00506CB3">
      <w:pPr>
        <w:pStyle w:val="ListParagraph"/>
        <w:numPr>
          <w:ilvl w:val="1"/>
          <w:numId w:val="3"/>
        </w:numPr>
        <w:jc w:val="both"/>
      </w:pPr>
      <w:r w:rsidRPr="007A5BBC">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506CB3">
      <w:pPr>
        <w:pStyle w:val="ListParagraph"/>
        <w:numPr>
          <w:ilvl w:val="1"/>
          <w:numId w:val="3"/>
        </w:numPr>
        <w:jc w:val="both"/>
      </w:pPr>
      <w:r w:rsidRPr="007A5BBC">
        <w:t>Debtor shall keep the Collateral at all times insured against risks of loss or damage by fire (including so-called extended coverage), theft and such other casualties as Secured Party 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t xml:space="preserve">. </w:t>
      </w:r>
      <w:r w:rsidRPr="007A5BBC">
        <w:t>All policies of insurance shall provide that Secured Party's interest therein shall not be invalidated by the act, omission or neglect of anyone other than Secured Party and for at least ten days' prior written notice of cancellation to Secured Party</w:t>
      </w:r>
      <w:r w:rsidR="005F6A8B">
        <w:t xml:space="preserve">. </w:t>
      </w:r>
      <w:r w:rsidRPr="007A5BBC">
        <w:t>Debtor shall furnish Secured Party with certificates of such insurance or other evidence satisfactory to Secured Party as to compliance with the provisions of this paragraph</w:t>
      </w:r>
      <w:r w:rsidR="005F6A8B">
        <w:t xml:space="preserve">. </w:t>
      </w:r>
      <w:r w:rsidRPr="007A5BBC">
        <w:t>Secured Party may act as attorney for Debtor in making, adjusting and settling claims under and cancelling such insurance and endorsing Debtor's name on any drafts drawn by insurers of the Collateral</w:t>
      </w:r>
      <w:r w:rsidR="005F6A8B">
        <w:t xml:space="preserve">. </w:t>
      </w:r>
    </w:p>
    <w:p w14:paraId="6F591ED2" w14:textId="6AE47058" w:rsidR="004B35E4" w:rsidRPr="007A5BBC" w:rsidRDefault="004B35E4" w:rsidP="00506CB3">
      <w:pPr>
        <w:pStyle w:val="ListParagraph"/>
        <w:numPr>
          <w:ilvl w:val="1"/>
          <w:numId w:val="3"/>
        </w:numPr>
        <w:jc w:val="both"/>
      </w:pPr>
      <w:r w:rsidRPr="007A5BBC">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t xml:space="preserve">. </w:t>
      </w:r>
    </w:p>
    <w:p w14:paraId="49005161" w14:textId="77777777" w:rsidR="004B35E4" w:rsidRPr="007A5BBC" w:rsidRDefault="004B35E4" w:rsidP="00506CB3">
      <w:pPr>
        <w:pStyle w:val="ListParagraph"/>
        <w:numPr>
          <w:ilvl w:val="1"/>
          <w:numId w:val="3"/>
        </w:numPr>
        <w:jc w:val="both"/>
      </w:pPr>
      <w:r w:rsidRPr="007A5BBC">
        <w:t xml:space="preserve">Secured Party may examine and inspect the Collateral at any reasonable time or times, wherever located. </w:t>
      </w:r>
    </w:p>
    <w:p w14:paraId="00C160F1" w14:textId="135AF3FA" w:rsidR="004B35E4" w:rsidRPr="007A5BBC" w:rsidRDefault="004B35E4" w:rsidP="00506CB3">
      <w:pPr>
        <w:pStyle w:val="ListParagraph"/>
        <w:numPr>
          <w:ilvl w:val="1"/>
          <w:numId w:val="3"/>
        </w:numPr>
        <w:jc w:val="both"/>
      </w:pPr>
      <w:r w:rsidRPr="007A5BBC">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506CB3">
      <w:pPr>
        <w:pStyle w:val="ListParagraph"/>
        <w:numPr>
          <w:ilvl w:val="0"/>
          <w:numId w:val="3"/>
        </w:numPr>
        <w:jc w:val="both"/>
      </w:pPr>
      <w:r w:rsidRPr="007A5BBC">
        <w:rPr>
          <w:b/>
        </w:rPr>
        <w:t>Additional Rights of Parties</w:t>
      </w:r>
      <w:r w:rsidR="005F6A8B">
        <w:t xml:space="preserve">. </w:t>
      </w:r>
      <w:r w:rsidRPr="007A5BBC">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t xml:space="preserve">. </w:t>
      </w:r>
      <w:r w:rsidRPr="007A5BBC">
        <w:t>To the extent permitted by applicable law, Debtor agrees to reimburse Secured Party on demand for any payment made, or any expense incurred by Secured Party pursuant to the foregoing authorization</w:t>
      </w:r>
      <w:r w:rsidR="005F6A8B">
        <w:t xml:space="preserve">. </w:t>
      </w:r>
      <w:r w:rsidRPr="007A5BBC">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506CB3">
      <w:pPr>
        <w:pStyle w:val="ListParagraph"/>
        <w:numPr>
          <w:ilvl w:val="0"/>
          <w:numId w:val="3"/>
        </w:numPr>
        <w:jc w:val="both"/>
      </w:pPr>
      <w:r w:rsidRPr="007A5BBC">
        <w:rPr>
          <w:b/>
        </w:rPr>
        <w:t>Events of Default</w:t>
      </w:r>
      <w:r w:rsidR="005F6A8B">
        <w:t xml:space="preserve">. </w:t>
      </w:r>
      <w:r w:rsidRPr="007A5BBC">
        <w:t>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or (e) the occurrence of an event of default in any agreement between Debtor and/or Secured Party</w:t>
      </w:r>
      <w:r w:rsidR="005F6A8B">
        <w:t xml:space="preserve">. </w:t>
      </w:r>
    </w:p>
    <w:p w14:paraId="637C0F5A" w14:textId="77777777" w:rsidR="00506CB3" w:rsidRDefault="004B35E4" w:rsidP="00506CB3">
      <w:pPr>
        <w:pStyle w:val="ListParagraph"/>
        <w:numPr>
          <w:ilvl w:val="0"/>
          <w:numId w:val="3"/>
        </w:numPr>
        <w:jc w:val="both"/>
      </w:pPr>
      <w:r w:rsidRPr="007A5BBC">
        <w:rPr>
          <w:b/>
        </w:rPr>
        <w:t>Remedies</w:t>
      </w:r>
      <w:r w:rsidR="005F6A8B">
        <w:t xml:space="preserve">. </w:t>
      </w:r>
      <w:r w:rsidRPr="007A5BBC">
        <w:t>UPON DEFAULT AND AT ANY TIME THEREAFTER, SECURED PARTY MAY DECLARE ALL OBLIGATIONS SECURED HEREBY IMMEDIATELY DUE AND PAYABLE AND SHALL HAVE THE REMEDIES OF A SECURED PARTY UNDER THE UNIFORM COMMERCIAL CODE OF NEW YORK, including without limitation the right to take immediate and exclusive possession of the Collateral, or any part thereof, and for that 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t xml:space="preserve">. </w:t>
      </w:r>
      <w:r w:rsidRPr="007A5BBC">
        <w:t>Secured Party without removal may render the Collateral unusable and dispose of the Collateral on the Debtor's premises</w:t>
      </w:r>
      <w:r w:rsidR="005F6A8B">
        <w:t xml:space="preserve">. </w:t>
      </w:r>
      <w:r w:rsidRPr="007A5BBC">
        <w:t>Secured Party may require Debtor to assemble the Collateral and make it available to Secured Party for possession at a place to be designated by Secured Party which is reasonably convenient to both parties</w:t>
      </w:r>
      <w:r w:rsidR="005F6A8B">
        <w:t xml:space="preserve">. </w:t>
      </w:r>
      <w:r w:rsidRPr="007A5BBC">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t xml:space="preserve">. </w:t>
      </w:r>
      <w:r w:rsidRPr="007A5BBC">
        <w:t>The requirements of reasonable notice shall be met if such notice is mailed, postage prepaid, to the address of Debtor shown at the beginning of this agreement at least ten days before the time of the sale or disposition</w:t>
      </w:r>
      <w:r w:rsidR="005F6A8B">
        <w:t xml:space="preserve">. </w:t>
      </w:r>
      <w:r w:rsidRPr="007A5BBC">
        <w:t>Secured Party may buy at any public sale</w:t>
      </w:r>
      <w:r w:rsidR="005F6A8B">
        <w:t xml:space="preserve">. </w:t>
      </w:r>
      <w:r w:rsidRPr="007A5BBC">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t xml:space="preserve">. </w:t>
      </w:r>
      <w:r w:rsidRPr="007A5BBC">
        <w:t>The Secured Party will account to the Debtor for any surplus realized on such disposition and the Debtor shall remain liable for any deficiency.</w:t>
      </w:r>
    </w:p>
    <w:p w14:paraId="44A8D3A2" w14:textId="77777777" w:rsidR="00506CB3" w:rsidRDefault="00506CB3" w:rsidP="00506CB3">
      <w:pPr>
        <w:pStyle w:val="ListParagraph"/>
        <w:numPr>
          <w:ilvl w:val="0"/>
          <w:numId w:val="0"/>
        </w:numPr>
        <w:ind w:left="360"/>
        <w:jc w:val="both"/>
      </w:pPr>
    </w:p>
    <w:p w14:paraId="686C1ED7" w14:textId="2965E256" w:rsidR="00506CB3" w:rsidRDefault="004B35E4" w:rsidP="00506CB3">
      <w:pPr>
        <w:pStyle w:val="ListParagraph"/>
        <w:numPr>
          <w:ilvl w:val="0"/>
          <w:numId w:val="0"/>
        </w:numPr>
        <w:ind w:left="360"/>
        <w:jc w:val="both"/>
      </w:pPr>
      <w:r w:rsidRPr="007A5BBC">
        <w:t>The remedies of the Secured Party hereunder are cumulative and the exercise of any one or more of the remedies provided for herein or under the Uniform Commercial Code of New York shall not be construed as a waiver of any of the other remedies of the Secured Party so long as any part of the Debtor's Obligation remains unsatisfied.</w:t>
      </w:r>
    </w:p>
    <w:p w14:paraId="69B2628F" w14:textId="16E7FC5F" w:rsidR="004B35E4" w:rsidRPr="00506CB3" w:rsidRDefault="004B35E4" w:rsidP="00506CB3">
      <w:pPr>
        <w:pStyle w:val="ListParagraph"/>
        <w:numPr>
          <w:ilvl w:val="0"/>
          <w:numId w:val="0"/>
        </w:numPr>
        <w:ind w:left="1495"/>
        <w:jc w:val="both"/>
      </w:pPr>
    </w:p>
    <w:p w14:paraId="64700A9F" w14:textId="77777777" w:rsidR="00506CB3" w:rsidRDefault="004B35E4" w:rsidP="00506CB3">
      <w:pPr>
        <w:pStyle w:val="ListParagraph"/>
        <w:numPr>
          <w:ilvl w:val="0"/>
          <w:numId w:val="3"/>
        </w:numPr>
        <w:jc w:val="both"/>
      </w:pPr>
      <w:r w:rsidRPr="007A5BBC">
        <w:rPr>
          <w:b/>
        </w:rPr>
        <w:t>General</w:t>
      </w:r>
      <w:r w:rsidR="005F6A8B">
        <w:t xml:space="preserve">. </w:t>
      </w:r>
      <w:r w:rsidRPr="007A5BBC">
        <w:t>No waiver by Secured Party of any default shall operate as a waiver of any other default or of the same default on a future occasion</w:t>
      </w:r>
      <w:r w:rsidR="005F6A8B">
        <w:t xml:space="preserve">. </w:t>
      </w:r>
      <w:r w:rsidRPr="007A5BBC">
        <w:t>All rights of Secured Party hereunder shall inure to the benefit of its successors and assigns; and all obligations of Debtor shall bind its successors or assigns</w:t>
      </w:r>
      <w:r w:rsidR="005F6A8B">
        <w:t xml:space="preserve">. </w:t>
      </w:r>
      <w:r w:rsidRPr="007A5BBC">
        <w:t>If there be more than one Debtor, their obligations hereunder shall be joint and several</w:t>
      </w:r>
      <w:r w:rsidR="005F6A8B">
        <w:t xml:space="preserve">. </w:t>
      </w:r>
      <w:r w:rsidRPr="007A5BBC">
        <w:t xml:space="preserve">This agreement shall become effective when it is signed by Debtor. </w:t>
      </w:r>
    </w:p>
    <w:p w14:paraId="73B50AA6" w14:textId="77777777" w:rsidR="00506CB3" w:rsidRDefault="00506CB3" w:rsidP="00506CB3">
      <w:pPr>
        <w:pStyle w:val="ListParagraph"/>
        <w:numPr>
          <w:ilvl w:val="0"/>
          <w:numId w:val="0"/>
        </w:numPr>
        <w:ind w:left="360"/>
        <w:jc w:val="both"/>
        <w:rPr>
          <w:b/>
        </w:rPr>
      </w:pPr>
    </w:p>
    <w:p w14:paraId="2AF9D217" w14:textId="395457B2" w:rsidR="00506CB3" w:rsidRDefault="00296C42" w:rsidP="00506CB3">
      <w:pPr>
        <w:pStyle w:val="ListParagraph"/>
        <w:numPr>
          <w:ilvl w:val="0"/>
          <w:numId w:val="0"/>
        </w:numPr>
        <w:ind w:left="360"/>
        <w:jc w:val="both"/>
      </w:pPr>
      <w:r w:rsidRPr="007A5BBC">
        <w:t>A</w:t>
      </w:r>
      <w:r w:rsidR="004B35E4" w:rsidRPr="007A5BBC">
        <w:t>ll rights of the Secured Party in, to and under this agreement and in and to the Collateral shall pass to and may be exercised by any assignee thereof</w:t>
      </w:r>
      <w:r w:rsidR="005F6A8B">
        <w:t xml:space="preserve">. </w:t>
      </w:r>
      <w:r w:rsidR="004B35E4" w:rsidRPr="007A5BBC">
        <w:t>The Debtor agrees that if the Secured Party gives notice to the Debtor of an assignment of said rights, upon such notice the liability of the Debtor to the assignee shall be immediate and absolute</w:t>
      </w:r>
      <w:r w:rsidR="005F6A8B">
        <w:t xml:space="preserve">. </w:t>
      </w:r>
      <w:r w:rsidR="004B35E4" w:rsidRPr="007A5BBC">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357DE499" w14:textId="77777777" w:rsidR="00506CB3" w:rsidRDefault="00506CB3" w:rsidP="00506CB3">
      <w:pPr>
        <w:pStyle w:val="ListParagraph"/>
        <w:numPr>
          <w:ilvl w:val="0"/>
          <w:numId w:val="0"/>
        </w:numPr>
        <w:ind w:left="360"/>
        <w:jc w:val="both"/>
      </w:pPr>
    </w:p>
    <w:p w14:paraId="25E618D1" w14:textId="4CFD8902" w:rsidR="004B35E4" w:rsidRPr="007A5BBC" w:rsidRDefault="004B35E4" w:rsidP="00506CB3">
      <w:pPr>
        <w:pStyle w:val="ListParagraph"/>
        <w:numPr>
          <w:ilvl w:val="0"/>
          <w:numId w:val="0"/>
        </w:numPr>
        <w:ind w:left="360"/>
        <w:jc w:val="both"/>
      </w:pPr>
      <w:r w:rsidRPr="007A5BBC">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4B35E4">
      <w:pPr>
        <w:rPr>
          <w:rFonts w:ascii="Times New Roman" w:hAnsi="Times New Roman"/>
          <w:szCs w:val="24"/>
        </w:rPr>
      </w:pPr>
    </w:p>
    <w:p w14:paraId="1199CC25" w14:textId="465222E1" w:rsidR="004B35E4" w:rsidRPr="007A5BBC" w:rsidRDefault="004B35E4" w:rsidP="004B35E4">
      <w:pPr>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4B35E4">
      <w:pPr>
        <w:rPr>
          <w:rFonts w:ascii="Times New Roman" w:hAnsi="Times New Roman"/>
          <w:szCs w:val="24"/>
        </w:rPr>
      </w:pPr>
    </w:p>
    <w:p w14:paraId="3A7277BD" w14:textId="77777777" w:rsidR="004B35E4" w:rsidRPr="007A5BBC" w:rsidRDefault="004B35E4" w:rsidP="004B35E4">
      <w:pPr>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4B35E4">
      <w:pPr>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Its President and Chief Executive </w:t>
      </w:r>
    </w:p>
    <w:p w14:paraId="738B185A" w14:textId="6E94619D" w:rsidR="003B72EB" w:rsidRDefault="004B35E4" w:rsidP="003B72EB">
      <w:pPr>
        <w:rPr>
          <w:rFonts w:ascii="Times New Roman" w:hAnsi="Times New Roman"/>
          <w:szCs w:val="24"/>
        </w:rPr>
      </w:pPr>
      <w:r w:rsidRPr="007A5BBC">
        <w:rPr>
          <w:rFonts w:ascii="Times New Roman" w:hAnsi="Times New Roman"/>
          <w:szCs w:val="24"/>
        </w:rPr>
        <w:t>Officer</w:t>
      </w:r>
    </w:p>
    <w:p w14:paraId="1D43A013" w14:textId="77777777" w:rsidR="00ED0C02" w:rsidRDefault="003B72EB" w:rsidP="00ED0C02">
      <w:pPr>
        <w:pStyle w:val="APPENDIX"/>
        <w:numPr>
          <w:ilvl w:val="0"/>
          <w:numId w:val="0"/>
        </w:numPr>
      </w:pPr>
      <w:r>
        <w:br w:type="page"/>
      </w:r>
      <w:bookmarkStart w:id="6829" w:name="_Toc79699358"/>
      <w:bookmarkStart w:id="6830" w:name="_Toc79699684"/>
      <w:bookmarkStart w:id="6831" w:name="_Toc79700022"/>
      <w:bookmarkStart w:id="6832" w:name="_Toc87039446"/>
      <w:bookmarkStart w:id="6833" w:name="AppendixI"/>
      <w:bookmarkStart w:id="6834" w:name="_Toc90983853"/>
      <w:r w:rsidR="00AB4BE5">
        <w:t xml:space="preserve">Appendix I. </w:t>
      </w:r>
      <w:r>
        <w:t>UCC Financing Stateme</w:t>
      </w:r>
      <w:bookmarkEnd w:id="6829"/>
      <w:bookmarkEnd w:id="6830"/>
      <w:bookmarkEnd w:id="6831"/>
      <w:r w:rsidR="00EC71CB">
        <w:t>nt</w:t>
      </w:r>
      <w:bookmarkEnd w:id="6832"/>
      <w:bookmarkEnd w:id="6833"/>
      <w:bookmarkEnd w:id="6834"/>
    </w:p>
    <w:p w14:paraId="4F1AB7C5" w14:textId="6DF11D02" w:rsidR="00EC71CB" w:rsidRDefault="00D41422" w:rsidP="00DF270B">
      <w:pPr>
        <w:pStyle w:val="0-NORMAL"/>
        <w:jc w:val="left"/>
      </w:pPr>
      <w:r w:rsidRPr="007A5BBC">
        <w:rPr>
          <w:noProof/>
        </w:rPr>
        <w:drawing>
          <wp:inline distT="0" distB="0" distL="0" distR="0" wp14:anchorId="7FD0D76A" wp14:editId="5620A623">
            <wp:extent cx="5819775" cy="7531511"/>
            <wp:effectExtent l="0" t="0" r="0" b="0"/>
            <wp:docPr id="2" name="Picture 2" descr="Diagram, table,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able, engineering drawing&#10;&#10;Description automatically generated"/>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5823598" cy="7536458"/>
                    </a:xfrm>
                    <a:prstGeom prst="rect">
                      <a:avLst/>
                    </a:prstGeom>
                  </pic:spPr>
                </pic:pic>
              </a:graphicData>
            </a:graphic>
          </wp:inline>
        </w:drawing>
      </w:r>
    </w:p>
    <w:p w14:paraId="419BF920" w14:textId="0BB34617" w:rsidR="00EC71CB" w:rsidRPr="007E61C1" w:rsidRDefault="00EC71CB" w:rsidP="007E61C1">
      <w:pPr>
        <w:pStyle w:val="0-NORMAL"/>
        <w:rPr>
          <w:b/>
          <w:bCs/>
          <w:sz w:val="32"/>
          <w:szCs w:val="32"/>
        </w:rPr>
      </w:pPr>
      <w:bookmarkStart w:id="6835" w:name="_Toc87039447"/>
      <w:r w:rsidRPr="007E61C1">
        <w:rPr>
          <w:b/>
          <w:bCs/>
          <w:sz w:val="32"/>
          <w:szCs w:val="32"/>
        </w:rPr>
        <w:t>As of 11/5/2021</w:t>
      </w:r>
      <w:bookmarkEnd w:id="6835"/>
    </w:p>
    <w:sectPr w:rsidR="00EC71CB" w:rsidRPr="007E61C1" w:rsidSect="00D103FD">
      <w:headerReference w:type="default" r:id="rId367"/>
      <w:footerReference w:type="default" r:id="rId368"/>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F2AD1" w14:textId="77777777" w:rsidR="007C1024" w:rsidRDefault="007C1024" w:rsidP="00923B0C">
      <w:r>
        <w:separator/>
      </w:r>
    </w:p>
  </w:endnote>
  <w:endnote w:type="continuationSeparator" w:id="0">
    <w:p w14:paraId="5FD690DB" w14:textId="77777777" w:rsidR="007C1024" w:rsidRDefault="007C1024"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ヒラギノ角ゴ Pro W3">
    <w:altName w:val="Yu Gothic"/>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EEBC" w14:textId="57B63A1D" w:rsidR="005C2C60" w:rsidRDefault="005C2C60" w:rsidP="009B2823">
    <w:pPr>
      <w:pStyle w:val="Footer"/>
      <w:jc w:val="center"/>
    </w:pPr>
  </w:p>
  <w:p w14:paraId="1A0B5EEB" w14:textId="6B6D35CF" w:rsidR="005C2C60" w:rsidRDefault="005C2C60">
    <w:pPr>
      <w:pStyle w:val="Footer"/>
      <w:jc w:val="center"/>
    </w:pPr>
  </w:p>
  <w:p w14:paraId="75BD6810" w14:textId="77777777" w:rsidR="005C2C60" w:rsidRDefault="005C2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79DD" w14:textId="7B4A4605" w:rsidR="005C2C60" w:rsidRDefault="005C2C60" w:rsidP="008D1F63">
    <w:pPr>
      <w:pStyle w:val="Footer"/>
      <w:jc w:val="center"/>
    </w:pPr>
    <w:r>
      <w:fldChar w:fldCharType="begin"/>
    </w:r>
    <w:r>
      <w:instrText xml:space="preserve"> PAGE   \* MERGEFORMAT </w:instrText>
    </w:r>
    <w:r>
      <w:fldChar w:fldCharType="separate"/>
    </w:r>
    <w:r>
      <w:rPr>
        <w:noProof/>
      </w:rPr>
      <w:t>i</w:t>
    </w:r>
    <w:r>
      <w:rPr>
        <w:noProof/>
      </w:rPr>
      <w:fldChar w:fldCharType="end"/>
    </w:r>
  </w:p>
  <w:p w14:paraId="1659D826" w14:textId="77777777" w:rsidR="005C2C60" w:rsidRPr="008D1F63" w:rsidRDefault="005C2C60" w:rsidP="008D1F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C6D3" w14:textId="0F208EA9" w:rsidR="005C2C60" w:rsidRDefault="005C2C60">
    <w:pPr>
      <w:pStyle w:val="Footer"/>
      <w:jc w:val="center"/>
    </w:pPr>
    <w:r>
      <w:fldChar w:fldCharType="begin"/>
    </w:r>
    <w:r>
      <w:instrText xml:space="preserve"> PAGE   \* MERGEFORMAT </w:instrText>
    </w:r>
    <w:r>
      <w:fldChar w:fldCharType="separate"/>
    </w:r>
    <w:r w:rsidR="00367DAB">
      <w:rPr>
        <w:noProof/>
      </w:rPr>
      <w:t>xiv</w:t>
    </w:r>
    <w:r>
      <w:rPr>
        <w:noProof/>
      </w:rPr>
      <w:fldChar w:fldCharType="end"/>
    </w:r>
  </w:p>
  <w:p w14:paraId="1D749D5D" w14:textId="77777777" w:rsidR="005C2C60" w:rsidRDefault="005C2C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9C10" w14:textId="195FF5E6" w:rsidR="005C2C60" w:rsidRDefault="005C2C60">
    <w:pPr>
      <w:pStyle w:val="Footer"/>
      <w:jc w:val="center"/>
    </w:pPr>
    <w:r>
      <w:fldChar w:fldCharType="begin"/>
    </w:r>
    <w:r>
      <w:instrText xml:space="preserve"> PAGE   \* MERGEFORMAT </w:instrText>
    </w:r>
    <w:r>
      <w:fldChar w:fldCharType="separate"/>
    </w:r>
    <w:r w:rsidR="00B66CFB">
      <w:rPr>
        <w:noProof/>
      </w:rPr>
      <w:t>543</w:t>
    </w:r>
    <w:r>
      <w:rPr>
        <w:noProof/>
      </w:rPr>
      <w:fldChar w:fldCharType="end"/>
    </w:r>
  </w:p>
  <w:p w14:paraId="7C4FCF8D" w14:textId="77777777" w:rsidR="005C2C60" w:rsidRDefault="005C2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5775B" w14:textId="77777777" w:rsidR="007C1024" w:rsidRDefault="007C1024" w:rsidP="00923B0C">
      <w:r>
        <w:separator/>
      </w:r>
    </w:p>
  </w:footnote>
  <w:footnote w:type="continuationSeparator" w:id="0">
    <w:p w14:paraId="589C1518" w14:textId="77777777" w:rsidR="007C1024" w:rsidRDefault="007C1024" w:rsidP="00923B0C">
      <w:r>
        <w:continuationSeparator/>
      </w:r>
    </w:p>
  </w:footnote>
  <w:footnote w:id="1">
    <w:p w14:paraId="431120DF" w14:textId="760270BD" w:rsidR="005C2C60" w:rsidRPr="003C7223" w:rsidRDefault="005C2C60" w:rsidP="00FD72C5">
      <w:pPr>
        <w:ind w:firstLine="720"/>
        <w:rPr>
          <w:rFonts w:ascii="Times New Roman" w:hAnsi="Times New Roman"/>
          <w:sz w:val="20"/>
          <w:szCs w:val="20"/>
        </w:rPr>
      </w:pPr>
      <w:r w:rsidRPr="003C7223">
        <w:rPr>
          <w:rStyle w:val="FootnoteReference"/>
          <w:sz w:val="20"/>
          <w:szCs w:val="20"/>
        </w:rPr>
        <w:footnoteRef/>
      </w:r>
      <w:r w:rsidRPr="003C7223">
        <w:rPr>
          <w:sz w:val="20"/>
          <w:szCs w:val="20"/>
        </w:rPr>
        <w:t xml:space="preserve"> </w:t>
      </w:r>
      <w:r w:rsidRPr="003C7223">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 The Bankruptcy Court and the parties followed that procedure in this case.</w:t>
      </w:r>
    </w:p>
    <w:p w14:paraId="0326EC6C" w14:textId="77777777" w:rsidR="005C2C60" w:rsidRPr="00CD4BEA" w:rsidRDefault="005C2C60" w:rsidP="00FD72C5">
      <w:pPr>
        <w:pStyle w:val="FootnoteText"/>
        <w:rPr>
          <w:rFonts w:ascii="Times New Roman" w:hAnsi="Times New Roman"/>
        </w:rPr>
      </w:pPr>
    </w:p>
  </w:footnote>
  <w:footnote w:id="2">
    <w:p w14:paraId="625FC2B9" w14:textId="789762EC" w:rsidR="005C2C60" w:rsidRPr="003C7223" w:rsidRDefault="005C2C60">
      <w:pPr>
        <w:pStyle w:val="FootnoteText"/>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5C2C60" w:rsidRPr="003C7223" w:rsidRDefault="005C2C60" w:rsidP="00515F41">
      <w:pPr>
        <w:pStyle w:val="FootnoteText"/>
        <w:jc w:val="both"/>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5C2C60" w:rsidRPr="003C7223" w:rsidRDefault="005C2C60" w:rsidP="00BA4893">
      <w:pPr>
        <w:jc w:val="both"/>
        <w:rPr>
          <w:rFonts w:ascii="Times New Roman" w:hAnsi="Times New Roman"/>
          <w:sz w:val="20"/>
          <w:szCs w:val="20"/>
        </w:rPr>
      </w:pPr>
      <w:r w:rsidRPr="003C7223">
        <w:rPr>
          <w:rStyle w:val="FootnoteReference"/>
          <w:rFonts w:ascii="Times New Roman" w:hAnsi="Times New Roman"/>
          <w:sz w:val="20"/>
          <w:szCs w:val="20"/>
        </w:rPr>
        <w:footnoteRef/>
      </w:r>
      <w:r w:rsidRPr="003C7223">
        <w:rPr>
          <w:rFonts w:ascii="Times New Roman" w:hAnsi="Times New Roman"/>
          <w:sz w:val="20"/>
          <w:szCs w:val="20"/>
        </w:rPr>
        <w:t xml:space="preserve"> “Stan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5C2C60" w:rsidRPr="003C7223" w:rsidRDefault="005C2C60" w:rsidP="00BA4893">
      <w:pPr>
        <w:pStyle w:val="FootnoteText"/>
        <w:jc w:val="both"/>
        <w:rPr>
          <w:rFonts w:ascii="Times New Roman" w:hAnsi="Times New Roman"/>
        </w:rPr>
      </w:pPr>
      <w:r w:rsidRPr="003C7223">
        <w:rPr>
          <w:rStyle w:val="FootnoteReference"/>
          <w:rFonts w:ascii="Times New Roman" w:hAnsi="Times New Roman"/>
        </w:rPr>
        <w:footnoteRef/>
      </w:r>
      <w:r w:rsidRPr="003C7223">
        <w:rPr>
          <w:rFonts w:ascii="Times New Roman" w:hAnsi="Times New Roman"/>
        </w:rPr>
        <w:t xml:space="preserve"> 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5C2C60" w:rsidRDefault="005C2C60" w:rsidP="00975FD7">
      <w:pPr>
        <w:pStyle w:val="FootnoteText"/>
      </w:pPr>
    </w:p>
  </w:footnote>
  <w:footnote w:id="6">
    <w:p w14:paraId="26DABDD7" w14:textId="253E4A17" w:rsidR="00E01377" w:rsidRPr="00321CD7" w:rsidRDefault="00E01377" w:rsidP="00E01377">
      <w:pPr>
        <w:pStyle w:val="FootnoteText"/>
        <w:widowControl w:val="0"/>
        <w:jc w:val="both"/>
        <w:rPr>
          <w:rFonts w:ascii="Times New Roman" w:eastAsia="SimSun" w:hAnsi="Times New Roman"/>
          <w:shd w:val="clear" w:color="auto" w:fill="FFFFFF"/>
        </w:rPr>
      </w:pPr>
      <w:r w:rsidRPr="00321CD7">
        <w:rPr>
          <w:rStyle w:val="FootnoteReference"/>
          <w:rFonts w:ascii="Times New Roman" w:hAnsi="Times New Roman"/>
        </w:rPr>
        <w:footnoteRef/>
      </w:r>
      <w:r w:rsidRPr="00321CD7">
        <w:rPr>
          <w:rFonts w:ascii="Times New Roman" w:hAnsi="Times New Roman"/>
        </w:rPr>
        <w:t xml:space="preserve"> </w:t>
      </w:r>
      <w:r w:rsidRPr="00321CD7">
        <w:rPr>
          <w:rFonts w:ascii="Times New Roman" w:hAnsi="Times New Roman"/>
        </w:rPr>
        <w:tab/>
        <w:t>Substantive consolidation should not be confused with the “joint administration” of bankruptcy cases pursuant to Rule 1015 of the Federal Rules of Bankruptcy Procedure.  Substantive consolidation combines assets and liabilities of multiple entities, while joint administration involves the procedural administration of multiple related bankruptcy cases in accordance with the Federal Rules of Bankruptcy Procedure for convenience and efficiency.</w:t>
      </w:r>
      <w:r w:rsidRPr="00321CD7">
        <w:rPr>
          <w:rFonts w:ascii="Times New Roman" w:eastAsia="SimSun" w:hAnsi="Times New Roman"/>
          <w:shd w:val="clear" w:color="auto" w:fill="FFFFFF"/>
        </w:rPr>
        <w:t xml:space="preserve"> </w:t>
      </w:r>
    </w:p>
    <w:p w14:paraId="30B1988E" w14:textId="77777777" w:rsidR="00E01377" w:rsidRPr="00321CD7" w:rsidRDefault="00E01377" w:rsidP="00E01377">
      <w:pPr>
        <w:pStyle w:val="FootnoteText"/>
        <w:widowControl w:val="0"/>
        <w:jc w:val="both"/>
        <w:rPr>
          <w:rFonts w:ascii="Times New Roman" w:hAnsi="Times New Roman"/>
        </w:rPr>
      </w:pPr>
    </w:p>
  </w:footnote>
  <w:footnote w:id="7">
    <w:p w14:paraId="283642F3" w14:textId="39AAB168" w:rsidR="00E01377" w:rsidRPr="00E01377" w:rsidRDefault="00E01377" w:rsidP="00E01377">
      <w:pPr>
        <w:pStyle w:val="FootnoteText"/>
        <w:jc w:val="both"/>
      </w:pPr>
      <w:r w:rsidRPr="00321CD7">
        <w:rPr>
          <w:rStyle w:val="FootnoteReference"/>
          <w:rFonts w:ascii="Times New Roman" w:hAnsi="Times New Roman"/>
        </w:rPr>
        <w:footnoteRef/>
      </w:r>
      <w:r w:rsidRPr="00321CD7">
        <w:rPr>
          <w:rFonts w:ascii="Times New Roman" w:hAnsi="Times New Roman"/>
        </w:rPr>
        <w:t xml:space="preserve">  </w:t>
      </w:r>
      <w:r w:rsidRPr="00321CD7">
        <w:rPr>
          <w:rFonts w:ascii="Times New Roman" w:hAnsi="Times New Roman"/>
        </w:rPr>
        <w:tab/>
      </w:r>
      <w:r w:rsidRPr="00321CD7">
        <w:rPr>
          <w:rFonts w:ascii="Times New Roman" w:hAnsi="Times New Roman"/>
          <w:lang w:eastAsia="zh-TW"/>
        </w:rPr>
        <w:t xml:space="preserve">There is disagreement in the courts about whether a debtor may be consolidated with a non-debtor.  </w:t>
      </w:r>
      <w:hyperlink r:id="rId1" w:history="1">
        <w:r w:rsidRPr="00321CD7">
          <w:rPr>
            <w:rStyle w:val="Hyperlink"/>
            <w:rFonts w:ascii="Times New Roman" w:hAnsi="Times New Roman"/>
            <w:i/>
            <w:iCs/>
            <w:shd w:val="clear" w:color="auto" w:fill="FFFFFF"/>
          </w:rPr>
          <w:t>In re Mihranian</w:t>
        </w:r>
        <w:r w:rsidRPr="00321CD7">
          <w:rPr>
            <w:rStyle w:val="Hyperlink"/>
            <w:rFonts w:ascii="Times New Roman" w:hAnsi="Times New Roman"/>
            <w:shd w:val="clear" w:color="auto" w:fill="FFFFFF"/>
          </w:rPr>
          <w:t>, 937 F.3d 1214, 1216 (9th Cir. 2019)</w:t>
        </w:r>
      </w:hyperlink>
      <w:r w:rsidRPr="00321CD7">
        <w:rPr>
          <w:rFonts w:ascii="Times New Roman" w:hAnsi="Times New Roman"/>
          <w:shd w:val="clear" w:color="auto" w:fill="FFFFFF"/>
        </w:rPr>
        <w:t xml:space="preserve"> (permitting such consolidation); </w:t>
      </w:r>
      <w:hyperlink r:id="rId2" w:history="1">
        <w:r w:rsidRPr="00321CD7">
          <w:rPr>
            <w:rStyle w:val="Hyperlink"/>
            <w:rFonts w:ascii="Times New Roman" w:eastAsia="SimSun" w:hAnsi="Times New Roman"/>
            <w:i/>
            <w:iCs/>
            <w:shd w:val="clear" w:color="auto" w:fill="FFFFFF"/>
          </w:rPr>
          <w:t>In re Archdiocese of St. Paul &amp; Minneapolis</w:t>
        </w:r>
      </w:hyperlink>
      <w:r w:rsidRPr="00321CD7">
        <w:rPr>
          <w:rFonts w:ascii="Times New Roman" w:eastAsia="SimSun" w:hAnsi="Times New Roman"/>
          <w:shd w:val="clear" w:color="auto" w:fill="FFFFFF"/>
        </w:rPr>
        <w:t>, 888 F.3d 944 (8th Cir. 2018) (rejecting such consolidation).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B097" w14:textId="77777777" w:rsidR="005C2C60" w:rsidRDefault="005C2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5C3"/>
    <w:multiLevelType w:val="multilevel"/>
    <w:tmpl w:val="4D7C03FA"/>
    <w:lvl w:ilvl="0">
      <w:start w:val="1"/>
      <w:numFmt w:val="decimal"/>
      <w:pStyle w:val="Heading1"/>
      <w:lvlText w:val="Chapter %1. "/>
      <w:lvlJc w:val="left"/>
      <w:pPr>
        <w:ind w:left="360" w:hanging="360"/>
      </w:pPr>
      <w:rPr>
        <w:rFonts w:ascii="Times New Roman" w:hAnsi="Times New Roman" w:cs="Times New Roman" w:hint="default"/>
      </w:rPr>
    </w:lvl>
    <w:lvl w:ilvl="1">
      <w:start w:val="1"/>
      <w:numFmt w:val="decimal"/>
      <w:pStyle w:val="Heading2"/>
      <w:lvlText w:val="%1.%2."/>
      <w:lvlJc w:val="left"/>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224" w:hanging="504"/>
      </w:pPr>
      <w:rPr>
        <w:b/>
        <w:bCs/>
        <w:color w:val="000000" w:themeColor="text1"/>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17158E0"/>
    <w:multiLevelType w:val="hybridMultilevel"/>
    <w:tmpl w:val="8446174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3A7508"/>
    <w:multiLevelType w:val="hybridMultilevel"/>
    <w:tmpl w:val="C136D276"/>
    <w:lvl w:ilvl="0" w:tplc="6E5ADE20">
      <w:start w:val="1"/>
      <w:numFmt w:val="upperLetter"/>
      <w:pStyle w:val="APPENDIX"/>
      <w:lvlText w:val="Appendix %1."/>
      <w:lvlJc w:val="left"/>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15:restartNumberingAfterBreak="0">
    <w:nsid w:val="457E2C97"/>
    <w:multiLevelType w:val="hybridMultilevel"/>
    <w:tmpl w:val="D2161A7E"/>
    <w:lvl w:ilvl="0" w:tplc="D9F8C10C">
      <w:start w:val="1"/>
      <w:numFmt w:val="lowerRoman"/>
      <w:pStyle w:val="ITEM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10C538D"/>
    <w:multiLevelType w:val="hybridMultilevel"/>
    <w:tmpl w:val="A2D443AA"/>
    <w:lvl w:ilvl="0" w:tplc="46F0EEB8">
      <w:start w:val="1"/>
      <w:numFmt w:val="upperLetter"/>
      <w:pStyle w:val="ListParagraph"/>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 w15:restartNumberingAfterBreak="0">
    <w:nsid w:val="62C907E4"/>
    <w:multiLevelType w:val="multilevel"/>
    <w:tmpl w:val="0409001F"/>
    <w:lvl w:ilvl="0">
      <w:start w:val="1"/>
      <w:numFmt w:val="decimal"/>
      <w:lvlText w:val="%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9"/>
  </w:num>
  <w:num w:numId="3">
    <w:abstractNumId w:val="7"/>
  </w:num>
  <w:num w:numId="4">
    <w:abstractNumId w:val="5"/>
  </w:num>
  <w:num w:numId="5">
    <w:abstractNumId w:val="12"/>
  </w:num>
  <w:num w:numId="6">
    <w:abstractNumId w:val="11"/>
  </w:num>
  <w:num w:numId="7">
    <w:abstractNumId w:val="4"/>
  </w:num>
  <w:num w:numId="8">
    <w:abstractNumId w:val="3"/>
  </w:num>
  <w:num w:numId="9">
    <w:abstractNumId w:val="13"/>
  </w:num>
  <w:num w:numId="10">
    <w:abstractNumId w:val="6"/>
  </w:num>
  <w:num w:numId="11">
    <w:abstractNumId w:val="8"/>
  </w:num>
  <w:num w:numId="12">
    <w:abstractNumId w:val="1"/>
  </w:num>
  <w:num w:numId="13">
    <w:abstractNumId w:val="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9"/>
    <w:lvlOverride w:ilvl="0">
      <w:startOverride w:val="1"/>
    </w:lvlOverride>
  </w:num>
  <w:num w:numId="17">
    <w:abstractNumId w:val="0"/>
  </w:num>
  <w:num w:numId="18">
    <w:abstractNumId w:val="14"/>
  </w:num>
  <w:num w:numId="1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432"/>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Y0sjC1NLQ0sjQ0NrNQ0lEKTi0uzszPAymwrAUAaRL12CwAAAA="/>
  </w:docVars>
  <w:rsids>
    <w:rsidRoot w:val="00877F27"/>
    <w:rsid w:val="000015F2"/>
    <w:rsid w:val="000023DD"/>
    <w:rsid w:val="00002F79"/>
    <w:rsid w:val="000034C7"/>
    <w:rsid w:val="0000473B"/>
    <w:rsid w:val="00006EE6"/>
    <w:rsid w:val="00012E4F"/>
    <w:rsid w:val="000161FA"/>
    <w:rsid w:val="00017BFF"/>
    <w:rsid w:val="00017C5D"/>
    <w:rsid w:val="00023947"/>
    <w:rsid w:val="00023D7D"/>
    <w:rsid w:val="00023E7F"/>
    <w:rsid w:val="00024A38"/>
    <w:rsid w:val="000257D4"/>
    <w:rsid w:val="0002797A"/>
    <w:rsid w:val="00031F62"/>
    <w:rsid w:val="000327F9"/>
    <w:rsid w:val="00032A65"/>
    <w:rsid w:val="00033313"/>
    <w:rsid w:val="0003394E"/>
    <w:rsid w:val="00034427"/>
    <w:rsid w:val="000345BB"/>
    <w:rsid w:val="00034B53"/>
    <w:rsid w:val="000379CB"/>
    <w:rsid w:val="000400F2"/>
    <w:rsid w:val="000416E8"/>
    <w:rsid w:val="0004179E"/>
    <w:rsid w:val="00041902"/>
    <w:rsid w:val="0004211F"/>
    <w:rsid w:val="000432FC"/>
    <w:rsid w:val="00043844"/>
    <w:rsid w:val="00043DA5"/>
    <w:rsid w:val="00046D07"/>
    <w:rsid w:val="00047168"/>
    <w:rsid w:val="00047BCC"/>
    <w:rsid w:val="000505A3"/>
    <w:rsid w:val="00051194"/>
    <w:rsid w:val="00052915"/>
    <w:rsid w:val="00053028"/>
    <w:rsid w:val="0005418E"/>
    <w:rsid w:val="000555EC"/>
    <w:rsid w:val="0005670A"/>
    <w:rsid w:val="00057B2D"/>
    <w:rsid w:val="00060B7E"/>
    <w:rsid w:val="00061CAA"/>
    <w:rsid w:val="00064F99"/>
    <w:rsid w:val="00066A8E"/>
    <w:rsid w:val="000701D2"/>
    <w:rsid w:val="00075336"/>
    <w:rsid w:val="0007545D"/>
    <w:rsid w:val="00075B95"/>
    <w:rsid w:val="00075FCC"/>
    <w:rsid w:val="00076F47"/>
    <w:rsid w:val="00080F7E"/>
    <w:rsid w:val="0008208C"/>
    <w:rsid w:val="00082488"/>
    <w:rsid w:val="00082B5B"/>
    <w:rsid w:val="0008345B"/>
    <w:rsid w:val="00083478"/>
    <w:rsid w:val="00083725"/>
    <w:rsid w:val="00084DB0"/>
    <w:rsid w:val="000854F7"/>
    <w:rsid w:val="00086E85"/>
    <w:rsid w:val="0008750A"/>
    <w:rsid w:val="00090D5E"/>
    <w:rsid w:val="00090F1C"/>
    <w:rsid w:val="0009101E"/>
    <w:rsid w:val="00092B1F"/>
    <w:rsid w:val="00093ECD"/>
    <w:rsid w:val="00096253"/>
    <w:rsid w:val="0009671D"/>
    <w:rsid w:val="00096F17"/>
    <w:rsid w:val="0009710D"/>
    <w:rsid w:val="000A1F34"/>
    <w:rsid w:val="000A1FBA"/>
    <w:rsid w:val="000A2D20"/>
    <w:rsid w:val="000A5B93"/>
    <w:rsid w:val="000A5FDF"/>
    <w:rsid w:val="000A7E96"/>
    <w:rsid w:val="000B0193"/>
    <w:rsid w:val="000B1A84"/>
    <w:rsid w:val="000B5EDA"/>
    <w:rsid w:val="000B6306"/>
    <w:rsid w:val="000B6D95"/>
    <w:rsid w:val="000C22F3"/>
    <w:rsid w:val="000C23F4"/>
    <w:rsid w:val="000C2595"/>
    <w:rsid w:val="000C39E1"/>
    <w:rsid w:val="000C3C1A"/>
    <w:rsid w:val="000D05BF"/>
    <w:rsid w:val="000D0611"/>
    <w:rsid w:val="000D0F8D"/>
    <w:rsid w:val="000D1465"/>
    <w:rsid w:val="000D5080"/>
    <w:rsid w:val="000D54D5"/>
    <w:rsid w:val="000D607D"/>
    <w:rsid w:val="000D62EF"/>
    <w:rsid w:val="000D6AF4"/>
    <w:rsid w:val="000D74D0"/>
    <w:rsid w:val="000D7676"/>
    <w:rsid w:val="000E019C"/>
    <w:rsid w:val="000E205E"/>
    <w:rsid w:val="000E3B05"/>
    <w:rsid w:val="000E542A"/>
    <w:rsid w:val="000E5B80"/>
    <w:rsid w:val="000E750F"/>
    <w:rsid w:val="000F059A"/>
    <w:rsid w:val="000F31F0"/>
    <w:rsid w:val="000F39F4"/>
    <w:rsid w:val="000F439D"/>
    <w:rsid w:val="000F462A"/>
    <w:rsid w:val="000F5128"/>
    <w:rsid w:val="000F72A7"/>
    <w:rsid w:val="000F7E50"/>
    <w:rsid w:val="001004FD"/>
    <w:rsid w:val="00100C91"/>
    <w:rsid w:val="00101183"/>
    <w:rsid w:val="00101B0F"/>
    <w:rsid w:val="00103505"/>
    <w:rsid w:val="00104F21"/>
    <w:rsid w:val="001057B2"/>
    <w:rsid w:val="0010676A"/>
    <w:rsid w:val="00107DD4"/>
    <w:rsid w:val="001110E4"/>
    <w:rsid w:val="00111279"/>
    <w:rsid w:val="00111734"/>
    <w:rsid w:val="00111832"/>
    <w:rsid w:val="001135F3"/>
    <w:rsid w:val="00113690"/>
    <w:rsid w:val="00114B9E"/>
    <w:rsid w:val="00115952"/>
    <w:rsid w:val="001163DD"/>
    <w:rsid w:val="001163F1"/>
    <w:rsid w:val="00116ECF"/>
    <w:rsid w:val="00120C74"/>
    <w:rsid w:val="00120E94"/>
    <w:rsid w:val="00121051"/>
    <w:rsid w:val="0012134E"/>
    <w:rsid w:val="001237D6"/>
    <w:rsid w:val="00123D19"/>
    <w:rsid w:val="0012491F"/>
    <w:rsid w:val="001257E2"/>
    <w:rsid w:val="00125E58"/>
    <w:rsid w:val="00127112"/>
    <w:rsid w:val="0013069D"/>
    <w:rsid w:val="00132693"/>
    <w:rsid w:val="00132ED9"/>
    <w:rsid w:val="001365B3"/>
    <w:rsid w:val="00136602"/>
    <w:rsid w:val="00137D43"/>
    <w:rsid w:val="00140793"/>
    <w:rsid w:val="00141946"/>
    <w:rsid w:val="00142C55"/>
    <w:rsid w:val="0014441A"/>
    <w:rsid w:val="001451F1"/>
    <w:rsid w:val="00145AB5"/>
    <w:rsid w:val="00146858"/>
    <w:rsid w:val="00147C42"/>
    <w:rsid w:val="00147E92"/>
    <w:rsid w:val="0015092D"/>
    <w:rsid w:val="00151F9B"/>
    <w:rsid w:val="00154A9A"/>
    <w:rsid w:val="00154BB6"/>
    <w:rsid w:val="001559AA"/>
    <w:rsid w:val="001567BE"/>
    <w:rsid w:val="00160D37"/>
    <w:rsid w:val="001619FC"/>
    <w:rsid w:val="00162408"/>
    <w:rsid w:val="00163AAE"/>
    <w:rsid w:val="00166708"/>
    <w:rsid w:val="00171CDC"/>
    <w:rsid w:val="001720E0"/>
    <w:rsid w:val="0017240C"/>
    <w:rsid w:val="001728F3"/>
    <w:rsid w:val="0017516A"/>
    <w:rsid w:val="001754C9"/>
    <w:rsid w:val="00176682"/>
    <w:rsid w:val="001777D6"/>
    <w:rsid w:val="00183D4E"/>
    <w:rsid w:val="00184B8D"/>
    <w:rsid w:val="00185AC9"/>
    <w:rsid w:val="0018671B"/>
    <w:rsid w:val="00191C31"/>
    <w:rsid w:val="00195984"/>
    <w:rsid w:val="001962CD"/>
    <w:rsid w:val="00196694"/>
    <w:rsid w:val="0019728C"/>
    <w:rsid w:val="001976FB"/>
    <w:rsid w:val="001A0A8A"/>
    <w:rsid w:val="001A0F6F"/>
    <w:rsid w:val="001A177E"/>
    <w:rsid w:val="001A1C9A"/>
    <w:rsid w:val="001A2011"/>
    <w:rsid w:val="001A3B7B"/>
    <w:rsid w:val="001A3E53"/>
    <w:rsid w:val="001A5703"/>
    <w:rsid w:val="001A5F10"/>
    <w:rsid w:val="001A62E3"/>
    <w:rsid w:val="001A6661"/>
    <w:rsid w:val="001A67D0"/>
    <w:rsid w:val="001A75AB"/>
    <w:rsid w:val="001A79EA"/>
    <w:rsid w:val="001A7C6B"/>
    <w:rsid w:val="001B0661"/>
    <w:rsid w:val="001B0B68"/>
    <w:rsid w:val="001B11EE"/>
    <w:rsid w:val="001B505C"/>
    <w:rsid w:val="001B612A"/>
    <w:rsid w:val="001C031B"/>
    <w:rsid w:val="001C0CB0"/>
    <w:rsid w:val="001C231F"/>
    <w:rsid w:val="001C3CC7"/>
    <w:rsid w:val="001C4EA7"/>
    <w:rsid w:val="001C627F"/>
    <w:rsid w:val="001C7666"/>
    <w:rsid w:val="001C7AB0"/>
    <w:rsid w:val="001D16E2"/>
    <w:rsid w:val="001D175A"/>
    <w:rsid w:val="001D1DCF"/>
    <w:rsid w:val="001D2102"/>
    <w:rsid w:val="001D3855"/>
    <w:rsid w:val="001D4513"/>
    <w:rsid w:val="001D45EF"/>
    <w:rsid w:val="001E0292"/>
    <w:rsid w:val="001E102A"/>
    <w:rsid w:val="001E1AF1"/>
    <w:rsid w:val="001E205A"/>
    <w:rsid w:val="001E237A"/>
    <w:rsid w:val="001E2B43"/>
    <w:rsid w:val="001E2F78"/>
    <w:rsid w:val="001E315A"/>
    <w:rsid w:val="001E3EA9"/>
    <w:rsid w:val="001E4353"/>
    <w:rsid w:val="001E46C6"/>
    <w:rsid w:val="001E7865"/>
    <w:rsid w:val="001F0D96"/>
    <w:rsid w:val="001F0DDB"/>
    <w:rsid w:val="001F0DEE"/>
    <w:rsid w:val="001F38C9"/>
    <w:rsid w:val="001F463A"/>
    <w:rsid w:val="001F4C8A"/>
    <w:rsid w:val="001F638D"/>
    <w:rsid w:val="00201904"/>
    <w:rsid w:val="0020301B"/>
    <w:rsid w:val="002032EF"/>
    <w:rsid w:val="002033F5"/>
    <w:rsid w:val="00204B39"/>
    <w:rsid w:val="00205FA5"/>
    <w:rsid w:val="00207E12"/>
    <w:rsid w:val="00211AE3"/>
    <w:rsid w:val="00211D2B"/>
    <w:rsid w:val="00212D90"/>
    <w:rsid w:val="00212F89"/>
    <w:rsid w:val="00213572"/>
    <w:rsid w:val="0021387D"/>
    <w:rsid w:val="00214B9D"/>
    <w:rsid w:val="0021560E"/>
    <w:rsid w:val="002158B1"/>
    <w:rsid w:val="0021626B"/>
    <w:rsid w:val="00217C43"/>
    <w:rsid w:val="00220B2E"/>
    <w:rsid w:val="00221465"/>
    <w:rsid w:val="00221930"/>
    <w:rsid w:val="0022277B"/>
    <w:rsid w:val="00222E1B"/>
    <w:rsid w:val="0022344D"/>
    <w:rsid w:val="0022386A"/>
    <w:rsid w:val="0022557A"/>
    <w:rsid w:val="00225943"/>
    <w:rsid w:val="00225C2A"/>
    <w:rsid w:val="00226F78"/>
    <w:rsid w:val="00227A9D"/>
    <w:rsid w:val="0023226D"/>
    <w:rsid w:val="00232384"/>
    <w:rsid w:val="002347D9"/>
    <w:rsid w:val="0023508E"/>
    <w:rsid w:val="00236F9E"/>
    <w:rsid w:val="00237177"/>
    <w:rsid w:val="002410F9"/>
    <w:rsid w:val="00241677"/>
    <w:rsid w:val="00241F88"/>
    <w:rsid w:val="0024226B"/>
    <w:rsid w:val="00242670"/>
    <w:rsid w:val="00243A9C"/>
    <w:rsid w:val="00246440"/>
    <w:rsid w:val="00250C1F"/>
    <w:rsid w:val="00250F15"/>
    <w:rsid w:val="00251308"/>
    <w:rsid w:val="00251427"/>
    <w:rsid w:val="00251812"/>
    <w:rsid w:val="00253EEC"/>
    <w:rsid w:val="002548F3"/>
    <w:rsid w:val="00256A7F"/>
    <w:rsid w:val="00256E20"/>
    <w:rsid w:val="00257C16"/>
    <w:rsid w:val="00262EC1"/>
    <w:rsid w:val="0026410E"/>
    <w:rsid w:val="00264992"/>
    <w:rsid w:val="00264A62"/>
    <w:rsid w:val="00264C0C"/>
    <w:rsid w:val="00265518"/>
    <w:rsid w:val="00266A80"/>
    <w:rsid w:val="00266C56"/>
    <w:rsid w:val="0027133F"/>
    <w:rsid w:val="002713C6"/>
    <w:rsid w:val="0027585B"/>
    <w:rsid w:val="0028000A"/>
    <w:rsid w:val="00280BDF"/>
    <w:rsid w:val="00280D22"/>
    <w:rsid w:val="00284C19"/>
    <w:rsid w:val="00285386"/>
    <w:rsid w:val="00286100"/>
    <w:rsid w:val="00287A0D"/>
    <w:rsid w:val="00287D21"/>
    <w:rsid w:val="00290678"/>
    <w:rsid w:val="00291394"/>
    <w:rsid w:val="0029280C"/>
    <w:rsid w:val="00294E12"/>
    <w:rsid w:val="00296A91"/>
    <w:rsid w:val="00296C42"/>
    <w:rsid w:val="002970A1"/>
    <w:rsid w:val="002A0C81"/>
    <w:rsid w:val="002A1480"/>
    <w:rsid w:val="002A18C7"/>
    <w:rsid w:val="002A23BB"/>
    <w:rsid w:val="002A254E"/>
    <w:rsid w:val="002A2D8C"/>
    <w:rsid w:val="002A31B6"/>
    <w:rsid w:val="002A3ED4"/>
    <w:rsid w:val="002A4333"/>
    <w:rsid w:val="002A4500"/>
    <w:rsid w:val="002A582E"/>
    <w:rsid w:val="002B2212"/>
    <w:rsid w:val="002B4C8F"/>
    <w:rsid w:val="002B71D3"/>
    <w:rsid w:val="002C11AE"/>
    <w:rsid w:val="002C11F3"/>
    <w:rsid w:val="002C43EB"/>
    <w:rsid w:val="002C5BCB"/>
    <w:rsid w:val="002C695D"/>
    <w:rsid w:val="002C7082"/>
    <w:rsid w:val="002D0626"/>
    <w:rsid w:val="002D0AA1"/>
    <w:rsid w:val="002D1A41"/>
    <w:rsid w:val="002D26E0"/>
    <w:rsid w:val="002D2E9D"/>
    <w:rsid w:val="002D2F66"/>
    <w:rsid w:val="002D375C"/>
    <w:rsid w:val="002D3D57"/>
    <w:rsid w:val="002D431E"/>
    <w:rsid w:val="002D44EF"/>
    <w:rsid w:val="002D4726"/>
    <w:rsid w:val="002D53DB"/>
    <w:rsid w:val="002D5AE1"/>
    <w:rsid w:val="002D6770"/>
    <w:rsid w:val="002E3181"/>
    <w:rsid w:val="002E3552"/>
    <w:rsid w:val="002E36AA"/>
    <w:rsid w:val="002E3CD9"/>
    <w:rsid w:val="002E657D"/>
    <w:rsid w:val="002E6B9C"/>
    <w:rsid w:val="002E6BD8"/>
    <w:rsid w:val="002E70F0"/>
    <w:rsid w:val="002E7441"/>
    <w:rsid w:val="002F0728"/>
    <w:rsid w:val="002F0A1F"/>
    <w:rsid w:val="002F0BAF"/>
    <w:rsid w:val="002F14FC"/>
    <w:rsid w:val="002F2C49"/>
    <w:rsid w:val="002F3AAB"/>
    <w:rsid w:val="002F4C05"/>
    <w:rsid w:val="00301D18"/>
    <w:rsid w:val="00303FF4"/>
    <w:rsid w:val="00305BA3"/>
    <w:rsid w:val="00306632"/>
    <w:rsid w:val="00307601"/>
    <w:rsid w:val="00310847"/>
    <w:rsid w:val="00311595"/>
    <w:rsid w:val="00312B56"/>
    <w:rsid w:val="00312C1B"/>
    <w:rsid w:val="00313D68"/>
    <w:rsid w:val="00313DA4"/>
    <w:rsid w:val="0031499C"/>
    <w:rsid w:val="00316B38"/>
    <w:rsid w:val="00316CFE"/>
    <w:rsid w:val="00316D25"/>
    <w:rsid w:val="00320E6C"/>
    <w:rsid w:val="00321CD7"/>
    <w:rsid w:val="00323880"/>
    <w:rsid w:val="00325227"/>
    <w:rsid w:val="00325952"/>
    <w:rsid w:val="00326397"/>
    <w:rsid w:val="00327893"/>
    <w:rsid w:val="00331728"/>
    <w:rsid w:val="00332493"/>
    <w:rsid w:val="003336B4"/>
    <w:rsid w:val="00333923"/>
    <w:rsid w:val="003351EA"/>
    <w:rsid w:val="00336495"/>
    <w:rsid w:val="00337831"/>
    <w:rsid w:val="00337D2B"/>
    <w:rsid w:val="00340190"/>
    <w:rsid w:val="00340D2D"/>
    <w:rsid w:val="0034137D"/>
    <w:rsid w:val="0034304A"/>
    <w:rsid w:val="00343625"/>
    <w:rsid w:val="00344912"/>
    <w:rsid w:val="00344FD0"/>
    <w:rsid w:val="00345253"/>
    <w:rsid w:val="00346A37"/>
    <w:rsid w:val="00347E88"/>
    <w:rsid w:val="003510E6"/>
    <w:rsid w:val="00352992"/>
    <w:rsid w:val="00352DB6"/>
    <w:rsid w:val="003536A3"/>
    <w:rsid w:val="00354CD1"/>
    <w:rsid w:val="00356AB2"/>
    <w:rsid w:val="00357871"/>
    <w:rsid w:val="00362E67"/>
    <w:rsid w:val="0036607E"/>
    <w:rsid w:val="00366979"/>
    <w:rsid w:val="00367DAB"/>
    <w:rsid w:val="00370B5A"/>
    <w:rsid w:val="00370B90"/>
    <w:rsid w:val="00375CFD"/>
    <w:rsid w:val="00376ABF"/>
    <w:rsid w:val="00377542"/>
    <w:rsid w:val="003779A8"/>
    <w:rsid w:val="00382A26"/>
    <w:rsid w:val="00382F3A"/>
    <w:rsid w:val="00384005"/>
    <w:rsid w:val="00384769"/>
    <w:rsid w:val="00384A1B"/>
    <w:rsid w:val="00385427"/>
    <w:rsid w:val="003854D2"/>
    <w:rsid w:val="00385CFC"/>
    <w:rsid w:val="003912D5"/>
    <w:rsid w:val="00391B83"/>
    <w:rsid w:val="0039239A"/>
    <w:rsid w:val="00392BFB"/>
    <w:rsid w:val="003931CD"/>
    <w:rsid w:val="00395735"/>
    <w:rsid w:val="003A2153"/>
    <w:rsid w:val="003A2594"/>
    <w:rsid w:val="003A2EEC"/>
    <w:rsid w:val="003A4180"/>
    <w:rsid w:val="003A4DEA"/>
    <w:rsid w:val="003A6A00"/>
    <w:rsid w:val="003A6E0B"/>
    <w:rsid w:val="003A7198"/>
    <w:rsid w:val="003A75FD"/>
    <w:rsid w:val="003A7F4C"/>
    <w:rsid w:val="003B1EFC"/>
    <w:rsid w:val="003B2FDE"/>
    <w:rsid w:val="003B5657"/>
    <w:rsid w:val="003B72EB"/>
    <w:rsid w:val="003C0931"/>
    <w:rsid w:val="003C1B7D"/>
    <w:rsid w:val="003C2790"/>
    <w:rsid w:val="003C28C8"/>
    <w:rsid w:val="003C3060"/>
    <w:rsid w:val="003C419E"/>
    <w:rsid w:val="003C56AF"/>
    <w:rsid w:val="003C6905"/>
    <w:rsid w:val="003C6FD2"/>
    <w:rsid w:val="003C7223"/>
    <w:rsid w:val="003D168C"/>
    <w:rsid w:val="003D337F"/>
    <w:rsid w:val="003D37AD"/>
    <w:rsid w:val="003D446E"/>
    <w:rsid w:val="003D46E8"/>
    <w:rsid w:val="003D4B82"/>
    <w:rsid w:val="003D5083"/>
    <w:rsid w:val="003D5319"/>
    <w:rsid w:val="003D5C55"/>
    <w:rsid w:val="003D5CD0"/>
    <w:rsid w:val="003D5CFD"/>
    <w:rsid w:val="003D6833"/>
    <w:rsid w:val="003E0EC0"/>
    <w:rsid w:val="003E2EBD"/>
    <w:rsid w:val="003E43A7"/>
    <w:rsid w:val="003E468A"/>
    <w:rsid w:val="003E5FFF"/>
    <w:rsid w:val="003E7E37"/>
    <w:rsid w:val="003E7EF9"/>
    <w:rsid w:val="003F1275"/>
    <w:rsid w:val="003F1582"/>
    <w:rsid w:val="003F212F"/>
    <w:rsid w:val="003F37F1"/>
    <w:rsid w:val="003F3F22"/>
    <w:rsid w:val="003F59AF"/>
    <w:rsid w:val="003F7367"/>
    <w:rsid w:val="0040053B"/>
    <w:rsid w:val="00402DA9"/>
    <w:rsid w:val="00406B5E"/>
    <w:rsid w:val="00406CD8"/>
    <w:rsid w:val="00407C0C"/>
    <w:rsid w:val="00410127"/>
    <w:rsid w:val="00410546"/>
    <w:rsid w:val="00410567"/>
    <w:rsid w:val="0041138E"/>
    <w:rsid w:val="00411A09"/>
    <w:rsid w:val="00411F20"/>
    <w:rsid w:val="00412DD0"/>
    <w:rsid w:val="004143FB"/>
    <w:rsid w:val="00416A99"/>
    <w:rsid w:val="0042041A"/>
    <w:rsid w:val="00423FCA"/>
    <w:rsid w:val="0042650E"/>
    <w:rsid w:val="004273BC"/>
    <w:rsid w:val="00430D2D"/>
    <w:rsid w:val="0043352C"/>
    <w:rsid w:val="00434F60"/>
    <w:rsid w:val="00436CE3"/>
    <w:rsid w:val="0043764B"/>
    <w:rsid w:val="00437D31"/>
    <w:rsid w:val="0044075B"/>
    <w:rsid w:val="00441979"/>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3DD"/>
    <w:rsid w:val="004564A2"/>
    <w:rsid w:val="00457244"/>
    <w:rsid w:val="00457AB1"/>
    <w:rsid w:val="00461295"/>
    <w:rsid w:val="00461E7B"/>
    <w:rsid w:val="004635C1"/>
    <w:rsid w:val="00463902"/>
    <w:rsid w:val="00465344"/>
    <w:rsid w:val="004659E6"/>
    <w:rsid w:val="00466636"/>
    <w:rsid w:val="00466788"/>
    <w:rsid w:val="00466AB4"/>
    <w:rsid w:val="00466DDE"/>
    <w:rsid w:val="00471728"/>
    <w:rsid w:val="0047192C"/>
    <w:rsid w:val="004728B6"/>
    <w:rsid w:val="0047293C"/>
    <w:rsid w:val="00472E51"/>
    <w:rsid w:val="004734FD"/>
    <w:rsid w:val="0047448F"/>
    <w:rsid w:val="00474F41"/>
    <w:rsid w:val="004751D0"/>
    <w:rsid w:val="00475450"/>
    <w:rsid w:val="00475827"/>
    <w:rsid w:val="0047689A"/>
    <w:rsid w:val="004807A8"/>
    <w:rsid w:val="0048119A"/>
    <w:rsid w:val="0048177F"/>
    <w:rsid w:val="0048295A"/>
    <w:rsid w:val="00482DE1"/>
    <w:rsid w:val="00483439"/>
    <w:rsid w:val="00485437"/>
    <w:rsid w:val="004863E3"/>
    <w:rsid w:val="00486759"/>
    <w:rsid w:val="004872AC"/>
    <w:rsid w:val="00487533"/>
    <w:rsid w:val="004878A2"/>
    <w:rsid w:val="0049285A"/>
    <w:rsid w:val="00492976"/>
    <w:rsid w:val="004965B6"/>
    <w:rsid w:val="004968CC"/>
    <w:rsid w:val="004969B1"/>
    <w:rsid w:val="004A0CB6"/>
    <w:rsid w:val="004A2AFF"/>
    <w:rsid w:val="004A33D8"/>
    <w:rsid w:val="004A5B3A"/>
    <w:rsid w:val="004B03E5"/>
    <w:rsid w:val="004B0460"/>
    <w:rsid w:val="004B2F12"/>
    <w:rsid w:val="004B35E4"/>
    <w:rsid w:val="004B4340"/>
    <w:rsid w:val="004B54C3"/>
    <w:rsid w:val="004B5A0D"/>
    <w:rsid w:val="004B685E"/>
    <w:rsid w:val="004B725C"/>
    <w:rsid w:val="004C0288"/>
    <w:rsid w:val="004C0622"/>
    <w:rsid w:val="004C57E8"/>
    <w:rsid w:val="004C6B89"/>
    <w:rsid w:val="004D3FEC"/>
    <w:rsid w:val="004D4B96"/>
    <w:rsid w:val="004D5E30"/>
    <w:rsid w:val="004D5FA5"/>
    <w:rsid w:val="004D6DA8"/>
    <w:rsid w:val="004D7CF1"/>
    <w:rsid w:val="004E0737"/>
    <w:rsid w:val="004E0F38"/>
    <w:rsid w:val="004E1410"/>
    <w:rsid w:val="004E3B34"/>
    <w:rsid w:val="004E5ADC"/>
    <w:rsid w:val="004E6147"/>
    <w:rsid w:val="004F231A"/>
    <w:rsid w:val="004F3B92"/>
    <w:rsid w:val="004F4D54"/>
    <w:rsid w:val="004F4D95"/>
    <w:rsid w:val="004F56AB"/>
    <w:rsid w:val="004F607B"/>
    <w:rsid w:val="005008E5"/>
    <w:rsid w:val="00501507"/>
    <w:rsid w:val="00503471"/>
    <w:rsid w:val="0050377F"/>
    <w:rsid w:val="005039BF"/>
    <w:rsid w:val="00505456"/>
    <w:rsid w:val="005056B7"/>
    <w:rsid w:val="005057DE"/>
    <w:rsid w:val="00506531"/>
    <w:rsid w:val="0050687A"/>
    <w:rsid w:val="00506CB3"/>
    <w:rsid w:val="00507BA7"/>
    <w:rsid w:val="005104C8"/>
    <w:rsid w:val="00510AE3"/>
    <w:rsid w:val="00511928"/>
    <w:rsid w:val="00511C9F"/>
    <w:rsid w:val="00512091"/>
    <w:rsid w:val="0051311B"/>
    <w:rsid w:val="00515F41"/>
    <w:rsid w:val="00517661"/>
    <w:rsid w:val="0051795B"/>
    <w:rsid w:val="005204B1"/>
    <w:rsid w:val="00521C95"/>
    <w:rsid w:val="005220AF"/>
    <w:rsid w:val="00522351"/>
    <w:rsid w:val="00522A7E"/>
    <w:rsid w:val="00522F3C"/>
    <w:rsid w:val="00523803"/>
    <w:rsid w:val="00524361"/>
    <w:rsid w:val="00526F16"/>
    <w:rsid w:val="005270E5"/>
    <w:rsid w:val="0053107E"/>
    <w:rsid w:val="0053252A"/>
    <w:rsid w:val="005331F1"/>
    <w:rsid w:val="00543DC5"/>
    <w:rsid w:val="005457DE"/>
    <w:rsid w:val="005459D8"/>
    <w:rsid w:val="00545E6E"/>
    <w:rsid w:val="00547414"/>
    <w:rsid w:val="0055017D"/>
    <w:rsid w:val="005504E2"/>
    <w:rsid w:val="00550886"/>
    <w:rsid w:val="00555477"/>
    <w:rsid w:val="00555F1F"/>
    <w:rsid w:val="005565CF"/>
    <w:rsid w:val="0055731B"/>
    <w:rsid w:val="00561042"/>
    <w:rsid w:val="005617B7"/>
    <w:rsid w:val="00561DAB"/>
    <w:rsid w:val="0056594E"/>
    <w:rsid w:val="00570C15"/>
    <w:rsid w:val="00572A82"/>
    <w:rsid w:val="00572B4D"/>
    <w:rsid w:val="00575396"/>
    <w:rsid w:val="00575E23"/>
    <w:rsid w:val="00577222"/>
    <w:rsid w:val="005773E5"/>
    <w:rsid w:val="0057779B"/>
    <w:rsid w:val="00580F5B"/>
    <w:rsid w:val="00581AC6"/>
    <w:rsid w:val="00581FFE"/>
    <w:rsid w:val="00582351"/>
    <w:rsid w:val="00583296"/>
    <w:rsid w:val="00583744"/>
    <w:rsid w:val="0058385F"/>
    <w:rsid w:val="00583922"/>
    <w:rsid w:val="00583BA8"/>
    <w:rsid w:val="005866FF"/>
    <w:rsid w:val="00592816"/>
    <w:rsid w:val="005938CC"/>
    <w:rsid w:val="005944BF"/>
    <w:rsid w:val="005948A0"/>
    <w:rsid w:val="00594E97"/>
    <w:rsid w:val="005953CD"/>
    <w:rsid w:val="00597492"/>
    <w:rsid w:val="005A0FC2"/>
    <w:rsid w:val="005A20A1"/>
    <w:rsid w:val="005A3AC6"/>
    <w:rsid w:val="005A3FCD"/>
    <w:rsid w:val="005A4A55"/>
    <w:rsid w:val="005A53EB"/>
    <w:rsid w:val="005A60EE"/>
    <w:rsid w:val="005B0A4C"/>
    <w:rsid w:val="005B13ED"/>
    <w:rsid w:val="005B20B2"/>
    <w:rsid w:val="005B2C0E"/>
    <w:rsid w:val="005B4B8F"/>
    <w:rsid w:val="005C04B9"/>
    <w:rsid w:val="005C1738"/>
    <w:rsid w:val="005C29B1"/>
    <w:rsid w:val="005C2C60"/>
    <w:rsid w:val="005C2D89"/>
    <w:rsid w:val="005C3140"/>
    <w:rsid w:val="005C49E0"/>
    <w:rsid w:val="005C6710"/>
    <w:rsid w:val="005C7E7C"/>
    <w:rsid w:val="005D1652"/>
    <w:rsid w:val="005D214A"/>
    <w:rsid w:val="005D2DBF"/>
    <w:rsid w:val="005D3EE4"/>
    <w:rsid w:val="005D4F74"/>
    <w:rsid w:val="005D61FD"/>
    <w:rsid w:val="005E2307"/>
    <w:rsid w:val="005E4BD6"/>
    <w:rsid w:val="005E4D49"/>
    <w:rsid w:val="005E7EB0"/>
    <w:rsid w:val="005F016F"/>
    <w:rsid w:val="005F17FB"/>
    <w:rsid w:val="005F2596"/>
    <w:rsid w:val="005F2848"/>
    <w:rsid w:val="005F28C7"/>
    <w:rsid w:val="005F33A2"/>
    <w:rsid w:val="005F3657"/>
    <w:rsid w:val="005F5582"/>
    <w:rsid w:val="005F58DD"/>
    <w:rsid w:val="005F5EC5"/>
    <w:rsid w:val="005F68C2"/>
    <w:rsid w:val="005F6A8B"/>
    <w:rsid w:val="005F76D5"/>
    <w:rsid w:val="005F7FFD"/>
    <w:rsid w:val="00602C0D"/>
    <w:rsid w:val="0060320B"/>
    <w:rsid w:val="0060344D"/>
    <w:rsid w:val="00605489"/>
    <w:rsid w:val="00605CAB"/>
    <w:rsid w:val="00607E6E"/>
    <w:rsid w:val="00610ACA"/>
    <w:rsid w:val="00611AB0"/>
    <w:rsid w:val="006126E2"/>
    <w:rsid w:val="006133D1"/>
    <w:rsid w:val="00614228"/>
    <w:rsid w:val="00615699"/>
    <w:rsid w:val="006168DA"/>
    <w:rsid w:val="00616D0A"/>
    <w:rsid w:val="00620D16"/>
    <w:rsid w:val="00621BB4"/>
    <w:rsid w:val="00621EBC"/>
    <w:rsid w:val="00623621"/>
    <w:rsid w:val="00625A59"/>
    <w:rsid w:val="00627E99"/>
    <w:rsid w:val="00630965"/>
    <w:rsid w:val="00630D5B"/>
    <w:rsid w:val="00631636"/>
    <w:rsid w:val="0063204B"/>
    <w:rsid w:val="00633A92"/>
    <w:rsid w:val="006347D8"/>
    <w:rsid w:val="00635863"/>
    <w:rsid w:val="00635F37"/>
    <w:rsid w:val="00636FD6"/>
    <w:rsid w:val="00640384"/>
    <w:rsid w:val="00640DDD"/>
    <w:rsid w:val="00642FF6"/>
    <w:rsid w:val="0064312E"/>
    <w:rsid w:val="00643BEF"/>
    <w:rsid w:val="006452FF"/>
    <w:rsid w:val="00645DD6"/>
    <w:rsid w:val="00646220"/>
    <w:rsid w:val="00646EC9"/>
    <w:rsid w:val="006473CB"/>
    <w:rsid w:val="00647B1A"/>
    <w:rsid w:val="006518C2"/>
    <w:rsid w:val="00652C80"/>
    <w:rsid w:val="00655C77"/>
    <w:rsid w:val="0065771D"/>
    <w:rsid w:val="006601C9"/>
    <w:rsid w:val="0066274D"/>
    <w:rsid w:val="00664D46"/>
    <w:rsid w:val="00665B65"/>
    <w:rsid w:val="00665BF4"/>
    <w:rsid w:val="00665C76"/>
    <w:rsid w:val="00666E3F"/>
    <w:rsid w:val="00667A46"/>
    <w:rsid w:val="006700B3"/>
    <w:rsid w:val="00671416"/>
    <w:rsid w:val="00671FAD"/>
    <w:rsid w:val="00671FEF"/>
    <w:rsid w:val="00672AB5"/>
    <w:rsid w:val="006734ED"/>
    <w:rsid w:val="00675173"/>
    <w:rsid w:val="00675B02"/>
    <w:rsid w:val="006801D3"/>
    <w:rsid w:val="00680A90"/>
    <w:rsid w:val="0068216C"/>
    <w:rsid w:val="006824EE"/>
    <w:rsid w:val="00682D9C"/>
    <w:rsid w:val="00682D9D"/>
    <w:rsid w:val="00683CFF"/>
    <w:rsid w:val="00683EBB"/>
    <w:rsid w:val="00684C95"/>
    <w:rsid w:val="00685578"/>
    <w:rsid w:val="006857E9"/>
    <w:rsid w:val="0068600B"/>
    <w:rsid w:val="00694F0A"/>
    <w:rsid w:val="006A00DA"/>
    <w:rsid w:val="006A14AB"/>
    <w:rsid w:val="006A2CF2"/>
    <w:rsid w:val="006A2D96"/>
    <w:rsid w:val="006A3F30"/>
    <w:rsid w:val="006A618F"/>
    <w:rsid w:val="006A650F"/>
    <w:rsid w:val="006B0DA6"/>
    <w:rsid w:val="006B0F36"/>
    <w:rsid w:val="006B2773"/>
    <w:rsid w:val="006B434F"/>
    <w:rsid w:val="006B67B0"/>
    <w:rsid w:val="006B6D04"/>
    <w:rsid w:val="006B7C42"/>
    <w:rsid w:val="006C05D7"/>
    <w:rsid w:val="006C11BF"/>
    <w:rsid w:val="006C3ED3"/>
    <w:rsid w:val="006C50DF"/>
    <w:rsid w:val="006C728A"/>
    <w:rsid w:val="006C73CF"/>
    <w:rsid w:val="006C7D47"/>
    <w:rsid w:val="006D2F2F"/>
    <w:rsid w:val="006D3E37"/>
    <w:rsid w:val="006D43ED"/>
    <w:rsid w:val="006D4913"/>
    <w:rsid w:val="006D4DBA"/>
    <w:rsid w:val="006D5004"/>
    <w:rsid w:val="006D73D8"/>
    <w:rsid w:val="006E0AC8"/>
    <w:rsid w:val="006E39CE"/>
    <w:rsid w:val="006E604E"/>
    <w:rsid w:val="006E6060"/>
    <w:rsid w:val="006E6819"/>
    <w:rsid w:val="006E7764"/>
    <w:rsid w:val="006F3818"/>
    <w:rsid w:val="006F446A"/>
    <w:rsid w:val="006F5C34"/>
    <w:rsid w:val="006F6A39"/>
    <w:rsid w:val="00700D25"/>
    <w:rsid w:val="007033D5"/>
    <w:rsid w:val="007039FC"/>
    <w:rsid w:val="00703ED4"/>
    <w:rsid w:val="00704DA9"/>
    <w:rsid w:val="007065C6"/>
    <w:rsid w:val="00706A7C"/>
    <w:rsid w:val="007071C7"/>
    <w:rsid w:val="0070734B"/>
    <w:rsid w:val="00711EEF"/>
    <w:rsid w:val="007121DF"/>
    <w:rsid w:val="00716DB2"/>
    <w:rsid w:val="007170DE"/>
    <w:rsid w:val="007170E3"/>
    <w:rsid w:val="00717BE1"/>
    <w:rsid w:val="00717F63"/>
    <w:rsid w:val="00720587"/>
    <w:rsid w:val="00720CD3"/>
    <w:rsid w:val="00721795"/>
    <w:rsid w:val="0072202A"/>
    <w:rsid w:val="00722AA3"/>
    <w:rsid w:val="00723439"/>
    <w:rsid w:val="007235F8"/>
    <w:rsid w:val="00723834"/>
    <w:rsid w:val="00723DBE"/>
    <w:rsid w:val="00725214"/>
    <w:rsid w:val="00725755"/>
    <w:rsid w:val="00726632"/>
    <w:rsid w:val="007269D0"/>
    <w:rsid w:val="007270BC"/>
    <w:rsid w:val="00730F7D"/>
    <w:rsid w:val="00734427"/>
    <w:rsid w:val="00734CF5"/>
    <w:rsid w:val="00735CCB"/>
    <w:rsid w:val="0073628D"/>
    <w:rsid w:val="00736352"/>
    <w:rsid w:val="007369BC"/>
    <w:rsid w:val="00737021"/>
    <w:rsid w:val="00737C19"/>
    <w:rsid w:val="00737D5A"/>
    <w:rsid w:val="00741063"/>
    <w:rsid w:val="00741D87"/>
    <w:rsid w:val="00743902"/>
    <w:rsid w:val="00743A7F"/>
    <w:rsid w:val="00743D88"/>
    <w:rsid w:val="00743E14"/>
    <w:rsid w:val="0074487F"/>
    <w:rsid w:val="00744C6A"/>
    <w:rsid w:val="00745B30"/>
    <w:rsid w:val="00746DA8"/>
    <w:rsid w:val="00747A79"/>
    <w:rsid w:val="0075053D"/>
    <w:rsid w:val="00751D80"/>
    <w:rsid w:val="007525C4"/>
    <w:rsid w:val="00752DD4"/>
    <w:rsid w:val="0075371F"/>
    <w:rsid w:val="007559BB"/>
    <w:rsid w:val="0075675D"/>
    <w:rsid w:val="00756AF6"/>
    <w:rsid w:val="007602DD"/>
    <w:rsid w:val="00763563"/>
    <w:rsid w:val="00763567"/>
    <w:rsid w:val="00763CF2"/>
    <w:rsid w:val="007640DE"/>
    <w:rsid w:val="00764591"/>
    <w:rsid w:val="00764CC0"/>
    <w:rsid w:val="0076701C"/>
    <w:rsid w:val="00767070"/>
    <w:rsid w:val="00767071"/>
    <w:rsid w:val="00767849"/>
    <w:rsid w:val="00770BC6"/>
    <w:rsid w:val="00770BE7"/>
    <w:rsid w:val="0077177D"/>
    <w:rsid w:val="00771895"/>
    <w:rsid w:val="007728CB"/>
    <w:rsid w:val="00774A38"/>
    <w:rsid w:val="0077557A"/>
    <w:rsid w:val="007771FB"/>
    <w:rsid w:val="00777D7A"/>
    <w:rsid w:val="007802C1"/>
    <w:rsid w:val="0078085F"/>
    <w:rsid w:val="00780F28"/>
    <w:rsid w:val="00782E9F"/>
    <w:rsid w:val="00782EE6"/>
    <w:rsid w:val="007835A1"/>
    <w:rsid w:val="00784285"/>
    <w:rsid w:val="00784973"/>
    <w:rsid w:val="00787955"/>
    <w:rsid w:val="00787C6F"/>
    <w:rsid w:val="00790380"/>
    <w:rsid w:val="00793B8A"/>
    <w:rsid w:val="0079576D"/>
    <w:rsid w:val="00796364"/>
    <w:rsid w:val="007966EE"/>
    <w:rsid w:val="007A0D85"/>
    <w:rsid w:val="007A0E82"/>
    <w:rsid w:val="007A34CB"/>
    <w:rsid w:val="007A3B36"/>
    <w:rsid w:val="007A44C8"/>
    <w:rsid w:val="007A4EE2"/>
    <w:rsid w:val="007A5BBC"/>
    <w:rsid w:val="007A65BA"/>
    <w:rsid w:val="007A6DC2"/>
    <w:rsid w:val="007A7073"/>
    <w:rsid w:val="007A72F5"/>
    <w:rsid w:val="007A792A"/>
    <w:rsid w:val="007B270C"/>
    <w:rsid w:val="007B2AC6"/>
    <w:rsid w:val="007B3935"/>
    <w:rsid w:val="007B3A34"/>
    <w:rsid w:val="007B3D70"/>
    <w:rsid w:val="007B589E"/>
    <w:rsid w:val="007B59E2"/>
    <w:rsid w:val="007B5C30"/>
    <w:rsid w:val="007B65BF"/>
    <w:rsid w:val="007B66CC"/>
    <w:rsid w:val="007C1024"/>
    <w:rsid w:val="007C1940"/>
    <w:rsid w:val="007C2D4F"/>
    <w:rsid w:val="007C2DF5"/>
    <w:rsid w:val="007C4937"/>
    <w:rsid w:val="007C51C5"/>
    <w:rsid w:val="007C7C82"/>
    <w:rsid w:val="007D061B"/>
    <w:rsid w:val="007D0F28"/>
    <w:rsid w:val="007D413B"/>
    <w:rsid w:val="007D4D3C"/>
    <w:rsid w:val="007D5A4F"/>
    <w:rsid w:val="007D5D3F"/>
    <w:rsid w:val="007D61B0"/>
    <w:rsid w:val="007D74BC"/>
    <w:rsid w:val="007E15BF"/>
    <w:rsid w:val="007E3783"/>
    <w:rsid w:val="007E54ED"/>
    <w:rsid w:val="007E550C"/>
    <w:rsid w:val="007E5F33"/>
    <w:rsid w:val="007E61C1"/>
    <w:rsid w:val="007E6F45"/>
    <w:rsid w:val="007F1B5E"/>
    <w:rsid w:val="007F2B85"/>
    <w:rsid w:val="007F3399"/>
    <w:rsid w:val="007F4201"/>
    <w:rsid w:val="007F4AB3"/>
    <w:rsid w:val="007F537E"/>
    <w:rsid w:val="007F7919"/>
    <w:rsid w:val="008006D5"/>
    <w:rsid w:val="00800E40"/>
    <w:rsid w:val="008011E9"/>
    <w:rsid w:val="00801A4E"/>
    <w:rsid w:val="00802B84"/>
    <w:rsid w:val="0080310A"/>
    <w:rsid w:val="008035CE"/>
    <w:rsid w:val="0080423B"/>
    <w:rsid w:val="00807980"/>
    <w:rsid w:val="00807C28"/>
    <w:rsid w:val="008101D9"/>
    <w:rsid w:val="00810523"/>
    <w:rsid w:val="00810DF3"/>
    <w:rsid w:val="00812BE9"/>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6E35"/>
    <w:rsid w:val="008370C1"/>
    <w:rsid w:val="0084255B"/>
    <w:rsid w:val="008425E3"/>
    <w:rsid w:val="0084292D"/>
    <w:rsid w:val="00847D84"/>
    <w:rsid w:val="00847FE2"/>
    <w:rsid w:val="00850A70"/>
    <w:rsid w:val="0085190B"/>
    <w:rsid w:val="008524C3"/>
    <w:rsid w:val="00853935"/>
    <w:rsid w:val="00854323"/>
    <w:rsid w:val="00854DB7"/>
    <w:rsid w:val="00856E68"/>
    <w:rsid w:val="00856FC9"/>
    <w:rsid w:val="00860C64"/>
    <w:rsid w:val="00861133"/>
    <w:rsid w:val="008612FE"/>
    <w:rsid w:val="008633D1"/>
    <w:rsid w:val="00864369"/>
    <w:rsid w:val="008651A8"/>
    <w:rsid w:val="00870FB5"/>
    <w:rsid w:val="00871B32"/>
    <w:rsid w:val="00872BE1"/>
    <w:rsid w:val="00876320"/>
    <w:rsid w:val="0087658F"/>
    <w:rsid w:val="00876F88"/>
    <w:rsid w:val="00876FC0"/>
    <w:rsid w:val="00877439"/>
    <w:rsid w:val="00877E26"/>
    <w:rsid w:val="00877F27"/>
    <w:rsid w:val="0088086B"/>
    <w:rsid w:val="00882B14"/>
    <w:rsid w:val="00883C19"/>
    <w:rsid w:val="008845BB"/>
    <w:rsid w:val="00886F9A"/>
    <w:rsid w:val="00890F11"/>
    <w:rsid w:val="00891FE2"/>
    <w:rsid w:val="0089216B"/>
    <w:rsid w:val="008941EA"/>
    <w:rsid w:val="008948C8"/>
    <w:rsid w:val="008964AE"/>
    <w:rsid w:val="00896DF6"/>
    <w:rsid w:val="008A0DB1"/>
    <w:rsid w:val="008A2076"/>
    <w:rsid w:val="008A26C8"/>
    <w:rsid w:val="008A2DC0"/>
    <w:rsid w:val="008A3478"/>
    <w:rsid w:val="008A3BEB"/>
    <w:rsid w:val="008A60D8"/>
    <w:rsid w:val="008A63B1"/>
    <w:rsid w:val="008A65AF"/>
    <w:rsid w:val="008B17EC"/>
    <w:rsid w:val="008B1BE2"/>
    <w:rsid w:val="008B2CD2"/>
    <w:rsid w:val="008B2D55"/>
    <w:rsid w:val="008B3263"/>
    <w:rsid w:val="008B4047"/>
    <w:rsid w:val="008B42AE"/>
    <w:rsid w:val="008B4B2F"/>
    <w:rsid w:val="008B4F49"/>
    <w:rsid w:val="008B5ADA"/>
    <w:rsid w:val="008B5B94"/>
    <w:rsid w:val="008B6F69"/>
    <w:rsid w:val="008B7E4E"/>
    <w:rsid w:val="008C1755"/>
    <w:rsid w:val="008C3330"/>
    <w:rsid w:val="008C4652"/>
    <w:rsid w:val="008C4EE9"/>
    <w:rsid w:val="008C5540"/>
    <w:rsid w:val="008C72DA"/>
    <w:rsid w:val="008D0A4A"/>
    <w:rsid w:val="008D13DB"/>
    <w:rsid w:val="008D1F63"/>
    <w:rsid w:val="008D3ABF"/>
    <w:rsid w:val="008D3CA1"/>
    <w:rsid w:val="008D5242"/>
    <w:rsid w:val="008D5803"/>
    <w:rsid w:val="008D6337"/>
    <w:rsid w:val="008D6D32"/>
    <w:rsid w:val="008E059E"/>
    <w:rsid w:val="008E0F50"/>
    <w:rsid w:val="008E1BE2"/>
    <w:rsid w:val="008E1C4A"/>
    <w:rsid w:val="008E2FD4"/>
    <w:rsid w:val="008E48B8"/>
    <w:rsid w:val="008E525D"/>
    <w:rsid w:val="008E5421"/>
    <w:rsid w:val="008E5E21"/>
    <w:rsid w:val="008E6698"/>
    <w:rsid w:val="008F0087"/>
    <w:rsid w:val="008F01E0"/>
    <w:rsid w:val="008F18B7"/>
    <w:rsid w:val="008F205E"/>
    <w:rsid w:val="008F248C"/>
    <w:rsid w:val="008F2655"/>
    <w:rsid w:val="008F31E3"/>
    <w:rsid w:val="008F3718"/>
    <w:rsid w:val="008F5232"/>
    <w:rsid w:val="008F598E"/>
    <w:rsid w:val="008F611D"/>
    <w:rsid w:val="008F7620"/>
    <w:rsid w:val="008F7D8F"/>
    <w:rsid w:val="00901E14"/>
    <w:rsid w:val="009035B8"/>
    <w:rsid w:val="00903B40"/>
    <w:rsid w:val="00906055"/>
    <w:rsid w:val="00906B08"/>
    <w:rsid w:val="0091145C"/>
    <w:rsid w:val="009136B3"/>
    <w:rsid w:val="00915279"/>
    <w:rsid w:val="00915960"/>
    <w:rsid w:val="00915EB3"/>
    <w:rsid w:val="00917185"/>
    <w:rsid w:val="00921C2C"/>
    <w:rsid w:val="00922CCC"/>
    <w:rsid w:val="00923B0C"/>
    <w:rsid w:val="00924194"/>
    <w:rsid w:val="0092446A"/>
    <w:rsid w:val="00924BE2"/>
    <w:rsid w:val="00925D4A"/>
    <w:rsid w:val="00927D2A"/>
    <w:rsid w:val="00930A75"/>
    <w:rsid w:val="00931D7E"/>
    <w:rsid w:val="009337C5"/>
    <w:rsid w:val="00934062"/>
    <w:rsid w:val="009347CA"/>
    <w:rsid w:val="0093515D"/>
    <w:rsid w:val="00935DBB"/>
    <w:rsid w:val="00936546"/>
    <w:rsid w:val="00940349"/>
    <w:rsid w:val="00941385"/>
    <w:rsid w:val="009414A9"/>
    <w:rsid w:val="0094158B"/>
    <w:rsid w:val="00942458"/>
    <w:rsid w:val="00943492"/>
    <w:rsid w:val="00943785"/>
    <w:rsid w:val="00943AC8"/>
    <w:rsid w:val="00944B7B"/>
    <w:rsid w:val="00946FEC"/>
    <w:rsid w:val="00950C74"/>
    <w:rsid w:val="009512C4"/>
    <w:rsid w:val="00951C09"/>
    <w:rsid w:val="0095275C"/>
    <w:rsid w:val="0095283F"/>
    <w:rsid w:val="00952B6B"/>
    <w:rsid w:val="009543A8"/>
    <w:rsid w:val="00955907"/>
    <w:rsid w:val="00956CF2"/>
    <w:rsid w:val="009625DA"/>
    <w:rsid w:val="009636ED"/>
    <w:rsid w:val="00964EEC"/>
    <w:rsid w:val="009663BE"/>
    <w:rsid w:val="00966CE1"/>
    <w:rsid w:val="00967641"/>
    <w:rsid w:val="00967C05"/>
    <w:rsid w:val="0097041F"/>
    <w:rsid w:val="00972687"/>
    <w:rsid w:val="009748BE"/>
    <w:rsid w:val="00975856"/>
    <w:rsid w:val="00975F3E"/>
    <w:rsid w:val="00975FD7"/>
    <w:rsid w:val="00977A0B"/>
    <w:rsid w:val="009854EA"/>
    <w:rsid w:val="00985508"/>
    <w:rsid w:val="00985669"/>
    <w:rsid w:val="00985DDA"/>
    <w:rsid w:val="00986055"/>
    <w:rsid w:val="0098672F"/>
    <w:rsid w:val="00987F2C"/>
    <w:rsid w:val="009900FA"/>
    <w:rsid w:val="00991E76"/>
    <w:rsid w:val="00993437"/>
    <w:rsid w:val="00993A8D"/>
    <w:rsid w:val="00995C5B"/>
    <w:rsid w:val="009972E6"/>
    <w:rsid w:val="009A00A1"/>
    <w:rsid w:val="009A1E81"/>
    <w:rsid w:val="009A53AE"/>
    <w:rsid w:val="009A59CC"/>
    <w:rsid w:val="009A7115"/>
    <w:rsid w:val="009B130C"/>
    <w:rsid w:val="009B2823"/>
    <w:rsid w:val="009B2954"/>
    <w:rsid w:val="009B426B"/>
    <w:rsid w:val="009B43C7"/>
    <w:rsid w:val="009B4C43"/>
    <w:rsid w:val="009B4E0D"/>
    <w:rsid w:val="009B548A"/>
    <w:rsid w:val="009B56D8"/>
    <w:rsid w:val="009B7C35"/>
    <w:rsid w:val="009B7C47"/>
    <w:rsid w:val="009B7ED2"/>
    <w:rsid w:val="009C00DE"/>
    <w:rsid w:val="009C0D18"/>
    <w:rsid w:val="009C1A50"/>
    <w:rsid w:val="009C27C0"/>
    <w:rsid w:val="009C2DD0"/>
    <w:rsid w:val="009C3D5D"/>
    <w:rsid w:val="009C3E99"/>
    <w:rsid w:val="009C4DA6"/>
    <w:rsid w:val="009C567A"/>
    <w:rsid w:val="009C697A"/>
    <w:rsid w:val="009C70B4"/>
    <w:rsid w:val="009C786D"/>
    <w:rsid w:val="009D0200"/>
    <w:rsid w:val="009D04D8"/>
    <w:rsid w:val="009D1F69"/>
    <w:rsid w:val="009D2972"/>
    <w:rsid w:val="009D30A9"/>
    <w:rsid w:val="009D3952"/>
    <w:rsid w:val="009D4EF9"/>
    <w:rsid w:val="009D5055"/>
    <w:rsid w:val="009D63B8"/>
    <w:rsid w:val="009D6685"/>
    <w:rsid w:val="009E04B2"/>
    <w:rsid w:val="009E3511"/>
    <w:rsid w:val="009E4A71"/>
    <w:rsid w:val="009E5B4B"/>
    <w:rsid w:val="009E65CD"/>
    <w:rsid w:val="009E67F7"/>
    <w:rsid w:val="009E78DD"/>
    <w:rsid w:val="009F008A"/>
    <w:rsid w:val="009F02FE"/>
    <w:rsid w:val="009F209B"/>
    <w:rsid w:val="009F4E0B"/>
    <w:rsid w:val="009F4FA4"/>
    <w:rsid w:val="009F52A0"/>
    <w:rsid w:val="009F563F"/>
    <w:rsid w:val="009F5CAF"/>
    <w:rsid w:val="00A00881"/>
    <w:rsid w:val="00A0168B"/>
    <w:rsid w:val="00A023D2"/>
    <w:rsid w:val="00A03045"/>
    <w:rsid w:val="00A03B85"/>
    <w:rsid w:val="00A06504"/>
    <w:rsid w:val="00A07526"/>
    <w:rsid w:val="00A07B0D"/>
    <w:rsid w:val="00A11343"/>
    <w:rsid w:val="00A11725"/>
    <w:rsid w:val="00A119EE"/>
    <w:rsid w:val="00A11BBB"/>
    <w:rsid w:val="00A12D4B"/>
    <w:rsid w:val="00A13ADE"/>
    <w:rsid w:val="00A14065"/>
    <w:rsid w:val="00A1459E"/>
    <w:rsid w:val="00A1618C"/>
    <w:rsid w:val="00A161D5"/>
    <w:rsid w:val="00A16645"/>
    <w:rsid w:val="00A175EF"/>
    <w:rsid w:val="00A215F1"/>
    <w:rsid w:val="00A2325C"/>
    <w:rsid w:val="00A23CD4"/>
    <w:rsid w:val="00A23DF9"/>
    <w:rsid w:val="00A26638"/>
    <w:rsid w:val="00A26866"/>
    <w:rsid w:val="00A268E8"/>
    <w:rsid w:val="00A33B41"/>
    <w:rsid w:val="00A341A5"/>
    <w:rsid w:val="00A349AB"/>
    <w:rsid w:val="00A36A74"/>
    <w:rsid w:val="00A3718E"/>
    <w:rsid w:val="00A37C54"/>
    <w:rsid w:val="00A4106D"/>
    <w:rsid w:val="00A41A29"/>
    <w:rsid w:val="00A44C73"/>
    <w:rsid w:val="00A455C4"/>
    <w:rsid w:val="00A4591A"/>
    <w:rsid w:val="00A45BB2"/>
    <w:rsid w:val="00A47223"/>
    <w:rsid w:val="00A473C5"/>
    <w:rsid w:val="00A47FE8"/>
    <w:rsid w:val="00A51A19"/>
    <w:rsid w:val="00A53686"/>
    <w:rsid w:val="00A5393F"/>
    <w:rsid w:val="00A54386"/>
    <w:rsid w:val="00A54D0F"/>
    <w:rsid w:val="00A567EA"/>
    <w:rsid w:val="00A57995"/>
    <w:rsid w:val="00A620E3"/>
    <w:rsid w:val="00A636CD"/>
    <w:rsid w:val="00A651FA"/>
    <w:rsid w:val="00A6661B"/>
    <w:rsid w:val="00A6707D"/>
    <w:rsid w:val="00A7201D"/>
    <w:rsid w:val="00A721C3"/>
    <w:rsid w:val="00A729FB"/>
    <w:rsid w:val="00A7406A"/>
    <w:rsid w:val="00A76AC1"/>
    <w:rsid w:val="00A8042F"/>
    <w:rsid w:val="00A80463"/>
    <w:rsid w:val="00A81F9F"/>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203"/>
    <w:rsid w:val="00AA062A"/>
    <w:rsid w:val="00AA14F5"/>
    <w:rsid w:val="00AA389C"/>
    <w:rsid w:val="00AA4C23"/>
    <w:rsid w:val="00AB1E85"/>
    <w:rsid w:val="00AB2641"/>
    <w:rsid w:val="00AB283C"/>
    <w:rsid w:val="00AB2BC6"/>
    <w:rsid w:val="00AB338E"/>
    <w:rsid w:val="00AB3656"/>
    <w:rsid w:val="00AB3EFD"/>
    <w:rsid w:val="00AB42A8"/>
    <w:rsid w:val="00AB4344"/>
    <w:rsid w:val="00AB4BE5"/>
    <w:rsid w:val="00AB5086"/>
    <w:rsid w:val="00AB51F3"/>
    <w:rsid w:val="00AB5479"/>
    <w:rsid w:val="00AB65D7"/>
    <w:rsid w:val="00AB687E"/>
    <w:rsid w:val="00AB72E4"/>
    <w:rsid w:val="00AB7461"/>
    <w:rsid w:val="00AB7994"/>
    <w:rsid w:val="00AC101C"/>
    <w:rsid w:val="00AC387D"/>
    <w:rsid w:val="00AC3DC6"/>
    <w:rsid w:val="00AC48A2"/>
    <w:rsid w:val="00AC55F9"/>
    <w:rsid w:val="00AC6C47"/>
    <w:rsid w:val="00AC73F0"/>
    <w:rsid w:val="00AD0B2F"/>
    <w:rsid w:val="00AD1C2B"/>
    <w:rsid w:val="00AD2648"/>
    <w:rsid w:val="00AD3BDA"/>
    <w:rsid w:val="00AD57F5"/>
    <w:rsid w:val="00AD7F3D"/>
    <w:rsid w:val="00AE1015"/>
    <w:rsid w:val="00AE101A"/>
    <w:rsid w:val="00AE3451"/>
    <w:rsid w:val="00AE35B3"/>
    <w:rsid w:val="00AE3EF1"/>
    <w:rsid w:val="00AE4E0E"/>
    <w:rsid w:val="00AF0345"/>
    <w:rsid w:val="00AF0CC2"/>
    <w:rsid w:val="00AF11B2"/>
    <w:rsid w:val="00AF597A"/>
    <w:rsid w:val="00AF6D55"/>
    <w:rsid w:val="00AF7466"/>
    <w:rsid w:val="00B03341"/>
    <w:rsid w:val="00B0525B"/>
    <w:rsid w:val="00B07625"/>
    <w:rsid w:val="00B07C36"/>
    <w:rsid w:val="00B11CB9"/>
    <w:rsid w:val="00B1309A"/>
    <w:rsid w:val="00B158E8"/>
    <w:rsid w:val="00B1721F"/>
    <w:rsid w:val="00B17D36"/>
    <w:rsid w:val="00B21D00"/>
    <w:rsid w:val="00B2201E"/>
    <w:rsid w:val="00B25D37"/>
    <w:rsid w:val="00B25FEA"/>
    <w:rsid w:val="00B2633E"/>
    <w:rsid w:val="00B26F03"/>
    <w:rsid w:val="00B30CAF"/>
    <w:rsid w:val="00B32DCA"/>
    <w:rsid w:val="00B32E37"/>
    <w:rsid w:val="00B33459"/>
    <w:rsid w:val="00B36B42"/>
    <w:rsid w:val="00B4008D"/>
    <w:rsid w:val="00B40851"/>
    <w:rsid w:val="00B40A27"/>
    <w:rsid w:val="00B40C39"/>
    <w:rsid w:val="00B424A2"/>
    <w:rsid w:val="00B4351D"/>
    <w:rsid w:val="00B43C68"/>
    <w:rsid w:val="00B442D1"/>
    <w:rsid w:val="00B44AD8"/>
    <w:rsid w:val="00B45943"/>
    <w:rsid w:val="00B45A45"/>
    <w:rsid w:val="00B46590"/>
    <w:rsid w:val="00B46DC3"/>
    <w:rsid w:val="00B50031"/>
    <w:rsid w:val="00B51966"/>
    <w:rsid w:val="00B52AD7"/>
    <w:rsid w:val="00B53979"/>
    <w:rsid w:val="00B539BF"/>
    <w:rsid w:val="00B539FE"/>
    <w:rsid w:val="00B53C07"/>
    <w:rsid w:val="00B53E6B"/>
    <w:rsid w:val="00B55B5F"/>
    <w:rsid w:val="00B55D60"/>
    <w:rsid w:val="00B56CCB"/>
    <w:rsid w:val="00B5765B"/>
    <w:rsid w:val="00B57B0F"/>
    <w:rsid w:val="00B57D38"/>
    <w:rsid w:val="00B57FBE"/>
    <w:rsid w:val="00B60936"/>
    <w:rsid w:val="00B613D9"/>
    <w:rsid w:val="00B62C90"/>
    <w:rsid w:val="00B62CEE"/>
    <w:rsid w:val="00B62E04"/>
    <w:rsid w:val="00B6361F"/>
    <w:rsid w:val="00B66CFB"/>
    <w:rsid w:val="00B6745F"/>
    <w:rsid w:val="00B75020"/>
    <w:rsid w:val="00B76FB7"/>
    <w:rsid w:val="00B81A9D"/>
    <w:rsid w:val="00B81AE1"/>
    <w:rsid w:val="00B835C1"/>
    <w:rsid w:val="00B84D07"/>
    <w:rsid w:val="00B852BE"/>
    <w:rsid w:val="00B85E4A"/>
    <w:rsid w:val="00B87745"/>
    <w:rsid w:val="00B87971"/>
    <w:rsid w:val="00B91739"/>
    <w:rsid w:val="00B92342"/>
    <w:rsid w:val="00B92379"/>
    <w:rsid w:val="00B93200"/>
    <w:rsid w:val="00B9363A"/>
    <w:rsid w:val="00B93F29"/>
    <w:rsid w:val="00B94FAC"/>
    <w:rsid w:val="00B95A58"/>
    <w:rsid w:val="00B967B6"/>
    <w:rsid w:val="00B96DA9"/>
    <w:rsid w:val="00B9718B"/>
    <w:rsid w:val="00B976D7"/>
    <w:rsid w:val="00BA1B4A"/>
    <w:rsid w:val="00BA2006"/>
    <w:rsid w:val="00BA21E0"/>
    <w:rsid w:val="00BA37E3"/>
    <w:rsid w:val="00BA39EB"/>
    <w:rsid w:val="00BA4893"/>
    <w:rsid w:val="00BA5AAA"/>
    <w:rsid w:val="00BA609F"/>
    <w:rsid w:val="00BA6ECA"/>
    <w:rsid w:val="00BA74A9"/>
    <w:rsid w:val="00BA799E"/>
    <w:rsid w:val="00BB167F"/>
    <w:rsid w:val="00BB1839"/>
    <w:rsid w:val="00BB2110"/>
    <w:rsid w:val="00BB497A"/>
    <w:rsid w:val="00BB5170"/>
    <w:rsid w:val="00BB778E"/>
    <w:rsid w:val="00BB7A83"/>
    <w:rsid w:val="00BC0053"/>
    <w:rsid w:val="00BC1F47"/>
    <w:rsid w:val="00BC225C"/>
    <w:rsid w:val="00BC237C"/>
    <w:rsid w:val="00BC45E6"/>
    <w:rsid w:val="00BC6465"/>
    <w:rsid w:val="00BC7436"/>
    <w:rsid w:val="00BC7D28"/>
    <w:rsid w:val="00BD076E"/>
    <w:rsid w:val="00BD0E77"/>
    <w:rsid w:val="00BD2A52"/>
    <w:rsid w:val="00BD448D"/>
    <w:rsid w:val="00BD462C"/>
    <w:rsid w:val="00BD6709"/>
    <w:rsid w:val="00BD6AA7"/>
    <w:rsid w:val="00BD72EE"/>
    <w:rsid w:val="00BD78C5"/>
    <w:rsid w:val="00BE1F96"/>
    <w:rsid w:val="00BE692E"/>
    <w:rsid w:val="00BE7AA8"/>
    <w:rsid w:val="00BF0978"/>
    <w:rsid w:val="00BF0A62"/>
    <w:rsid w:val="00BF0DA8"/>
    <w:rsid w:val="00BF19DF"/>
    <w:rsid w:val="00BF3ADF"/>
    <w:rsid w:val="00BF4961"/>
    <w:rsid w:val="00BF4B60"/>
    <w:rsid w:val="00BF581F"/>
    <w:rsid w:val="00BF5A65"/>
    <w:rsid w:val="00BF6B8D"/>
    <w:rsid w:val="00BF7B47"/>
    <w:rsid w:val="00C00AD0"/>
    <w:rsid w:val="00C0157E"/>
    <w:rsid w:val="00C02ED3"/>
    <w:rsid w:val="00C0322E"/>
    <w:rsid w:val="00C0340F"/>
    <w:rsid w:val="00C1014B"/>
    <w:rsid w:val="00C113C2"/>
    <w:rsid w:val="00C12065"/>
    <w:rsid w:val="00C120AE"/>
    <w:rsid w:val="00C13F4D"/>
    <w:rsid w:val="00C14EEB"/>
    <w:rsid w:val="00C1694C"/>
    <w:rsid w:val="00C1795A"/>
    <w:rsid w:val="00C20070"/>
    <w:rsid w:val="00C21D03"/>
    <w:rsid w:val="00C24B79"/>
    <w:rsid w:val="00C26C92"/>
    <w:rsid w:val="00C277C9"/>
    <w:rsid w:val="00C342F1"/>
    <w:rsid w:val="00C35017"/>
    <w:rsid w:val="00C351C2"/>
    <w:rsid w:val="00C36EF3"/>
    <w:rsid w:val="00C40A85"/>
    <w:rsid w:val="00C41382"/>
    <w:rsid w:val="00C417C3"/>
    <w:rsid w:val="00C42BDD"/>
    <w:rsid w:val="00C44171"/>
    <w:rsid w:val="00C45E7D"/>
    <w:rsid w:val="00C468F1"/>
    <w:rsid w:val="00C46F8D"/>
    <w:rsid w:val="00C47A7E"/>
    <w:rsid w:val="00C50203"/>
    <w:rsid w:val="00C56FA2"/>
    <w:rsid w:val="00C60FEF"/>
    <w:rsid w:val="00C638B6"/>
    <w:rsid w:val="00C63DDA"/>
    <w:rsid w:val="00C64143"/>
    <w:rsid w:val="00C657BD"/>
    <w:rsid w:val="00C65EC7"/>
    <w:rsid w:val="00C66857"/>
    <w:rsid w:val="00C677A8"/>
    <w:rsid w:val="00C67D0B"/>
    <w:rsid w:val="00C73AD3"/>
    <w:rsid w:val="00C80812"/>
    <w:rsid w:val="00C8212B"/>
    <w:rsid w:val="00C829A0"/>
    <w:rsid w:val="00C83C5B"/>
    <w:rsid w:val="00C83CA2"/>
    <w:rsid w:val="00C83EFF"/>
    <w:rsid w:val="00C84AA0"/>
    <w:rsid w:val="00C85D2C"/>
    <w:rsid w:val="00C902AF"/>
    <w:rsid w:val="00C9256F"/>
    <w:rsid w:val="00C92C5A"/>
    <w:rsid w:val="00C93F18"/>
    <w:rsid w:val="00C94C63"/>
    <w:rsid w:val="00C973A7"/>
    <w:rsid w:val="00CA016D"/>
    <w:rsid w:val="00CA06D5"/>
    <w:rsid w:val="00CA1140"/>
    <w:rsid w:val="00CA3A50"/>
    <w:rsid w:val="00CA3AA8"/>
    <w:rsid w:val="00CA4B0D"/>
    <w:rsid w:val="00CA4B31"/>
    <w:rsid w:val="00CA5FA4"/>
    <w:rsid w:val="00CB019F"/>
    <w:rsid w:val="00CB0C7C"/>
    <w:rsid w:val="00CB20E8"/>
    <w:rsid w:val="00CB2F4D"/>
    <w:rsid w:val="00CB4603"/>
    <w:rsid w:val="00CB51F1"/>
    <w:rsid w:val="00CB636A"/>
    <w:rsid w:val="00CB723B"/>
    <w:rsid w:val="00CC07DA"/>
    <w:rsid w:val="00CC1EE0"/>
    <w:rsid w:val="00CC29B6"/>
    <w:rsid w:val="00CC37BF"/>
    <w:rsid w:val="00CC5E43"/>
    <w:rsid w:val="00CC60D0"/>
    <w:rsid w:val="00CC6361"/>
    <w:rsid w:val="00CC6A7A"/>
    <w:rsid w:val="00CC6B05"/>
    <w:rsid w:val="00CC7753"/>
    <w:rsid w:val="00CC7CAF"/>
    <w:rsid w:val="00CC7EC0"/>
    <w:rsid w:val="00CD04CB"/>
    <w:rsid w:val="00CD106E"/>
    <w:rsid w:val="00CD12A4"/>
    <w:rsid w:val="00CD2080"/>
    <w:rsid w:val="00CD2523"/>
    <w:rsid w:val="00CD2C5F"/>
    <w:rsid w:val="00CD460F"/>
    <w:rsid w:val="00CD4B8A"/>
    <w:rsid w:val="00CD4BEA"/>
    <w:rsid w:val="00CD5134"/>
    <w:rsid w:val="00CD5243"/>
    <w:rsid w:val="00CD65C5"/>
    <w:rsid w:val="00CE39C5"/>
    <w:rsid w:val="00CE3C64"/>
    <w:rsid w:val="00CE44B4"/>
    <w:rsid w:val="00CF013F"/>
    <w:rsid w:val="00CF0AA3"/>
    <w:rsid w:val="00CF19E8"/>
    <w:rsid w:val="00CF32A5"/>
    <w:rsid w:val="00CF4467"/>
    <w:rsid w:val="00CF6010"/>
    <w:rsid w:val="00CF75F6"/>
    <w:rsid w:val="00D0060E"/>
    <w:rsid w:val="00D011C0"/>
    <w:rsid w:val="00D01685"/>
    <w:rsid w:val="00D01E28"/>
    <w:rsid w:val="00D02B90"/>
    <w:rsid w:val="00D03763"/>
    <w:rsid w:val="00D04948"/>
    <w:rsid w:val="00D056F6"/>
    <w:rsid w:val="00D058D5"/>
    <w:rsid w:val="00D0664A"/>
    <w:rsid w:val="00D07AAD"/>
    <w:rsid w:val="00D103FD"/>
    <w:rsid w:val="00D11E02"/>
    <w:rsid w:val="00D13F09"/>
    <w:rsid w:val="00D21236"/>
    <w:rsid w:val="00D23F76"/>
    <w:rsid w:val="00D258E4"/>
    <w:rsid w:val="00D2628A"/>
    <w:rsid w:val="00D26FAB"/>
    <w:rsid w:val="00D27771"/>
    <w:rsid w:val="00D27C8F"/>
    <w:rsid w:val="00D27FC2"/>
    <w:rsid w:val="00D3074D"/>
    <w:rsid w:val="00D3093E"/>
    <w:rsid w:val="00D31AD4"/>
    <w:rsid w:val="00D3224C"/>
    <w:rsid w:val="00D336AC"/>
    <w:rsid w:val="00D3520C"/>
    <w:rsid w:val="00D36305"/>
    <w:rsid w:val="00D36B5C"/>
    <w:rsid w:val="00D3778D"/>
    <w:rsid w:val="00D37927"/>
    <w:rsid w:val="00D41422"/>
    <w:rsid w:val="00D4536F"/>
    <w:rsid w:val="00D47445"/>
    <w:rsid w:val="00D50178"/>
    <w:rsid w:val="00D53DBF"/>
    <w:rsid w:val="00D54668"/>
    <w:rsid w:val="00D54A4E"/>
    <w:rsid w:val="00D55C96"/>
    <w:rsid w:val="00D55D4C"/>
    <w:rsid w:val="00D56FCD"/>
    <w:rsid w:val="00D605DF"/>
    <w:rsid w:val="00D61A01"/>
    <w:rsid w:val="00D66697"/>
    <w:rsid w:val="00D66717"/>
    <w:rsid w:val="00D70FF3"/>
    <w:rsid w:val="00D72D96"/>
    <w:rsid w:val="00D73F50"/>
    <w:rsid w:val="00D74378"/>
    <w:rsid w:val="00D80223"/>
    <w:rsid w:val="00D80CB3"/>
    <w:rsid w:val="00D84E9D"/>
    <w:rsid w:val="00D85A2E"/>
    <w:rsid w:val="00D87357"/>
    <w:rsid w:val="00D87C6F"/>
    <w:rsid w:val="00D91497"/>
    <w:rsid w:val="00D95675"/>
    <w:rsid w:val="00D95DD2"/>
    <w:rsid w:val="00D961CB"/>
    <w:rsid w:val="00D97CE1"/>
    <w:rsid w:val="00DA1322"/>
    <w:rsid w:val="00DA24BE"/>
    <w:rsid w:val="00DA252E"/>
    <w:rsid w:val="00DA2E9C"/>
    <w:rsid w:val="00DA5356"/>
    <w:rsid w:val="00DA6974"/>
    <w:rsid w:val="00DB0805"/>
    <w:rsid w:val="00DB09BA"/>
    <w:rsid w:val="00DB1842"/>
    <w:rsid w:val="00DB2210"/>
    <w:rsid w:val="00DB42BB"/>
    <w:rsid w:val="00DB79EF"/>
    <w:rsid w:val="00DB7B96"/>
    <w:rsid w:val="00DC11E8"/>
    <w:rsid w:val="00DC186C"/>
    <w:rsid w:val="00DC3365"/>
    <w:rsid w:val="00DC4C89"/>
    <w:rsid w:val="00DC5955"/>
    <w:rsid w:val="00DC6BBC"/>
    <w:rsid w:val="00DC704F"/>
    <w:rsid w:val="00DD0B6F"/>
    <w:rsid w:val="00DD19A5"/>
    <w:rsid w:val="00DD1E99"/>
    <w:rsid w:val="00DD28A9"/>
    <w:rsid w:val="00DD32DA"/>
    <w:rsid w:val="00DD33AB"/>
    <w:rsid w:val="00DD3942"/>
    <w:rsid w:val="00DD40B4"/>
    <w:rsid w:val="00DD4615"/>
    <w:rsid w:val="00DD4F9A"/>
    <w:rsid w:val="00DD5CF2"/>
    <w:rsid w:val="00DD6DB6"/>
    <w:rsid w:val="00DD70F8"/>
    <w:rsid w:val="00DE28ED"/>
    <w:rsid w:val="00DE2E18"/>
    <w:rsid w:val="00DE2FF8"/>
    <w:rsid w:val="00DE3101"/>
    <w:rsid w:val="00DE3928"/>
    <w:rsid w:val="00DE44AE"/>
    <w:rsid w:val="00DE463D"/>
    <w:rsid w:val="00DE48FD"/>
    <w:rsid w:val="00DE5892"/>
    <w:rsid w:val="00DE5A1C"/>
    <w:rsid w:val="00DE74B5"/>
    <w:rsid w:val="00DF03CC"/>
    <w:rsid w:val="00DF270B"/>
    <w:rsid w:val="00DF2D67"/>
    <w:rsid w:val="00DF2ECF"/>
    <w:rsid w:val="00DF4285"/>
    <w:rsid w:val="00DF4A15"/>
    <w:rsid w:val="00DF5C5F"/>
    <w:rsid w:val="00DF5D83"/>
    <w:rsid w:val="00DF6EDE"/>
    <w:rsid w:val="00E00032"/>
    <w:rsid w:val="00E01377"/>
    <w:rsid w:val="00E0174E"/>
    <w:rsid w:val="00E02AAB"/>
    <w:rsid w:val="00E02CC5"/>
    <w:rsid w:val="00E03AD6"/>
    <w:rsid w:val="00E03CA5"/>
    <w:rsid w:val="00E0461A"/>
    <w:rsid w:val="00E05018"/>
    <w:rsid w:val="00E053DA"/>
    <w:rsid w:val="00E0687F"/>
    <w:rsid w:val="00E10584"/>
    <w:rsid w:val="00E10AA9"/>
    <w:rsid w:val="00E12ED0"/>
    <w:rsid w:val="00E13D7C"/>
    <w:rsid w:val="00E145B2"/>
    <w:rsid w:val="00E146A3"/>
    <w:rsid w:val="00E2025C"/>
    <w:rsid w:val="00E20D61"/>
    <w:rsid w:val="00E219C6"/>
    <w:rsid w:val="00E2267F"/>
    <w:rsid w:val="00E22874"/>
    <w:rsid w:val="00E24A7E"/>
    <w:rsid w:val="00E255D0"/>
    <w:rsid w:val="00E2635A"/>
    <w:rsid w:val="00E26C50"/>
    <w:rsid w:val="00E27CFC"/>
    <w:rsid w:val="00E3052E"/>
    <w:rsid w:val="00E317EB"/>
    <w:rsid w:val="00E319FE"/>
    <w:rsid w:val="00E31B4B"/>
    <w:rsid w:val="00E31DD2"/>
    <w:rsid w:val="00E3447E"/>
    <w:rsid w:val="00E34AF9"/>
    <w:rsid w:val="00E35EC8"/>
    <w:rsid w:val="00E37064"/>
    <w:rsid w:val="00E37AE3"/>
    <w:rsid w:val="00E4019B"/>
    <w:rsid w:val="00E42620"/>
    <w:rsid w:val="00E44357"/>
    <w:rsid w:val="00E4582A"/>
    <w:rsid w:val="00E45CCE"/>
    <w:rsid w:val="00E47F5E"/>
    <w:rsid w:val="00E51064"/>
    <w:rsid w:val="00E5145C"/>
    <w:rsid w:val="00E51A6F"/>
    <w:rsid w:val="00E51E73"/>
    <w:rsid w:val="00E55846"/>
    <w:rsid w:val="00E55C3E"/>
    <w:rsid w:val="00E60D6F"/>
    <w:rsid w:val="00E625D4"/>
    <w:rsid w:val="00E6269F"/>
    <w:rsid w:val="00E632FE"/>
    <w:rsid w:val="00E6473D"/>
    <w:rsid w:val="00E64C89"/>
    <w:rsid w:val="00E660B0"/>
    <w:rsid w:val="00E661F3"/>
    <w:rsid w:val="00E67891"/>
    <w:rsid w:val="00E70BDC"/>
    <w:rsid w:val="00E726C1"/>
    <w:rsid w:val="00E731C7"/>
    <w:rsid w:val="00E738B2"/>
    <w:rsid w:val="00E7508D"/>
    <w:rsid w:val="00E80A0E"/>
    <w:rsid w:val="00E813DF"/>
    <w:rsid w:val="00E81AB6"/>
    <w:rsid w:val="00E836D1"/>
    <w:rsid w:val="00E86560"/>
    <w:rsid w:val="00E90285"/>
    <w:rsid w:val="00E90A56"/>
    <w:rsid w:val="00E91841"/>
    <w:rsid w:val="00E91A2B"/>
    <w:rsid w:val="00E92EC9"/>
    <w:rsid w:val="00E9556A"/>
    <w:rsid w:val="00E957D9"/>
    <w:rsid w:val="00E95E48"/>
    <w:rsid w:val="00E95EE9"/>
    <w:rsid w:val="00E964B1"/>
    <w:rsid w:val="00E97D81"/>
    <w:rsid w:val="00E97F7D"/>
    <w:rsid w:val="00EA027C"/>
    <w:rsid w:val="00EA14FF"/>
    <w:rsid w:val="00EA1F5C"/>
    <w:rsid w:val="00EA5935"/>
    <w:rsid w:val="00EA5D09"/>
    <w:rsid w:val="00EA711A"/>
    <w:rsid w:val="00EA781F"/>
    <w:rsid w:val="00EB0426"/>
    <w:rsid w:val="00EB352B"/>
    <w:rsid w:val="00EB38D6"/>
    <w:rsid w:val="00EB4EAA"/>
    <w:rsid w:val="00EB70D6"/>
    <w:rsid w:val="00EB7655"/>
    <w:rsid w:val="00EB7D66"/>
    <w:rsid w:val="00EC04E9"/>
    <w:rsid w:val="00EC23D4"/>
    <w:rsid w:val="00EC261D"/>
    <w:rsid w:val="00EC3267"/>
    <w:rsid w:val="00EC43AC"/>
    <w:rsid w:val="00EC58F8"/>
    <w:rsid w:val="00EC71CB"/>
    <w:rsid w:val="00EC7907"/>
    <w:rsid w:val="00ED0C02"/>
    <w:rsid w:val="00ED165D"/>
    <w:rsid w:val="00ED1BB8"/>
    <w:rsid w:val="00ED2FFF"/>
    <w:rsid w:val="00ED35E4"/>
    <w:rsid w:val="00ED3D5E"/>
    <w:rsid w:val="00ED4402"/>
    <w:rsid w:val="00EE0318"/>
    <w:rsid w:val="00EE11C9"/>
    <w:rsid w:val="00EE39E9"/>
    <w:rsid w:val="00EE3A3D"/>
    <w:rsid w:val="00EE3B34"/>
    <w:rsid w:val="00EE50A8"/>
    <w:rsid w:val="00EE5770"/>
    <w:rsid w:val="00EE6B6C"/>
    <w:rsid w:val="00EE7AFE"/>
    <w:rsid w:val="00EF3236"/>
    <w:rsid w:val="00EF680A"/>
    <w:rsid w:val="00EF7465"/>
    <w:rsid w:val="00EF756F"/>
    <w:rsid w:val="00EF7BA5"/>
    <w:rsid w:val="00EF7F48"/>
    <w:rsid w:val="00F003AD"/>
    <w:rsid w:val="00F00740"/>
    <w:rsid w:val="00F00F0E"/>
    <w:rsid w:val="00F02314"/>
    <w:rsid w:val="00F04F3F"/>
    <w:rsid w:val="00F05588"/>
    <w:rsid w:val="00F0732B"/>
    <w:rsid w:val="00F07DED"/>
    <w:rsid w:val="00F11101"/>
    <w:rsid w:val="00F1200B"/>
    <w:rsid w:val="00F1562D"/>
    <w:rsid w:val="00F15F05"/>
    <w:rsid w:val="00F1774F"/>
    <w:rsid w:val="00F22E3D"/>
    <w:rsid w:val="00F22F30"/>
    <w:rsid w:val="00F233E3"/>
    <w:rsid w:val="00F23B45"/>
    <w:rsid w:val="00F23DB6"/>
    <w:rsid w:val="00F23F11"/>
    <w:rsid w:val="00F23F2C"/>
    <w:rsid w:val="00F278DA"/>
    <w:rsid w:val="00F31D04"/>
    <w:rsid w:val="00F33204"/>
    <w:rsid w:val="00F339B8"/>
    <w:rsid w:val="00F34002"/>
    <w:rsid w:val="00F34B56"/>
    <w:rsid w:val="00F350FB"/>
    <w:rsid w:val="00F40A20"/>
    <w:rsid w:val="00F40AB9"/>
    <w:rsid w:val="00F413E5"/>
    <w:rsid w:val="00F415B6"/>
    <w:rsid w:val="00F419A5"/>
    <w:rsid w:val="00F4330C"/>
    <w:rsid w:val="00F442EF"/>
    <w:rsid w:val="00F44FF9"/>
    <w:rsid w:val="00F452EB"/>
    <w:rsid w:val="00F45545"/>
    <w:rsid w:val="00F456F9"/>
    <w:rsid w:val="00F4609B"/>
    <w:rsid w:val="00F4625C"/>
    <w:rsid w:val="00F46770"/>
    <w:rsid w:val="00F47066"/>
    <w:rsid w:val="00F47A2A"/>
    <w:rsid w:val="00F5055C"/>
    <w:rsid w:val="00F512C8"/>
    <w:rsid w:val="00F516AC"/>
    <w:rsid w:val="00F517C5"/>
    <w:rsid w:val="00F536B1"/>
    <w:rsid w:val="00F553ED"/>
    <w:rsid w:val="00F55BE5"/>
    <w:rsid w:val="00F56C0E"/>
    <w:rsid w:val="00F57796"/>
    <w:rsid w:val="00F57B2E"/>
    <w:rsid w:val="00F60E9B"/>
    <w:rsid w:val="00F615DF"/>
    <w:rsid w:val="00F616F2"/>
    <w:rsid w:val="00F62F1E"/>
    <w:rsid w:val="00F63710"/>
    <w:rsid w:val="00F64597"/>
    <w:rsid w:val="00F64ABA"/>
    <w:rsid w:val="00F65F69"/>
    <w:rsid w:val="00F703C9"/>
    <w:rsid w:val="00F7049A"/>
    <w:rsid w:val="00F7194B"/>
    <w:rsid w:val="00F71C11"/>
    <w:rsid w:val="00F722AF"/>
    <w:rsid w:val="00F72629"/>
    <w:rsid w:val="00F73471"/>
    <w:rsid w:val="00F7394F"/>
    <w:rsid w:val="00F75445"/>
    <w:rsid w:val="00F758D4"/>
    <w:rsid w:val="00F772B9"/>
    <w:rsid w:val="00F772C0"/>
    <w:rsid w:val="00F802E4"/>
    <w:rsid w:val="00F80468"/>
    <w:rsid w:val="00F81F65"/>
    <w:rsid w:val="00F82686"/>
    <w:rsid w:val="00F83BB4"/>
    <w:rsid w:val="00F85A89"/>
    <w:rsid w:val="00F85E83"/>
    <w:rsid w:val="00F85E9F"/>
    <w:rsid w:val="00F860B6"/>
    <w:rsid w:val="00F865D4"/>
    <w:rsid w:val="00F86B69"/>
    <w:rsid w:val="00F8702A"/>
    <w:rsid w:val="00F902C9"/>
    <w:rsid w:val="00F903A4"/>
    <w:rsid w:val="00F92B5B"/>
    <w:rsid w:val="00F940A6"/>
    <w:rsid w:val="00F94CAA"/>
    <w:rsid w:val="00F94E38"/>
    <w:rsid w:val="00F9595D"/>
    <w:rsid w:val="00F95CE4"/>
    <w:rsid w:val="00F96856"/>
    <w:rsid w:val="00F96E7E"/>
    <w:rsid w:val="00F97308"/>
    <w:rsid w:val="00F974D7"/>
    <w:rsid w:val="00F97A2B"/>
    <w:rsid w:val="00FA2363"/>
    <w:rsid w:val="00FA278F"/>
    <w:rsid w:val="00FA3549"/>
    <w:rsid w:val="00FA414A"/>
    <w:rsid w:val="00FA504B"/>
    <w:rsid w:val="00FA55DE"/>
    <w:rsid w:val="00FA6BCF"/>
    <w:rsid w:val="00FA7B3C"/>
    <w:rsid w:val="00FB05F9"/>
    <w:rsid w:val="00FB098E"/>
    <w:rsid w:val="00FB0E15"/>
    <w:rsid w:val="00FB0EE5"/>
    <w:rsid w:val="00FB1467"/>
    <w:rsid w:val="00FB15BF"/>
    <w:rsid w:val="00FB2043"/>
    <w:rsid w:val="00FB3336"/>
    <w:rsid w:val="00FB7334"/>
    <w:rsid w:val="00FC0D7E"/>
    <w:rsid w:val="00FC4075"/>
    <w:rsid w:val="00FC423F"/>
    <w:rsid w:val="00FC4804"/>
    <w:rsid w:val="00FC6352"/>
    <w:rsid w:val="00FC7B0E"/>
    <w:rsid w:val="00FC7DFF"/>
    <w:rsid w:val="00FD1BF1"/>
    <w:rsid w:val="00FD274A"/>
    <w:rsid w:val="00FD2E25"/>
    <w:rsid w:val="00FD3927"/>
    <w:rsid w:val="00FD42DD"/>
    <w:rsid w:val="00FD44B2"/>
    <w:rsid w:val="00FD635B"/>
    <w:rsid w:val="00FD72C5"/>
    <w:rsid w:val="00FD73E5"/>
    <w:rsid w:val="00FE241A"/>
    <w:rsid w:val="00FE2EAC"/>
    <w:rsid w:val="00FE3E37"/>
    <w:rsid w:val="00FE4940"/>
    <w:rsid w:val="00FE5514"/>
    <w:rsid w:val="00FE5546"/>
    <w:rsid w:val="00FE779C"/>
    <w:rsid w:val="00FF035C"/>
    <w:rsid w:val="00FF06F5"/>
    <w:rsid w:val="00FF196A"/>
    <w:rsid w:val="00FF297E"/>
    <w:rsid w:val="00FF41B7"/>
    <w:rsid w:val="00FF5BE0"/>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12EEE26"/>
  <w15:docId w15:val="{0777D7CA-D53D-4EE6-A80A-A1CC1027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Cite" w:uiPriority="99"/>
    <w:lsdException w:name="HTML Preformatted" w:uiPriority="99"/>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tutory 1"/>
    <w:rsid w:val="00BF19DF"/>
    <w:pPr>
      <w:spacing w:after="120"/>
    </w:pPr>
    <w:rPr>
      <w:rFonts w:ascii="Arial" w:hAnsi="Arial"/>
      <w:sz w:val="24"/>
      <w:szCs w:val="22"/>
    </w:rPr>
  </w:style>
  <w:style w:type="paragraph" w:styleId="Heading1">
    <w:name w:val="heading 1"/>
    <w:basedOn w:val="ListParagraph"/>
    <w:next w:val="Normal"/>
    <w:link w:val="Heading1Char"/>
    <w:uiPriority w:val="9"/>
    <w:qFormat/>
    <w:rsid w:val="00B03341"/>
    <w:pPr>
      <w:numPr>
        <w:numId w:val="17"/>
      </w:numPr>
      <w:tabs>
        <w:tab w:val="left" w:pos="720"/>
      </w:tabs>
      <w:spacing w:after="0" w:line="360" w:lineRule="auto"/>
      <w:contextualSpacing w:val="0"/>
      <w:outlineLvl w:val="0"/>
    </w:pPr>
    <w:rPr>
      <w:rFonts w:eastAsia="Times New Roman"/>
      <w:b/>
      <w:bCs/>
      <w:sz w:val="32"/>
      <w:szCs w:val="32"/>
    </w:rPr>
  </w:style>
  <w:style w:type="paragraph" w:styleId="Heading2">
    <w:name w:val="heading 2"/>
    <w:basedOn w:val="Heading1"/>
    <w:next w:val="0-NORMAL"/>
    <w:link w:val="Heading2Char"/>
    <w:uiPriority w:val="9"/>
    <w:qFormat/>
    <w:rsid w:val="00C02ED3"/>
    <w:pPr>
      <w:numPr>
        <w:ilvl w:val="1"/>
      </w:numPr>
      <w:ind w:left="1224" w:hanging="864"/>
      <w:outlineLvl w:val="1"/>
    </w:pPr>
    <w:rPr>
      <w:sz w:val="28"/>
    </w:rPr>
  </w:style>
  <w:style w:type="paragraph" w:styleId="Heading3">
    <w:name w:val="heading 3"/>
    <w:basedOn w:val="Heading2"/>
    <w:next w:val="Normal"/>
    <w:link w:val="Heading3Char"/>
    <w:uiPriority w:val="9"/>
    <w:unhideWhenUsed/>
    <w:qFormat/>
    <w:rsid w:val="00DE2FF8"/>
    <w:pPr>
      <w:numPr>
        <w:ilvl w:val="2"/>
      </w:numPr>
      <w:spacing w:line="240" w:lineRule="auto"/>
      <w:outlineLvl w:val="2"/>
    </w:pPr>
    <w:rPr>
      <w:u w:color="5B9BD5"/>
    </w:rPr>
  </w:style>
  <w:style w:type="paragraph" w:styleId="Heading40">
    <w:name w:val="heading 4"/>
    <w:basedOn w:val="Normal"/>
    <w:next w:val="Normal"/>
    <w:link w:val="Heading4Char"/>
    <w:semiHidden/>
    <w:unhideWhenUsed/>
    <w:qFormat/>
    <w:rsid w:val="00665BF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semiHidden/>
    <w:unhideWhenUsed/>
    <w:qFormat/>
    <w:rsid w:val="002C7082"/>
    <w:pPr>
      <w:keepNext/>
      <w:keepLines/>
      <w:spacing w:before="40" w:after="0"/>
      <w:outlineLvl w:val="4"/>
    </w:pPr>
    <w:rPr>
      <w:rFonts w:ascii="Calibri Light" w:hAnsi="Calibri Light"/>
      <w:color w:val="2E74B5"/>
    </w:rPr>
  </w:style>
  <w:style w:type="paragraph" w:styleId="Heading6">
    <w:name w:val="heading 6"/>
    <w:basedOn w:val="Normal"/>
    <w:next w:val="Normal"/>
    <w:link w:val="Heading6Char"/>
    <w:semiHidden/>
    <w:unhideWhenUsed/>
    <w:qFormat/>
    <w:rsid w:val="00C02ED3"/>
    <w:pPr>
      <w:spacing w:before="240" w:after="60"/>
      <w:outlineLvl w:val="5"/>
    </w:pPr>
    <w:rPr>
      <w:rFonts w:ascii="Calibri" w:hAnsi="Calibri"/>
      <w:b/>
      <w:bCs/>
      <w:sz w:val="22"/>
    </w:rPr>
  </w:style>
  <w:style w:type="paragraph" w:styleId="Heading7">
    <w:name w:val="heading 7"/>
    <w:basedOn w:val="Normal"/>
    <w:next w:val="Normal"/>
    <w:link w:val="Heading7Char"/>
    <w:semiHidden/>
    <w:unhideWhenUsed/>
    <w:qFormat/>
    <w:rsid w:val="00C02ED3"/>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C02ED3"/>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qFormat/>
    <w:rsid w:val="00DC3365"/>
    <w:pPr>
      <w:jc w:val="center"/>
      <w:outlineLvl w:val="0"/>
    </w:pPr>
    <w:rPr>
      <w:rFonts w:cs="Arial"/>
      <w:b/>
      <w:bCs/>
      <w:kern w:val="28"/>
      <w:sz w:val="44"/>
      <w:szCs w:val="44"/>
    </w:rPr>
  </w:style>
  <w:style w:type="paragraph" w:styleId="Subtitle">
    <w:name w:val="Subtitle"/>
    <w:aliases w:val="Subtitle 1"/>
    <w:basedOn w:val="TOC1"/>
    <w:next w:val="Normal"/>
    <w:link w:val="SubtitleChar"/>
    <w:autoRedefine/>
    <w:qFormat/>
    <w:rsid w:val="00E24A7E"/>
    <w:pPr>
      <w:ind w:left="432"/>
      <w:outlineLvl w:val="0"/>
    </w:pPr>
    <w:rPr>
      <w:rFonts w:cs="Times New Roman"/>
      <w:bCs w:val="0"/>
      <w:sz w:val="28"/>
      <w:szCs w:val="28"/>
    </w:rPr>
  </w:style>
  <w:style w:type="paragraph" w:customStyle="1" w:styleId="AuthorName">
    <w:name w:val="Author Name"/>
    <w:basedOn w:val="Normal"/>
    <w:rsid w:val="00506531"/>
    <w:pPr>
      <w:jc w:val="center"/>
    </w:pPr>
    <w:rPr>
      <w:sz w:val="36"/>
    </w:rPr>
  </w:style>
  <w:style w:type="paragraph" w:customStyle="1" w:styleId="Headsforfront">
    <w:name w:val="Heads for front"/>
    <w:basedOn w:val="Normal"/>
    <w:autoRedefine/>
    <w:rsid w:val="00F63710"/>
    <w:pPr>
      <w:spacing w:after="360"/>
      <w:contextualSpacing/>
      <w:jc w:val="center"/>
    </w:pPr>
    <w:rPr>
      <w:b/>
      <w:szCs w:val="24"/>
    </w:rPr>
  </w:style>
  <w:style w:type="paragraph" w:customStyle="1" w:styleId="NoIndentnormal">
    <w:name w:val="No Indent normal"/>
    <w:basedOn w:val="Normal"/>
    <w:rsid w:val="00506531"/>
  </w:style>
  <w:style w:type="paragraph" w:customStyle="1" w:styleId="Tableofcontents">
    <w:name w:val="Table of contents"/>
    <w:basedOn w:val="Normal"/>
    <w:rsid w:val="00506531"/>
    <w:pPr>
      <w:tabs>
        <w:tab w:val="right" w:leader="dot" w:pos="7920"/>
      </w:tabs>
      <w:spacing w:line="360" w:lineRule="auto"/>
    </w:pPr>
    <w:rPr>
      <w:szCs w:val="24"/>
    </w:rPr>
  </w:style>
  <w:style w:type="paragraph" w:customStyle="1" w:styleId="Chapterheads">
    <w:name w:val="Chapter heads"/>
    <w:basedOn w:val="Headsforfront"/>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rsid w:val="00AB7461"/>
    <w:pPr>
      <w:jc w:val="center"/>
    </w:pPr>
    <w:rPr>
      <w:sz w:val="20"/>
    </w:rPr>
  </w:style>
  <w:style w:type="character" w:styleId="PageNumber">
    <w:name w:val="page number"/>
    <w:basedOn w:val="DefaultParagraphFont"/>
    <w:rsid w:val="00AB7461"/>
  </w:style>
  <w:style w:type="paragraph" w:customStyle="1" w:styleId="NormalParagraphStyle">
    <w:name w:val="NormalParagraphStyle"/>
    <w:basedOn w:val="Normal"/>
    <w:rsid w:val="00597492"/>
    <w:pPr>
      <w:autoSpaceDE w:val="0"/>
      <w:autoSpaceDN w:val="0"/>
      <w:adjustRightInd w:val="0"/>
      <w:spacing w:line="288" w:lineRule="auto"/>
      <w:textAlignment w:val="center"/>
    </w:pPr>
    <w:rPr>
      <w:color w:val="000000"/>
      <w:szCs w:val="24"/>
    </w:rPr>
  </w:style>
  <w:style w:type="character" w:styleId="Hyperlink">
    <w:name w:val="Hyperlink"/>
    <w:uiPriority w:val="99"/>
    <w:rsid w:val="00176682"/>
    <w:rPr>
      <w:color w:val="0000FF"/>
      <w:u w:val="single"/>
    </w:rPr>
  </w:style>
  <w:style w:type="character" w:styleId="FollowedHyperlink">
    <w:name w:val="FollowedHyperlink"/>
    <w:uiPriority w:val="99"/>
    <w:rsid w:val="00436CE3"/>
    <w:rPr>
      <w:color w:val="800080"/>
      <w:u w:val="single"/>
    </w:rPr>
  </w:style>
  <w:style w:type="character" w:customStyle="1" w:styleId="StyleBold">
    <w:name w:val="Style Bold"/>
    <w:rsid w:val="009A7115"/>
    <w:rPr>
      <w:b/>
      <w:bCs/>
    </w:rPr>
  </w:style>
  <w:style w:type="paragraph" w:customStyle="1" w:styleId="StyleTableofcontentsLeft05">
    <w:name w:val="Style Table of contents + Left:  0.5&quot;"/>
    <w:basedOn w:val="Tableofcontents"/>
    <w:rsid w:val="00506531"/>
    <w:pPr>
      <w:tabs>
        <w:tab w:val="clear" w:pos="7920"/>
        <w:tab w:val="right" w:leader="dot" w:pos="8280"/>
      </w:tabs>
      <w:ind w:left="720"/>
    </w:pPr>
    <w:rPr>
      <w:szCs w:val="20"/>
    </w:rPr>
  </w:style>
  <w:style w:type="character" w:customStyle="1" w:styleId="Heading1Char">
    <w:name w:val="Heading 1 Char"/>
    <w:link w:val="Heading1"/>
    <w:uiPriority w:val="9"/>
    <w:rsid w:val="00C02ED3"/>
    <w:rPr>
      <w:b/>
      <w:bCs/>
      <w:sz w:val="32"/>
      <w:szCs w:val="32"/>
    </w:rPr>
  </w:style>
  <w:style w:type="paragraph" w:styleId="NoSpacing">
    <w:name w:val="No Spacing"/>
    <w:uiPriority w:val="1"/>
    <w:qFormat/>
    <w:rsid w:val="003A4180"/>
    <w:rPr>
      <w:rFonts w:ascii="Calibri" w:eastAsia="Calibri" w:hAnsi="Calibri"/>
      <w:sz w:val="24"/>
      <w:szCs w:val="22"/>
    </w:rPr>
  </w:style>
  <w:style w:type="paragraph" w:styleId="EndnoteText">
    <w:name w:val="endnote text"/>
    <w:basedOn w:val="Normal"/>
    <w:link w:val="EndnoteTextChar"/>
    <w:uiPriority w:val="99"/>
    <w:unhideWhenUsed/>
    <w:rsid w:val="003A4180"/>
    <w:rPr>
      <w:rFonts w:ascii="Calibri" w:eastAsia="Calibri" w:hAnsi="Calibri"/>
      <w:sz w:val="20"/>
      <w:szCs w:val="20"/>
    </w:rPr>
  </w:style>
  <w:style w:type="character" w:customStyle="1" w:styleId="EndnoteTextChar">
    <w:name w:val="Endnote Text Char"/>
    <w:link w:val="EndnoteText"/>
    <w:uiPriority w:val="99"/>
    <w:rsid w:val="003A4180"/>
    <w:rPr>
      <w:rFonts w:ascii="Calibri" w:eastAsia="Calibri" w:hAnsi="Calibri" w:cs="Times New Roman"/>
    </w:rPr>
  </w:style>
  <w:style w:type="character" w:styleId="EndnoteReference">
    <w:name w:val="endnote reference"/>
    <w:uiPriority w:val="99"/>
    <w:unhideWhenUsed/>
    <w:rsid w:val="003A4180"/>
    <w:rPr>
      <w:vertAlign w:val="superscript"/>
    </w:rPr>
  </w:style>
  <w:style w:type="paragraph" w:styleId="NormalWeb">
    <w:name w:val="Normal (Web)"/>
    <w:basedOn w:val="Normal"/>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rsid w:val="003A4180"/>
  </w:style>
  <w:style w:type="paragraph" w:styleId="ListParagraph">
    <w:name w:val="List Paragraph"/>
    <w:basedOn w:val="Normal"/>
    <w:uiPriority w:val="34"/>
    <w:qFormat/>
    <w:rsid w:val="007835A1"/>
    <w:pPr>
      <w:numPr>
        <w:numId w:val="18"/>
      </w:numPr>
      <w:spacing w:after="160" w:line="259" w:lineRule="auto"/>
      <w:contextualSpacing/>
    </w:pPr>
    <w:rPr>
      <w:rFonts w:ascii="Times New Roman" w:eastAsia="Calibri" w:hAnsi="Times New Roman"/>
    </w:rPr>
  </w:style>
  <w:style w:type="character" w:customStyle="1" w:styleId="enumbell">
    <w:name w:val="enumbell"/>
    <w:basedOn w:val="DefaultParagraphFont"/>
    <w:rsid w:val="003A4180"/>
  </w:style>
  <w:style w:type="character" w:customStyle="1" w:styleId="ptext-">
    <w:name w:val="ptext-"/>
    <w:basedOn w:val="DefaultParagraphFont"/>
    <w:rsid w:val="003A4180"/>
  </w:style>
  <w:style w:type="paragraph" w:styleId="BodyTextIndent">
    <w:name w:val="Body Text Indent"/>
    <w:basedOn w:val="Normal"/>
    <w:link w:val="BodyTextIndentChar"/>
    <w:rsid w:val="003A4180"/>
    <w:pPr>
      <w:suppressAutoHyphens/>
      <w:ind w:left="1440" w:hanging="1440"/>
    </w:pPr>
    <w:rPr>
      <w:szCs w:val="20"/>
      <w:lang w:eastAsia="ar-SA"/>
    </w:rPr>
  </w:style>
  <w:style w:type="character" w:customStyle="1" w:styleId="BodyTextIndentChar">
    <w:name w:val="Body Text Indent Char"/>
    <w:link w:val="BodyTextIndent"/>
    <w:rsid w:val="003A4180"/>
    <w:rPr>
      <w:sz w:val="24"/>
      <w:lang w:eastAsia="ar-SA"/>
    </w:rPr>
  </w:style>
  <w:style w:type="paragraph" w:customStyle="1" w:styleId="section">
    <w:name w:val="section"/>
    <w:basedOn w:val="Normal"/>
    <w:rsid w:val="003A4180"/>
    <w:pPr>
      <w:spacing w:before="100" w:beforeAutospacing="1" w:after="100" w:afterAutospacing="1"/>
    </w:pPr>
    <w:rPr>
      <w:szCs w:val="24"/>
    </w:rPr>
  </w:style>
  <w:style w:type="paragraph" w:customStyle="1" w:styleId="subsection">
    <w:name w:val="subsection"/>
    <w:basedOn w:val="Normal"/>
    <w:rsid w:val="003A4180"/>
    <w:pPr>
      <w:spacing w:before="100" w:beforeAutospacing="1" w:after="100" w:afterAutospacing="1"/>
    </w:pPr>
    <w:rPr>
      <w:szCs w:val="24"/>
    </w:rPr>
  </w:style>
  <w:style w:type="paragraph" w:customStyle="1" w:styleId="text-level3">
    <w:name w:val="text-level3"/>
    <w:basedOn w:val="Normal"/>
    <w:rsid w:val="003A4180"/>
    <w:pPr>
      <w:spacing w:before="100" w:beforeAutospacing="1" w:after="100" w:afterAutospacing="1"/>
    </w:pPr>
    <w:rPr>
      <w:szCs w:val="24"/>
    </w:rPr>
  </w:style>
  <w:style w:type="paragraph" w:customStyle="1" w:styleId="text-level1">
    <w:name w:val="text-level1"/>
    <w:basedOn w:val="Normal"/>
    <w:rsid w:val="003A4180"/>
    <w:pPr>
      <w:spacing w:before="100" w:beforeAutospacing="1" w:after="100" w:afterAutospacing="1"/>
    </w:pPr>
    <w:rPr>
      <w:szCs w:val="24"/>
    </w:rPr>
  </w:style>
  <w:style w:type="paragraph" w:customStyle="1" w:styleId="text-level2">
    <w:name w:val="text-level2"/>
    <w:basedOn w:val="Normal"/>
    <w:rsid w:val="003A4180"/>
    <w:pPr>
      <w:spacing w:before="100" w:beforeAutospacing="1" w:after="100" w:afterAutospacing="1"/>
    </w:pPr>
    <w:rPr>
      <w:szCs w:val="24"/>
    </w:rPr>
  </w:style>
  <w:style w:type="character" w:customStyle="1" w:styleId="HeaderChar">
    <w:name w:val="Header Char"/>
    <w:link w:val="Header"/>
    <w:uiPriority w:val="99"/>
    <w:rsid w:val="003A4180"/>
    <w:rPr>
      <w:sz w:val="24"/>
      <w:szCs w:val="22"/>
    </w:rPr>
  </w:style>
  <w:style w:type="character" w:customStyle="1" w:styleId="FooterChar">
    <w:name w:val="Footer Char"/>
    <w:link w:val="Footer"/>
    <w:uiPriority w:val="99"/>
    <w:rsid w:val="003A4180"/>
    <w:rPr>
      <w:sz w:val="24"/>
      <w:szCs w:val="22"/>
    </w:rPr>
  </w:style>
  <w:style w:type="character" w:styleId="Strong">
    <w:name w:val="Strong"/>
    <w:qFormat/>
    <w:rsid w:val="008D5803"/>
    <w:rPr>
      <w:b/>
      <w:bCs/>
    </w:rPr>
  </w:style>
  <w:style w:type="paragraph" w:styleId="TOC1">
    <w:name w:val="toc 1"/>
    <w:basedOn w:val="Normal"/>
    <w:next w:val="Normal"/>
    <w:autoRedefine/>
    <w:uiPriority w:val="39"/>
    <w:rsid w:val="00671FAD"/>
    <w:pPr>
      <w:spacing w:before="240"/>
    </w:pPr>
    <w:rPr>
      <w:rFonts w:ascii="Times New Roman" w:hAnsi="Times New Roman" w:cs="Calibri"/>
      <w:b/>
      <w:bCs/>
      <w:color w:val="000000" w:themeColor="text1"/>
      <w:szCs w:val="20"/>
    </w:rPr>
  </w:style>
  <w:style w:type="paragraph" w:styleId="NormalIndent">
    <w:name w:val="Normal Indent"/>
    <w:basedOn w:val="Normal"/>
    <w:rsid w:val="003A4180"/>
    <w:pPr>
      <w:ind w:left="720"/>
    </w:pPr>
  </w:style>
  <w:style w:type="paragraph" w:customStyle="1" w:styleId="Statutory1">
    <w:name w:val="Statutory1"/>
    <w:autoRedefine/>
    <w:rsid w:val="00312B56"/>
    <w:pPr>
      <w:spacing w:after="120"/>
      <w:ind w:left="720"/>
      <w:jc w:val="both"/>
    </w:pPr>
    <w:rPr>
      <w:rFonts w:ascii="Arial" w:hAnsi="Arial"/>
      <w:sz w:val="24"/>
      <w:szCs w:val="22"/>
    </w:rPr>
  </w:style>
  <w:style w:type="paragraph" w:customStyle="1" w:styleId="Statutory2">
    <w:name w:val="Statutory 2"/>
    <w:basedOn w:val="Statutory1"/>
    <w:autoRedefine/>
    <w:qFormat/>
    <w:rsid w:val="00312B56"/>
    <w:pPr>
      <w:ind w:left="1440"/>
    </w:pPr>
    <w:rPr>
      <w:rFonts w:cs="Arial"/>
    </w:rPr>
  </w:style>
  <w:style w:type="paragraph" w:customStyle="1" w:styleId="Statutory3">
    <w:name w:val="Statutory 3"/>
    <w:basedOn w:val="Statutory2"/>
    <w:rsid w:val="00CC5E43"/>
    <w:pPr>
      <w:ind w:left="864"/>
    </w:pPr>
  </w:style>
  <w:style w:type="paragraph" w:customStyle="1" w:styleId="Statutory4">
    <w:name w:val="Statutory 4"/>
    <w:basedOn w:val="Statutory3"/>
    <w:autoRedefine/>
    <w:qFormat/>
    <w:rsid w:val="00F1200B"/>
    <w:pPr>
      <w:ind w:left="2880"/>
    </w:pPr>
  </w:style>
  <w:style w:type="paragraph" w:customStyle="1" w:styleId="SUBCHAPTER">
    <w:name w:val="SUBCHAPTER"/>
    <w:basedOn w:val="Subtitle"/>
    <w:next w:val="Normal"/>
    <w:autoRedefine/>
    <w:qFormat/>
    <w:rsid w:val="00A11BBB"/>
    <w:pPr>
      <w:ind w:left="1080"/>
    </w:pPr>
  </w:style>
  <w:style w:type="paragraph" w:customStyle="1" w:styleId="0-NORMAL">
    <w:name w:val="0-NORMAL"/>
    <w:basedOn w:val="Normal"/>
    <w:link w:val="0-NORMALChar"/>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rsid w:val="00FF7A1D"/>
    <w:pPr>
      <w:spacing w:after="0"/>
    </w:pPr>
    <w:rPr>
      <w:rFonts w:ascii="Segoe UI" w:hAnsi="Segoe UI" w:cs="Segoe UI"/>
      <w:sz w:val="18"/>
      <w:szCs w:val="18"/>
    </w:rPr>
  </w:style>
  <w:style w:type="character" w:customStyle="1" w:styleId="BalloonTextChar">
    <w:name w:val="Balloon Text Char"/>
    <w:link w:val="BalloonText"/>
    <w:rsid w:val="00FF7A1D"/>
    <w:rPr>
      <w:rFonts w:ascii="Segoe UI" w:hAnsi="Segoe UI" w:cs="Segoe UI"/>
      <w:sz w:val="18"/>
      <w:szCs w:val="18"/>
    </w:rPr>
  </w:style>
  <w:style w:type="character" w:customStyle="1" w:styleId="Heading3Char">
    <w:name w:val="Heading 3 Char"/>
    <w:link w:val="Heading3"/>
    <w:uiPriority w:val="9"/>
    <w:rsid w:val="00DE2FF8"/>
    <w:rPr>
      <w:b/>
      <w:bCs/>
      <w:sz w:val="28"/>
      <w:szCs w:val="32"/>
      <w:u w:color="5B9BD5"/>
    </w:rPr>
  </w:style>
  <w:style w:type="paragraph" w:styleId="FootnoteText">
    <w:name w:val="footnote text"/>
    <w:basedOn w:val="Normal"/>
    <w:link w:val="FootnoteTextChar"/>
    <w:rsid w:val="005F016F"/>
    <w:pPr>
      <w:spacing w:after="0"/>
    </w:pPr>
    <w:rPr>
      <w:sz w:val="20"/>
      <w:szCs w:val="20"/>
    </w:rPr>
  </w:style>
  <w:style w:type="character" w:customStyle="1" w:styleId="FootnoteTextChar">
    <w:name w:val="Footnote Text Char"/>
    <w:link w:val="FootnoteText"/>
    <w:rsid w:val="005F016F"/>
    <w:rPr>
      <w:rFonts w:ascii="Arial" w:hAnsi="Arial"/>
    </w:rPr>
  </w:style>
  <w:style w:type="character" w:styleId="FootnoteReference">
    <w:name w:val="footnote reference"/>
    <w:rsid w:val="005F016F"/>
    <w:rPr>
      <w:vertAlign w:val="superscript"/>
    </w:rPr>
  </w:style>
  <w:style w:type="paragraph" w:customStyle="1" w:styleId="indent">
    <w:name w:val="indent"/>
    <w:basedOn w:val="Normal"/>
    <w:rsid w:val="003C2790"/>
    <w:pPr>
      <w:spacing w:before="100" w:beforeAutospacing="1" w:after="100" w:afterAutospacing="1"/>
    </w:pPr>
    <w:rPr>
      <w:rFonts w:ascii="Times New Roman" w:hAnsi="Times New Roman"/>
      <w:szCs w:val="24"/>
    </w:rPr>
  </w:style>
  <w:style w:type="character" w:customStyle="1" w:styleId="num">
    <w:name w:val="num"/>
    <w:basedOn w:val="DefaultParagraphFont"/>
    <w:rsid w:val="003C2790"/>
  </w:style>
  <w:style w:type="character" w:styleId="Emphasis">
    <w:name w:val="Emphasis"/>
    <w:uiPriority w:val="20"/>
    <w:qFormat/>
    <w:rsid w:val="003F3F22"/>
    <w:rPr>
      <w:i/>
      <w:iCs/>
    </w:rPr>
  </w:style>
  <w:style w:type="character" w:customStyle="1" w:styleId="Heading2Char">
    <w:name w:val="Heading 2 Char"/>
    <w:link w:val="Heading2"/>
    <w:uiPriority w:val="9"/>
    <w:rsid w:val="00C02ED3"/>
    <w:rPr>
      <w:b/>
      <w:bCs/>
      <w:sz w:val="28"/>
      <w:szCs w:val="32"/>
    </w:rPr>
  </w:style>
  <w:style w:type="character" w:customStyle="1" w:styleId="pageno">
    <w:name w:val="page_no"/>
    <w:basedOn w:val="DefaultParagraphFont"/>
    <w:rsid w:val="00807980"/>
  </w:style>
  <w:style w:type="character" w:styleId="HTMLCite">
    <w:name w:val="HTML Cite"/>
    <w:uiPriority w:val="99"/>
    <w:unhideWhenUsed/>
    <w:rsid w:val="00807980"/>
    <w:rPr>
      <w:i/>
      <w:iCs/>
    </w:rPr>
  </w:style>
  <w:style w:type="paragraph" w:customStyle="1" w:styleId="opiniontext">
    <w:name w:val="opinion_text"/>
    <w:basedOn w:val="Normal"/>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rsid w:val="00807980"/>
  </w:style>
  <w:style w:type="character" w:customStyle="1" w:styleId="case-name">
    <w:name w:val="case-name"/>
    <w:basedOn w:val="DefaultParagraphFont"/>
    <w:rsid w:val="00807980"/>
  </w:style>
  <w:style w:type="character" w:customStyle="1" w:styleId="emphi">
    <w:name w:val="emphi"/>
    <w:basedOn w:val="DefaultParagraphFont"/>
    <w:rsid w:val="00807980"/>
  </w:style>
  <w:style w:type="paragraph" w:styleId="TOCHeading">
    <w:name w:val="TOC Heading"/>
    <w:basedOn w:val="Heading1"/>
    <w:next w:val="Normal"/>
    <w:uiPriority w:val="39"/>
    <w:unhideWhenUsed/>
    <w:qFormat/>
    <w:rsid w:val="003854D2"/>
    <w:pPr>
      <w:keepLines/>
      <w:spacing w:before="240" w:line="259" w:lineRule="auto"/>
      <w:outlineLvl w:val="9"/>
    </w:pPr>
    <w:rPr>
      <w:rFonts w:ascii="Calibri Light" w:hAnsi="Calibri Light"/>
      <w:b w:val="0"/>
      <w:bCs w:val="0"/>
      <w:color w:val="2E74B5"/>
    </w:rPr>
  </w:style>
  <w:style w:type="paragraph" w:styleId="TOC2">
    <w:name w:val="toc 2"/>
    <w:basedOn w:val="Normal"/>
    <w:next w:val="Normal"/>
    <w:autoRedefine/>
    <w:uiPriority w:val="39"/>
    <w:unhideWhenUsed/>
    <w:rsid w:val="00671FAD"/>
    <w:pPr>
      <w:spacing w:before="120" w:after="0"/>
      <w:ind w:left="240"/>
    </w:pPr>
    <w:rPr>
      <w:rFonts w:ascii="Times New Roman" w:hAnsi="Times New Roman" w:cs="Calibri"/>
      <w:iCs/>
      <w:color w:val="000000" w:themeColor="text1"/>
      <w:szCs w:val="20"/>
    </w:rPr>
  </w:style>
  <w:style w:type="paragraph" w:styleId="TOC3">
    <w:name w:val="toc 3"/>
    <w:basedOn w:val="Normal"/>
    <w:next w:val="Normal"/>
    <w:autoRedefine/>
    <w:uiPriority w:val="39"/>
    <w:unhideWhenUsed/>
    <w:rsid w:val="00671FAD"/>
    <w:pPr>
      <w:spacing w:after="0"/>
      <w:ind w:left="480"/>
    </w:pPr>
    <w:rPr>
      <w:rFonts w:ascii="Times New Roman" w:hAnsi="Times New Roman" w:cs="Calibri"/>
      <w:color w:val="000000" w:themeColor="text1"/>
      <w:szCs w:val="20"/>
    </w:rPr>
  </w:style>
  <w:style w:type="paragraph" w:styleId="TOC4">
    <w:name w:val="toc 4"/>
    <w:basedOn w:val="Normal"/>
    <w:next w:val="Normal"/>
    <w:autoRedefine/>
    <w:uiPriority w:val="39"/>
    <w:unhideWhenUsed/>
    <w:rsid w:val="00ED0C02"/>
    <w:pPr>
      <w:spacing w:after="0"/>
      <w:ind w:left="1080"/>
    </w:pPr>
    <w:rPr>
      <w:rFonts w:ascii="Times New Roman" w:hAnsi="Times New Roman" w:cs="Calibri"/>
      <w:color w:val="000000" w:themeColor="text1"/>
      <w:szCs w:val="20"/>
    </w:rPr>
  </w:style>
  <w:style w:type="paragraph" w:styleId="TOC5">
    <w:name w:val="toc 5"/>
    <w:basedOn w:val="Normal"/>
    <w:next w:val="Normal"/>
    <w:autoRedefine/>
    <w:uiPriority w:val="39"/>
    <w:unhideWhenUsed/>
    <w:rsid w:val="00671FAD"/>
    <w:pPr>
      <w:spacing w:after="0"/>
      <w:ind w:left="960"/>
    </w:pPr>
    <w:rPr>
      <w:rFonts w:ascii="Times New Roman" w:hAnsi="Times New Roman" w:cs="Calibri"/>
      <w:color w:val="000000" w:themeColor="text1"/>
      <w:szCs w:val="20"/>
    </w:rPr>
  </w:style>
  <w:style w:type="paragraph" w:styleId="TOC6">
    <w:name w:val="toc 6"/>
    <w:basedOn w:val="Normal"/>
    <w:next w:val="Normal"/>
    <w:autoRedefine/>
    <w:uiPriority w:val="39"/>
    <w:unhideWhenUsed/>
    <w:rsid w:val="00671FAD"/>
    <w:pPr>
      <w:spacing w:after="0"/>
      <w:ind w:left="1200"/>
    </w:pPr>
    <w:rPr>
      <w:rFonts w:ascii="Times New Roman" w:hAnsi="Times New Roman" w:cs="Calibri"/>
      <w:color w:val="000000" w:themeColor="text1"/>
      <w:szCs w:val="20"/>
    </w:rPr>
  </w:style>
  <w:style w:type="paragraph" w:styleId="TOC7">
    <w:name w:val="toc 7"/>
    <w:basedOn w:val="Normal"/>
    <w:next w:val="Normal"/>
    <w:autoRedefine/>
    <w:uiPriority w:val="39"/>
    <w:unhideWhenUsed/>
    <w:rsid w:val="003854D2"/>
    <w:pPr>
      <w:spacing w:after="0"/>
      <w:ind w:left="1440"/>
    </w:pPr>
    <w:rPr>
      <w:rFonts w:ascii="Calibri" w:hAnsi="Calibri" w:cs="Calibri"/>
      <w:sz w:val="20"/>
      <w:szCs w:val="20"/>
    </w:rPr>
  </w:style>
  <w:style w:type="paragraph" w:styleId="TOC8">
    <w:name w:val="toc 8"/>
    <w:basedOn w:val="Normal"/>
    <w:next w:val="Normal"/>
    <w:autoRedefine/>
    <w:uiPriority w:val="39"/>
    <w:unhideWhenUsed/>
    <w:rsid w:val="003854D2"/>
    <w:pPr>
      <w:spacing w:after="0"/>
      <w:ind w:left="1680"/>
    </w:pPr>
    <w:rPr>
      <w:rFonts w:ascii="Calibri" w:hAnsi="Calibri" w:cs="Calibri"/>
      <w:sz w:val="20"/>
      <w:szCs w:val="20"/>
    </w:rPr>
  </w:style>
  <w:style w:type="paragraph" w:styleId="TOC9">
    <w:name w:val="toc 9"/>
    <w:basedOn w:val="Normal"/>
    <w:next w:val="Normal"/>
    <w:autoRedefine/>
    <w:uiPriority w:val="39"/>
    <w:unhideWhenUsed/>
    <w:rsid w:val="003854D2"/>
    <w:pPr>
      <w:spacing w:after="0"/>
      <w:ind w:left="1920"/>
    </w:pPr>
    <w:rPr>
      <w:rFonts w:ascii="Calibri" w:hAnsi="Calibri" w:cs="Calibri"/>
      <w:sz w:val="20"/>
      <w:szCs w:val="20"/>
    </w:rPr>
  </w:style>
  <w:style w:type="character" w:customStyle="1" w:styleId="HTMLPreformattedChar">
    <w:name w:val="HTML Preformatted Char"/>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uiPriority w:val="99"/>
    <w:rsid w:val="0088086B"/>
    <w:rPr>
      <w:rFonts w:ascii="Consolas" w:hAnsi="Consolas" w:cs="Consolas"/>
    </w:rPr>
  </w:style>
  <w:style w:type="character" w:customStyle="1" w:styleId="TitleChar">
    <w:name w:val="Title Char"/>
    <w:link w:val="Title"/>
    <w:rsid w:val="00DC3365"/>
    <w:rPr>
      <w:rFonts w:ascii="Arial" w:hAnsi="Arial" w:cs="Arial"/>
      <w:b/>
      <w:bCs/>
      <w:kern w:val="28"/>
      <w:sz w:val="44"/>
      <w:szCs w:val="44"/>
    </w:rPr>
  </w:style>
  <w:style w:type="character" w:customStyle="1" w:styleId="SubtitleChar">
    <w:name w:val="Subtitle Char"/>
    <w:aliases w:val="Subtitle 1 Char"/>
    <w:link w:val="Subtitle"/>
    <w:rsid w:val="00E24A7E"/>
    <w:rPr>
      <w:b/>
      <w:color w:val="000000" w:themeColor="text1"/>
      <w:sz w:val="28"/>
      <w:szCs w:val="28"/>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 w:type="character" w:styleId="Mention">
    <w:name w:val="Mention"/>
    <w:uiPriority w:val="99"/>
    <w:semiHidden/>
    <w:unhideWhenUsed/>
    <w:rsid w:val="007E3783"/>
    <w:rPr>
      <w:color w:val="2B579A"/>
      <w:shd w:val="clear" w:color="auto" w:fill="E6E6E6"/>
    </w:rPr>
  </w:style>
  <w:style w:type="character" w:styleId="UnresolvedMention">
    <w:name w:val="Unresolved Mention"/>
    <w:uiPriority w:val="99"/>
    <w:semiHidden/>
    <w:unhideWhenUsed/>
    <w:rsid w:val="00F1200B"/>
    <w:rPr>
      <w:color w:val="605E5C"/>
      <w:shd w:val="clear" w:color="auto" w:fill="E1DFDD"/>
    </w:rPr>
  </w:style>
  <w:style w:type="paragraph" w:styleId="Quote">
    <w:name w:val="Quote"/>
    <w:basedOn w:val="0-NORMAL"/>
    <w:next w:val="Normal"/>
    <w:link w:val="QuoteChar"/>
    <w:uiPriority w:val="29"/>
    <w:qFormat/>
    <w:rsid w:val="00FB0EE5"/>
    <w:pPr>
      <w:ind w:left="1440" w:right="1440"/>
    </w:pPr>
  </w:style>
  <w:style w:type="character" w:customStyle="1" w:styleId="QuoteChar">
    <w:name w:val="Quote Char"/>
    <w:link w:val="Quote"/>
    <w:uiPriority w:val="29"/>
    <w:rsid w:val="00FB0EE5"/>
    <w:rPr>
      <w:sz w:val="24"/>
      <w:szCs w:val="24"/>
    </w:rPr>
  </w:style>
  <w:style w:type="paragraph" w:customStyle="1" w:styleId="ITEM1">
    <w:name w:val="ITEM1"/>
    <w:basedOn w:val="Heading1"/>
    <w:link w:val="ITEM1Char"/>
    <w:qFormat/>
    <w:rsid w:val="009A00A1"/>
    <w:pPr>
      <w:numPr>
        <w:numId w:val="15"/>
      </w:numPr>
    </w:pPr>
  </w:style>
  <w:style w:type="paragraph" w:customStyle="1" w:styleId="APPENDIX">
    <w:name w:val="APPENDIX"/>
    <w:basedOn w:val="0-NORMAL"/>
    <w:link w:val="APPENDIXChar"/>
    <w:qFormat/>
    <w:rsid w:val="00CA3AA8"/>
    <w:pPr>
      <w:numPr>
        <w:numId w:val="2"/>
      </w:numPr>
      <w:spacing w:after="0" w:line="480" w:lineRule="auto"/>
    </w:pPr>
    <w:rPr>
      <w:b/>
      <w:sz w:val="32"/>
    </w:rPr>
  </w:style>
  <w:style w:type="character" w:customStyle="1" w:styleId="ITEM1Char">
    <w:name w:val="ITEM1 Char"/>
    <w:link w:val="ITEM1"/>
    <w:rsid w:val="009A00A1"/>
    <w:rPr>
      <w:b/>
      <w:bCs/>
      <w:vanish/>
      <w:sz w:val="32"/>
      <w:szCs w:val="32"/>
    </w:rPr>
  </w:style>
  <w:style w:type="character" w:customStyle="1" w:styleId="Heading4Char">
    <w:name w:val="Heading 4 Char"/>
    <w:link w:val="Heading40"/>
    <w:semiHidden/>
    <w:rsid w:val="00665BF4"/>
    <w:rPr>
      <w:rFonts w:ascii="Calibri Light" w:eastAsia="Times New Roman" w:hAnsi="Calibri Light" w:cs="Times New Roman"/>
      <w:i/>
      <w:iCs/>
      <w:color w:val="2E74B5"/>
      <w:sz w:val="24"/>
      <w:szCs w:val="22"/>
    </w:rPr>
  </w:style>
  <w:style w:type="character" w:customStyle="1" w:styleId="0-NORMALChar">
    <w:name w:val="0-NORMAL Char"/>
    <w:link w:val="0-NORMAL"/>
    <w:rsid w:val="009A53AE"/>
    <w:rPr>
      <w:sz w:val="24"/>
      <w:szCs w:val="24"/>
    </w:rPr>
  </w:style>
  <w:style w:type="character" w:customStyle="1" w:styleId="APPENDIXChar">
    <w:name w:val="APPENDIX Char"/>
    <w:link w:val="APPENDIX"/>
    <w:rsid w:val="00CA3AA8"/>
    <w:rPr>
      <w:b/>
      <w:sz w:val="32"/>
      <w:szCs w:val="24"/>
    </w:rPr>
  </w:style>
  <w:style w:type="paragraph" w:styleId="Revision">
    <w:name w:val="Revision"/>
    <w:hidden/>
    <w:uiPriority w:val="99"/>
    <w:semiHidden/>
    <w:rsid w:val="00F902C9"/>
    <w:rPr>
      <w:rFonts w:ascii="Arial" w:hAnsi="Arial"/>
      <w:sz w:val="24"/>
      <w:szCs w:val="22"/>
    </w:rPr>
  </w:style>
  <w:style w:type="paragraph" w:customStyle="1" w:styleId="Heading4">
    <w:name w:val="Heading4"/>
    <w:basedOn w:val="Heading3"/>
    <w:link w:val="Heading4Char0"/>
    <w:qFormat/>
    <w:rsid w:val="003D37AD"/>
    <w:pPr>
      <w:numPr>
        <w:ilvl w:val="3"/>
      </w:numPr>
    </w:pPr>
  </w:style>
  <w:style w:type="character" w:customStyle="1" w:styleId="Heading4Char0">
    <w:name w:val="Heading4 Char"/>
    <w:link w:val="Heading4"/>
    <w:rsid w:val="003D37AD"/>
    <w:rPr>
      <w:b/>
      <w:bCs/>
      <w:sz w:val="28"/>
      <w:szCs w:val="32"/>
      <w:u w:color="5B9BD5"/>
    </w:rPr>
  </w:style>
  <w:style w:type="character" w:customStyle="1" w:styleId="Heading5Char">
    <w:name w:val="Heading 5 Char"/>
    <w:link w:val="Heading5"/>
    <w:semiHidden/>
    <w:rsid w:val="002C7082"/>
    <w:rPr>
      <w:rFonts w:ascii="Calibri Light" w:eastAsia="Times New Roman" w:hAnsi="Calibri Light" w:cs="Times New Roman"/>
      <w:color w:val="2E74B5"/>
      <w:sz w:val="24"/>
      <w:szCs w:val="22"/>
    </w:rPr>
  </w:style>
  <w:style w:type="character" w:customStyle="1" w:styleId="Heading6Char">
    <w:name w:val="Heading 6 Char"/>
    <w:link w:val="Heading6"/>
    <w:semiHidden/>
    <w:rsid w:val="00C02ED3"/>
    <w:rPr>
      <w:rFonts w:ascii="Calibri" w:eastAsia="Times New Roman" w:hAnsi="Calibri" w:cs="Times New Roman"/>
      <w:b/>
      <w:bCs/>
      <w:sz w:val="22"/>
      <w:szCs w:val="22"/>
    </w:rPr>
  </w:style>
  <w:style w:type="character" w:customStyle="1" w:styleId="Heading7Char">
    <w:name w:val="Heading 7 Char"/>
    <w:link w:val="Heading7"/>
    <w:semiHidden/>
    <w:rsid w:val="00C02ED3"/>
    <w:rPr>
      <w:rFonts w:ascii="Calibri" w:eastAsia="Times New Roman" w:hAnsi="Calibri" w:cs="Times New Roman"/>
      <w:sz w:val="24"/>
      <w:szCs w:val="24"/>
    </w:rPr>
  </w:style>
  <w:style w:type="character" w:customStyle="1" w:styleId="Heading8Char">
    <w:name w:val="Heading 8 Char"/>
    <w:link w:val="Heading8"/>
    <w:semiHidden/>
    <w:rsid w:val="00C02ED3"/>
    <w:rPr>
      <w:rFonts w:ascii="Calibri" w:eastAsia="Times New Roman" w:hAnsi="Calibri" w:cs="Times New Roman"/>
      <w:i/>
      <w:iCs/>
      <w:sz w:val="24"/>
      <w:szCs w:val="24"/>
    </w:rPr>
  </w:style>
  <w:style w:type="paragraph" w:customStyle="1" w:styleId="Statutes">
    <w:name w:val="Statutes"/>
    <w:basedOn w:val="0-NORMAL"/>
    <w:link w:val="StatutesChar"/>
    <w:qFormat/>
    <w:rsid w:val="004A0CB6"/>
    <w:pPr>
      <w:ind w:left="432" w:firstLine="0"/>
    </w:pPr>
  </w:style>
  <w:style w:type="character" w:customStyle="1" w:styleId="StatutesChar">
    <w:name w:val="Statutes Char"/>
    <w:basedOn w:val="0-NORMALChar"/>
    <w:link w:val="Statutes"/>
    <w:rsid w:val="004A0CB6"/>
    <w:rPr>
      <w:sz w:val="24"/>
      <w:szCs w:val="24"/>
    </w:rPr>
  </w:style>
  <w:style w:type="character" w:styleId="CommentReference">
    <w:name w:val="annotation reference"/>
    <w:basedOn w:val="DefaultParagraphFont"/>
    <w:rsid w:val="003A2EEC"/>
    <w:rPr>
      <w:sz w:val="16"/>
      <w:szCs w:val="16"/>
    </w:rPr>
  </w:style>
  <w:style w:type="paragraph" w:styleId="CommentText">
    <w:name w:val="annotation text"/>
    <w:basedOn w:val="Normal"/>
    <w:link w:val="CommentTextChar"/>
    <w:rsid w:val="003A2EEC"/>
    <w:rPr>
      <w:sz w:val="20"/>
      <w:szCs w:val="20"/>
    </w:rPr>
  </w:style>
  <w:style w:type="character" w:customStyle="1" w:styleId="CommentTextChar">
    <w:name w:val="Comment Text Char"/>
    <w:basedOn w:val="DefaultParagraphFont"/>
    <w:link w:val="CommentText"/>
    <w:rsid w:val="003A2EEC"/>
    <w:rPr>
      <w:rFonts w:ascii="Arial" w:hAnsi="Arial"/>
    </w:rPr>
  </w:style>
  <w:style w:type="paragraph" w:styleId="CommentSubject">
    <w:name w:val="annotation subject"/>
    <w:basedOn w:val="CommentText"/>
    <w:next w:val="CommentText"/>
    <w:link w:val="CommentSubjectChar"/>
    <w:rsid w:val="003A2EEC"/>
    <w:rPr>
      <w:b/>
      <w:bCs/>
    </w:rPr>
  </w:style>
  <w:style w:type="character" w:customStyle="1" w:styleId="CommentSubjectChar">
    <w:name w:val="Comment Subject Char"/>
    <w:basedOn w:val="CommentTextChar"/>
    <w:link w:val="CommentSubject"/>
    <w:rsid w:val="003A2EE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4263">
      <w:bodyDiv w:val="1"/>
      <w:marLeft w:val="0"/>
      <w:marRight w:val="0"/>
      <w:marTop w:val="0"/>
      <w:marBottom w:val="0"/>
      <w:divBdr>
        <w:top w:val="none" w:sz="0" w:space="0" w:color="auto"/>
        <w:left w:val="none" w:sz="0" w:space="0" w:color="auto"/>
        <w:bottom w:val="none" w:sz="0" w:space="0" w:color="auto"/>
        <w:right w:val="none" w:sz="0" w:space="0" w:color="auto"/>
      </w:divBdr>
    </w:div>
    <w:div w:id="118229654">
      <w:bodyDiv w:val="1"/>
      <w:marLeft w:val="0"/>
      <w:marRight w:val="0"/>
      <w:marTop w:val="0"/>
      <w:marBottom w:val="0"/>
      <w:divBdr>
        <w:top w:val="none" w:sz="0" w:space="0" w:color="auto"/>
        <w:left w:val="none" w:sz="0" w:space="0" w:color="auto"/>
        <w:bottom w:val="none" w:sz="0" w:space="0" w:color="auto"/>
        <w:right w:val="none" w:sz="0" w:space="0" w:color="auto"/>
      </w:divBdr>
      <w:divsChild>
        <w:div w:id="1089159723">
          <w:marLeft w:val="150"/>
          <w:marRight w:val="150"/>
          <w:marTop w:val="150"/>
          <w:marBottom w:val="150"/>
          <w:divBdr>
            <w:top w:val="none" w:sz="0" w:space="0" w:color="auto"/>
            <w:left w:val="none" w:sz="0" w:space="0" w:color="auto"/>
            <w:bottom w:val="none" w:sz="0" w:space="0" w:color="auto"/>
            <w:right w:val="none" w:sz="0" w:space="0" w:color="auto"/>
          </w:divBdr>
        </w:div>
        <w:div w:id="1473450021">
          <w:marLeft w:val="150"/>
          <w:marRight w:val="150"/>
          <w:marTop w:val="150"/>
          <w:marBottom w:val="150"/>
          <w:divBdr>
            <w:top w:val="none" w:sz="0" w:space="0" w:color="auto"/>
            <w:left w:val="none" w:sz="0" w:space="0" w:color="auto"/>
            <w:bottom w:val="none" w:sz="0" w:space="0" w:color="auto"/>
            <w:right w:val="none" w:sz="0" w:space="0" w:color="auto"/>
          </w:divBdr>
          <w:divsChild>
            <w:div w:id="72824404">
              <w:marLeft w:val="150"/>
              <w:marRight w:val="150"/>
              <w:marTop w:val="150"/>
              <w:marBottom w:val="150"/>
              <w:divBdr>
                <w:top w:val="none" w:sz="0" w:space="0" w:color="auto"/>
                <w:left w:val="none" w:sz="0" w:space="0" w:color="auto"/>
                <w:bottom w:val="none" w:sz="0" w:space="0" w:color="auto"/>
                <w:right w:val="none" w:sz="0" w:space="0" w:color="auto"/>
              </w:divBdr>
            </w:div>
            <w:div w:id="206381523">
              <w:marLeft w:val="150"/>
              <w:marRight w:val="150"/>
              <w:marTop w:val="150"/>
              <w:marBottom w:val="150"/>
              <w:divBdr>
                <w:top w:val="none" w:sz="0" w:space="0" w:color="auto"/>
                <w:left w:val="none" w:sz="0" w:space="0" w:color="auto"/>
                <w:bottom w:val="none" w:sz="0" w:space="0" w:color="auto"/>
                <w:right w:val="none" w:sz="0" w:space="0" w:color="auto"/>
              </w:divBdr>
            </w:div>
            <w:div w:id="937249901">
              <w:marLeft w:val="150"/>
              <w:marRight w:val="150"/>
              <w:marTop w:val="150"/>
              <w:marBottom w:val="150"/>
              <w:divBdr>
                <w:top w:val="none" w:sz="0" w:space="0" w:color="auto"/>
                <w:left w:val="none" w:sz="0" w:space="0" w:color="auto"/>
                <w:bottom w:val="none" w:sz="0" w:space="0" w:color="auto"/>
                <w:right w:val="none" w:sz="0" w:space="0" w:color="auto"/>
              </w:divBdr>
            </w:div>
            <w:div w:id="1014964440">
              <w:marLeft w:val="150"/>
              <w:marRight w:val="150"/>
              <w:marTop w:val="150"/>
              <w:marBottom w:val="150"/>
              <w:divBdr>
                <w:top w:val="none" w:sz="0" w:space="0" w:color="auto"/>
                <w:left w:val="none" w:sz="0" w:space="0" w:color="auto"/>
                <w:bottom w:val="none" w:sz="0" w:space="0" w:color="auto"/>
                <w:right w:val="none" w:sz="0" w:space="0" w:color="auto"/>
              </w:divBdr>
            </w:div>
            <w:div w:id="1395935223">
              <w:marLeft w:val="150"/>
              <w:marRight w:val="150"/>
              <w:marTop w:val="150"/>
              <w:marBottom w:val="150"/>
              <w:divBdr>
                <w:top w:val="none" w:sz="0" w:space="0" w:color="auto"/>
                <w:left w:val="none" w:sz="0" w:space="0" w:color="auto"/>
                <w:bottom w:val="none" w:sz="0" w:space="0" w:color="auto"/>
                <w:right w:val="none" w:sz="0" w:space="0" w:color="auto"/>
              </w:divBdr>
            </w:div>
            <w:div w:id="2051804490">
              <w:marLeft w:val="150"/>
              <w:marRight w:val="150"/>
              <w:marTop w:val="150"/>
              <w:marBottom w:val="150"/>
              <w:divBdr>
                <w:top w:val="none" w:sz="0" w:space="0" w:color="auto"/>
                <w:left w:val="none" w:sz="0" w:space="0" w:color="auto"/>
                <w:bottom w:val="none" w:sz="0" w:space="0" w:color="auto"/>
                <w:right w:val="none" w:sz="0" w:space="0" w:color="auto"/>
              </w:divBdr>
            </w:div>
          </w:divsChild>
        </w:div>
        <w:div w:id="1510212897">
          <w:marLeft w:val="150"/>
          <w:marRight w:val="150"/>
          <w:marTop w:val="150"/>
          <w:marBottom w:val="150"/>
          <w:divBdr>
            <w:top w:val="none" w:sz="0" w:space="0" w:color="auto"/>
            <w:left w:val="none" w:sz="0" w:space="0" w:color="auto"/>
            <w:bottom w:val="none" w:sz="0" w:space="0" w:color="auto"/>
            <w:right w:val="none" w:sz="0" w:space="0" w:color="auto"/>
          </w:divBdr>
        </w:div>
      </w:divsChild>
    </w:div>
    <w:div w:id="122233557">
      <w:bodyDiv w:val="1"/>
      <w:marLeft w:val="0"/>
      <w:marRight w:val="0"/>
      <w:marTop w:val="0"/>
      <w:marBottom w:val="0"/>
      <w:divBdr>
        <w:top w:val="none" w:sz="0" w:space="0" w:color="auto"/>
        <w:left w:val="none" w:sz="0" w:space="0" w:color="auto"/>
        <w:bottom w:val="none" w:sz="0" w:space="0" w:color="auto"/>
        <w:right w:val="none" w:sz="0" w:space="0" w:color="auto"/>
      </w:divBdr>
    </w:div>
    <w:div w:id="221841096">
      <w:bodyDiv w:val="1"/>
      <w:marLeft w:val="0"/>
      <w:marRight w:val="0"/>
      <w:marTop w:val="0"/>
      <w:marBottom w:val="0"/>
      <w:divBdr>
        <w:top w:val="none" w:sz="0" w:space="0" w:color="auto"/>
        <w:left w:val="none" w:sz="0" w:space="0" w:color="auto"/>
        <w:bottom w:val="none" w:sz="0" w:space="0" w:color="auto"/>
        <w:right w:val="none" w:sz="0" w:space="0" w:color="auto"/>
      </w:divBdr>
      <w:divsChild>
        <w:div w:id="43987153">
          <w:blockQuote w:val="1"/>
          <w:marLeft w:val="0"/>
          <w:marRight w:val="0"/>
          <w:marTop w:val="240"/>
          <w:marBottom w:val="240"/>
          <w:divBdr>
            <w:top w:val="none" w:sz="0" w:space="0" w:color="auto"/>
            <w:left w:val="none" w:sz="0" w:space="0" w:color="auto"/>
            <w:bottom w:val="none" w:sz="0" w:space="0" w:color="auto"/>
            <w:right w:val="none" w:sz="0" w:space="0" w:color="auto"/>
          </w:divBdr>
        </w:div>
        <w:div w:id="233052002">
          <w:blockQuote w:val="1"/>
          <w:marLeft w:val="0"/>
          <w:marRight w:val="0"/>
          <w:marTop w:val="240"/>
          <w:marBottom w:val="240"/>
          <w:divBdr>
            <w:top w:val="none" w:sz="0" w:space="0" w:color="auto"/>
            <w:left w:val="none" w:sz="0" w:space="0" w:color="auto"/>
            <w:bottom w:val="none" w:sz="0" w:space="0" w:color="auto"/>
            <w:right w:val="none" w:sz="0" w:space="0" w:color="auto"/>
          </w:divBdr>
        </w:div>
        <w:div w:id="568224438">
          <w:blockQuote w:val="1"/>
          <w:marLeft w:val="0"/>
          <w:marRight w:val="0"/>
          <w:marTop w:val="240"/>
          <w:marBottom w:val="240"/>
          <w:divBdr>
            <w:top w:val="none" w:sz="0" w:space="0" w:color="auto"/>
            <w:left w:val="none" w:sz="0" w:space="0" w:color="auto"/>
            <w:bottom w:val="none" w:sz="0" w:space="0" w:color="auto"/>
            <w:right w:val="none" w:sz="0" w:space="0" w:color="auto"/>
          </w:divBdr>
        </w:div>
        <w:div w:id="575937618">
          <w:blockQuote w:val="1"/>
          <w:marLeft w:val="0"/>
          <w:marRight w:val="0"/>
          <w:marTop w:val="240"/>
          <w:marBottom w:val="240"/>
          <w:divBdr>
            <w:top w:val="none" w:sz="0" w:space="0" w:color="auto"/>
            <w:left w:val="none" w:sz="0" w:space="0" w:color="auto"/>
            <w:bottom w:val="none" w:sz="0" w:space="0" w:color="auto"/>
            <w:right w:val="none" w:sz="0" w:space="0" w:color="auto"/>
          </w:divBdr>
        </w:div>
        <w:div w:id="1721201846">
          <w:blockQuote w:val="1"/>
          <w:marLeft w:val="0"/>
          <w:marRight w:val="0"/>
          <w:marTop w:val="240"/>
          <w:marBottom w:val="240"/>
          <w:divBdr>
            <w:top w:val="none" w:sz="0" w:space="0" w:color="auto"/>
            <w:left w:val="none" w:sz="0" w:space="0" w:color="auto"/>
            <w:bottom w:val="none" w:sz="0" w:space="0" w:color="auto"/>
            <w:right w:val="none" w:sz="0" w:space="0" w:color="auto"/>
          </w:divBdr>
        </w:div>
        <w:div w:id="17298424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36063855">
      <w:bodyDiv w:val="1"/>
      <w:marLeft w:val="0"/>
      <w:marRight w:val="0"/>
      <w:marTop w:val="0"/>
      <w:marBottom w:val="0"/>
      <w:divBdr>
        <w:top w:val="none" w:sz="0" w:space="0" w:color="auto"/>
        <w:left w:val="none" w:sz="0" w:space="0" w:color="auto"/>
        <w:bottom w:val="none" w:sz="0" w:space="0" w:color="auto"/>
        <w:right w:val="none" w:sz="0" w:space="0" w:color="auto"/>
      </w:divBdr>
      <w:divsChild>
        <w:div w:id="393742688">
          <w:blockQuote w:val="1"/>
          <w:marLeft w:val="0"/>
          <w:marRight w:val="0"/>
          <w:marTop w:val="240"/>
          <w:marBottom w:val="240"/>
          <w:divBdr>
            <w:top w:val="none" w:sz="0" w:space="0" w:color="auto"/>
            <w:left w:val="none" w:sz="0" w:space="0" w:color="auto"/>
            <w:bottom w:val="none" w:sz="0" w:space="0" w:color="auto"/>
            <w:right w:val="none" w:sz="0" w:space="0" w:color="auto"/>
          </w:divBdr>
        </w:div>
        <w:div w:id="5353168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281544480">
      <w:bodyDiv w:val="1"/>
      <w:marLeft w:val="0"/>
      <w:marRight w:val="0"/>
      <w:marTop w:val="0"/>
      <w:marBottom w:val="0"/>
      <w:divBdr>
        <w:top w:val="none" w:sz="0" w:space="0" w:color="auto"/>
        <w:left w:val="none" w:sz="0" w:space="0" w:color="auto"/>
        <w:bottom w:val="none" w:sz="0" w:space="0" w:color="auto"/>
        <w:right w:val="none" w:sz="0" w:space="0" w:color="auto"/>
      </w:divBdr>
      <w:divsChild>
        <w:div w:id="131487618">
          <w:blockQuote w:val="1"/>
          <w:marLeft w:val="0"/>
          <w:marRight w:val="0"/>
          <w:marTop w:val="240"/>
          <w:marBottom w:val="240"/>
          <w:divBdr>
            <w:top w:val="none" w:sz="0" w:space="0" w:color="auto"/>
            <w:left w:val="none" w:sz="0" w:space="0" w:color="auto"/>
            <w:bottom w:val="none" w:sz="0" w:space="0" w:color="auto"/>
            <w:right w:val="none" w:sz="0" w:space="0" w:color="auto"/>
          </w:divBdr>
        </w:div>
        <w:div w:id="1222399403">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89626328">
      <w:bodyDiv w:val="1"/>
      <w:marLeft w:val="0"/>
      <w:marRight w:val="0"/>
      <w:marTop w:val="0"/>
      <w:marBottom w:val="0"/>
      <w:divBdr>
        <w:top w:val="none" w:sz="0" w:space="0" w:color="auto"/>
        <w:left w:val="none" w:sz="0" w:space="0" w:color="auto"/>
        <w:bottom w:val="none" w:sz="0" w:space="0" w:color="auto"/>
        <w:right w:val="none" w:sz="0" w:space="0" w:color="auto"/>
      </w:divBdr>
    </w:div>
    <w:div w:id="471874374">
      <w:bodyDiv w:val="1"/>
      <w:marLeft w:val="0"/>
      <w:marRight w:val="0"/>
      <w:marTop w:val="0"/>
      <w:marBottom w:val="0"/>
      <w:divBdr>
        <w:top w:val="none" w:sz="0" w:space="0" w:color="auto"/>
        <w:left w:val="none" w:sz="0" w:space="0" w:color="auto"/>
        <w:bottom w:val="none" w:sz="0" w:space="0" w:color="auto"/>
        <w:right w:val="none" w:sz="0" w:space="0" w:color="auto"/>
      </w:divBdr>
    </w:div>
    <w:div w:id="499926702">
      <w:bodyDiv w:val="1"/>
      <w:marLeft w:val="0"/>
      <w:marRight w:val="0"/>
      <w:marTop w:val="0"/>
      <w:marBottom w:val="0"/>
      <w:divBdr>
        <w:top w:val="none" w:sz="0" w:space="0" w:color="auto"/>
        <w:left w:val="none" w:sz="0" w:space="0" w:color="auto"/>
        <w:bottom w:val="none" w:sz="0" w:space="0" w:color="auto"/>
        <w:right w:val="none" w:sz="0" w:space="0" w:color="auto"/>
      </w:divBdr>
    </w:div>
    <w:div w:id="539973922">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858742274">
      <w:bodyDiv w:val="1"/>
      <w:marLeft w:val="0"/>
      <w:marRight w:val="0"/>
      <w:marTop w:val="0"/>
      <w:marBottom w:val="0"/>
      <w:divBdr>
        <w:top w:val="none" w:sz="0" w:space="0" w:color="auto"/>
        <w:left w:val="none" w:sz="0" w:space="0" w:color="auto"/>
        <w:bottom w:val="none" w:sz="0" w:space="0" w:color="auto"/>
        <w:right w:val="none" w:sz="0" w:space="0" w:color="auto"/>
      </w:divBdr>
      <w:divsChild>
        <w:div w:id="373581319">
          <w:marLeft w:val="0"/>
          <w:marRight w:val="0"/>
          <w:marTop w:val="0"/>
          <w:marBottom w:val="0"/>
          <w:divBdr>
            <w:top w:val="none" w:sz="0" w:space="0" w:color="auto"/>
            <w:left w:val="none" w:sz="0" w:space="0" w:color="auto"/>
            <w:bottom w:val="none" w:sz="0" w:space="0" w:color="auto"/>
            <w:right w:val="none" w:sz="0" w:space="0" w:color="auto"/>
          </w:divBdr>
        </w:div>
        <w:div w:id="446973242">
          <w:marLeft w:val="0"/>
          <w:marRight w:val="0"/>
          <w:marTop w:val="0"/>
          <w:marBottom w:val="0"/>
          <w:divBdr>
            <w:top w:val="none" w:sz="0" w:space="0" w:color="auto"/>
            <w:left w:val="none" w:sz="0" w:space="0" w:color="auto"/>
            <w:bottom w:val="none" w:sz="0" w:space="0" w:color="auto"/>
            <w:right w:val="none" w:sz="0" w:space="0" w:color="auto"/>
          </w:divBdr>
        </w:div>
        <w:div w:id="541287747">
          <w:marLeft w:val="0"/>
          <w:marRight w:val="0"/>
          <w:marTop w:val="0"/>
          <w:marBottom w:val="0"/>
          <w:divBdr>
            <w:top w:val="none" w:sz="0" w:space="0" w:color="auto"/>
            <w:left w:val="none" w:sz="0" w:space="0" w:color="auto"/>
            <w:bottom w:val="none" w:sz="0" w:space="0" w:color="auto"/>
            <w:right w:val="none" w:sz="0" w:space="0" w:color="auto"/>
          </w:divBdr>
        </w:div>
        <w:div w:id="542059070">
          <w:marLeft w:val="0"/>
          <w:marRight w:val="0"/>
          <w:marTop w:val="0"/>
          <w:marBottom w:val="0"/>
          <w:divBdr>
            <w:top w:val="none" w:sz="0" w:space="0" w:color="auto"/>
            <w:left w:val="none" w:sz="0" w:space="0" w:color="auto"/>
            <w:bottom w:val="none" w:sz="0" w:space="0" w:color="auto"/>
            <w:right w:val="none" w:sz="0" w:space="0" w:color="auto"/>
          </w:divBdr>
        </w:div>
        <w:div w:id="893740584">
          <w:marLeft w:val="0"/>
          <w:marRight w:val="0"/>
          <w:marTop w:val="0"/>
          <w:marBottom w:val="0"/>
          <w:divBdr>
            <w:top w:val="none" w:sz="0" w:space="0" w:color="auto"/>
            <w:left w:val="none" w:sz="0" w:space="0" w:color="auto"/>
            <w:bottom w:val="none" w:sz="0" w:space="0" w:color="auto"/>
            <w:right w:val="none" w:sz="0" w:space="0" w:color="auto"/>
          </w:divBdr>
        </w:div>
        <w:div w:id="914509714">
          <w:marLeft w:val="0"/>
          <w:marRight w:val="0"/>
          <w:marTop w:val="0"/>
          <w:marBottom w:val="0"/>
          <w:divBdr>
            <w:top w:val="none" w:sz="0" w:space="0" w:color="auto"/>
            <w:left w:val="none" w:sz="0" w:space="0" w:color="auto"/>
            <w:bottom w:val="none" w:sz="0" w:space="0" w:color="auto"/>
            <w:right w:val="none" w:sz="0" w:space="0" w:color="auto"/>
          </w:divBdr>
        </w:div>
        <w:div w:id="918445229">
          <w:marLeft w:val="0"/>
          <w:marRight w:val="0"/>
          <w:marTop w:val="0"/>
          <w:marBottom w:val="0"/>
          <w:divBdr>
            <w:top w:val="none" w:sz="0" w:space="0" w:color="auto"/>
            <w:left w:val="none" w:sz="0" w:space="0" w:color="auto"/>
            <w:bottom w:val="none" w:sz="0" w:space="0" w:color="auto"/>
            <w:right w:val="none" w:sz="0" w:space="0" w:color="auto"/>
          </w:divBdr>
        </w:div>
        <w:div w:id="949120996">
          <w:marLeft w:val="0"/>
          <w:marRight w:val="0"/>
          <w:marTop w:val="0"/>
          <w:marBottom w:val="0"/>
          <w:divBdr>
            <w:top w:val="none" w:sz="0" w:space="0" w:color="auto"/>
            <w:left w:val="none" w:sz="0" w:space="0" w:color="auto"/>
            <w:bottom w:val="none" w:sz="0" w:space="0" w:color="auto"/>
            <w:right w:val="none" w:sz="0" w:space="0" w:color="auto"/>
          </w:divBdr>
        </w:div>
        <w:div w:id="1183940033">
          <w:marLeft w:val="0"/>
          <w:marRight w:val="0"/>
          <w:marTop w:val="0"/>
          <w:marBottom w:val="0"/>
          <w:divBdr>
            <w:top w:val="none" w:sz="0" w:space="0" w:color="auto"/>
            <w:left w:val="none" w:sz="0" w:space="0" w:color="auto"/>
            <w:bottom w:val="none" w:sz="0" w:space="0" w:color="auto"/>
            <w:right w:val="none" w:sz="0" w:space="0" w:color="auto"/>
          </w:divBdr>
        </w:div>
        <w:div w:id="1614629705">
          <w:marLeft w:val="0"/>
          <w:marRight w:val="0"/>
          <w:marTop w:val="0"/>
          <w:marBottom w:val="0"/>
          <w:divBdr>
            <w:top w:val="none" w:sz="0" w:space="0" w:color="auto"/>
            <w:left w:val="none" w:sz="0" w:space="0" w:color="auto"/>
            <w:bottom w:val="none" w:sz="0" w:space="0" w:color="auto"/>
            <w:right w:val="none" w:sz="0" w:space="0" w:color="auto"/>
          </w:divBdr>
        </w:div>
        <w:div w:id="1634211552">
          <w:marLeft w:val="0"/>
          <w:marRight w:val="0"/>
          <w:marTop w:val="0"/>
          <w:marBottom w:val="0"/>
          <w:divBdr>
            <w:top w:val="none" w:sz="0" w:space="0" w:color="auto"/>
            <w:left w:val="none" w:sz="0" w:space="0" w:color="auto"/>
            <w:bottom w:val="none" w:sz="0" w:space="0" w:color="auto"/>
            <w:right w:val="none" w:sz="0" w:space="0" w:color="auto"/>
          </w:divBdr>
        </w:div>
        <w:div w:id="1839466607">
          <w:marLeft w:val="0"/>
          <w:marRight w:val="0"/>
          <w:marTop w:val="0"/>
          <w:marBottom w:val="0"/>
          <w:divBdr>
            <w:top w:val="none" w:sz="0" w:space="0" w:color="auto"/>
            <w:left w:val="none" w:sz="0" w:space="0" w:color="auto"/>
            <w:bottom w:val="none" w:sz="0" w:space="0" w:color="auto"/>
            <w:right w:val="none" w:sz="0" w:space="0" w:color="auto"/>
          </w:divBdr>
        </w:div>
        <w:div w:id="2137479492">
          <w:marLeft w:val="0"/>
          <w:marRight w:val="0"/>
          <w:marTop w:val="0"/>
          <w:marBottom w:val="0"/>
          <w:divBdr>
            <w:top w:val="none" w:sz="0" w:space="0" w:color="auto"/>
            <w:left w:val="none" w:sz="0" w:space="0" w:color="auto"/>
            <w:bottom w:val="none" w:sz="0" w:space="0" w:color="auto"/>
            <w:right w:val="none" w:sz="0" w:space="0" w:color="auto"/>
          </w:divBdr>
        </w:div>
      </w:divsChild>
    </w:div>
    <w:div w:id="859858748">
      <w:bodyDiv w:val="1"/>
      <w:marLeft w:val="0"/>
      <w:marRight w:val="0"/>
      <w:marTop w:val="0"/>
      <w:marBottom w:val="0"/>
      <w:divBdr>
        <w:top w:val="none" w:sz="0" w:space="0" w:color="auto"/>
        <w:left w:val="none" w:sz="0" w:space="0" w:color="auto"/>
        <w:bottom w:val="none" w:sz="0" w:space="0" w:color="auto"/>
        <w:right w:val="none" w:sz="0" w:space="0" w:color="auto"/>
      </w:divBdr>
    </w:div>
    <w:div w:id="931277533">
      <w:bodyDiv w:val="1"/>
      <w:marLeft w:val="0"/>
      <w:marRight w:val="0"/>
      <w:marTop w:val="0"/>
      <w:marBottom w:val="0"/>
      <w:divBdr>
        <w:top w:val="none" w:sz="0" w:space="0" w:color="auto"/>
        <w:left w:val="none" w:sz="0" w:space="0" w:color="auto"/>
        <w:bottom w:val="none" w:sz="0" w:space="0" w:color="auto"/>
        <w:right w:val="none" w:sz="0" w:space="0" w:color="auto"/>
      </w:divBdr>
      <w:divsChild>
        <w:div w:id="844633978">
          <w:marLeft w:val="150"/>
          <w:marRight w:val="150"/>
          <w:marTop w:val="150"/>
          <w:marBottom w:val="150"/>
          <w:divBdr>
            <w:top w:val="none" w:sz="0" w:space="0" w:color="auto"/>
            <w:left w:val="none" w:sz="0" w:space="0" w:color="auto"/>
            <w:bottom w:val="none" w:sz="0" w:space="0" w:color="auto"/>
            <w:right w:val="none" w:sz="0" w:space="0" w:color="auto"/>
          </w:divBdr>
        </w:div>
        <w:div w:id="880018824">
          <w:marLeft w:val="150"/>
          <w:marRight w:val="150"/>
          <w:marTop w:val="150"/>
          <w:marBottom w:val="150"/>
          <w:divBdr>
            <w:top w:val="none" w:sz="0" w:space="0" w:color="auto"/>
            <w:left w:val="none" w:sz="0" w:space="0" w:color="auto"/>
            <w:bottom w:val="none" w:sz="0" w:space="0" w:color="auto"/>
            <w:right w:val="none" w:sz="0" w:space="0" w:color="auto"/>
          </w:divBdr>
          <w:divsChild>
            <w:div w:id="1324091021">
              <w:marLeft w:val="150"/>
              <w:marRight w:val="150"/>
              <w:marTop w:val="150"/>
              <w:marBottom w:val="150"/>
              <w:divBdr>
                <w:top w:val="none" w:sz="0" w:space="0" w:color="auto"/>
                <w:left w:val="none" w:sz="0" w:space="0" w:color="auto"/>
                <w:bottom w:val="none" w:sz="0" w:space="0" w:color="auto"/>
                <w:right w:val="none" w:sz="0" w:space="0" w:color="auto"/>
              </w:divBdr>
            </w:div>
            <w:div w:id="177910800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943732736">
      <w:bodyDiv w:val="1"/>
      <w:marLeft w:val="0"/>
      <w:marRight w:val="0"/>
      <w:marTop w:val="0"/>
      <w:marBottom w:val="0"/>
      <w:divBdr>
        <w:top w:val="none" w:sz="0" w:space="0" w:color="auto"/>
        <w:left w:val="none" w:sz="0" w:space="0" w:color="auto"/>
        <w:bottom w:val="none" w:sz="0" w:space="0" w:color="auto"/>
        <w:right w:val="none" w:sz="0" w:space="0" w:color="auto"/>
      </w:divBdr>
    </w:div>
    <w:div w:id="944844277">
      <w:bodyDiv w:val="1"/>
      <w:marLeft w:val="0"/>
      <w:marRight w:val="0"/>
      <w:marTop w:val="0"/>
      <w:marBottom w:val="0"/>
      <w:divBdr>
        <w:top w:val="none" w:sz="0" w:space="0" w:color="auto"/>
        <w:left w:val="none" w:sz="0" w:space="0" w:color="auto"/>
        <w:bottom w:val="none" w:sz="0" w:space="0" w:color="auto"/>
        <w:right w:val="none" w:sz="0" w:space="0" w:color="auto"/>
      </w:divBdr>
      <w:divsChild>
        <w:div w:id="1121070767">
          <w:marLeft w:val="150"/>
          <w:marRight w:val="150"/>
          <w:marTop w:val="150"/>
          <w:marBottom w:val="150"/>
          <w:divBdr>
            <w:top w:val="none" w:sz="0" w:space="0" w:color="auto"/>
            <w:left w:val="none" w:sz="0" w:space="0" w:color="auto"/>
            <w:bottom w:val="none" w:sz="0" w:space="0" w:color="auto"/>
            <w:right w:val="none" w:sz="0" w:space="0" w:color="auto"/>
          </w:divBdr>
        </w:div>
        <w:div w:id="1765765970">
          <w:marLeft w:val="150"/>
          <w:marRight w:val="150"/>
          <w:marTop w:val="150"/>
          <w:marBottom w:val="150"/>
          <w:divBdr>
            <w:top w:val="none" w:sz="0" w:space="0" w:color="auto"/>
            <w:left w:val="none" w:sz="0" w:space="0" w:color="auto"/>
            <w:bottom w:val="none" w:sz="0" w:space="0" w:color="auto"/>
            <w:right w:val="none" w:sz="0" w:space="0" w:color="auto"/>
          </w:divBdr>
        </w:div>
        <w:div w:id="2075346398">
          <w:marLeft w:val="150"/>
          <w:marRight w:val="150"/>
          <w:marTop w:val="150"/>
          <w:marBottom w:val="150"/>
          <w:divBdr>
            <w:top w:val="none" w:sz="0" w:space="0" w:color="auto"/>
            <w:left w:val="none" w:sz="0" w:space="0" w:color="auto"/>
            <w:bottom w:val="none" w:sz="0" w:space="0" w:color="auto"/>
            <w:right w:val="none" w:sz="0" w:space="0" w:color="auto"/>
          </w:divBdr>
        </w:div>
      </w:divsChild>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17413858">
      <w:bodyDiv w:val="1"/>
      <w:marLeft w:val="0"/>
      <w:marRight w:val="0"/>
      <w:marTop w:val="0"/>
      <w:marBottom w:val="0"/>
      <w:divBdr>
        <w:top w:val="none" w:sz="0" w:space="0" w:color="auto"/>
        <w:left w:val="none" w:sz="0" w:space="0" w:color="auto"/>
        <w:bottom w:val="none" w:sz="0" w:space="0" w:color="auto"/>
        <w:right w:val="none" w:sz="0" w:space="0" w:color="auto"/>
      </w:divBdr>
    </w:div>
    <w:div w:id="1322807389">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522815271">
      <w:bodyDiv w:val="1"/>
      <w:marLeft w:val="0"/>
      <w:marRight w:val="0"/>
      <w:marTop w:val="0"/>
      <w:marBottom w:val="0"/>
      <w:divBdr>
        <w:top w:val="none" w:sz="0" w:space="0" w:color="auto"/>
        <w:left w:val="none" w:sz="0" w:space="0" w:color="auto"/>
        <w:bottom w:val="none" w:sz="0" w:space="0" w:color="auto"/>
        <w:right w:val="none" w:sz="0" w:space="0" w:color="auto"/>
      </w:divBdr>
    </w:div>
    <w:div w:id="1525366074">
      <w:bodyDiv w:val="1"/>
      <w:marLeft w:val="0"/>
      <w:marRight w:val="0"/>
      <w:marTop w:val="0"/>
      <w:marBottom w:val="0"/>
      <w:divBdr>
        <w:top w:val="none" w:sz="0" w:space="0" w:color="auto"/>
        <w:left w:val="none" w:sz="0" w:space="0" w:color="auto"/>
        <w:bottom w:val="none" w:sz="0" w:space="0" w:color="auto"/>
        <w:right w:val="none" w:sz="0" w:space="0" w:color="auto"/>
      </w:divBdr>
    </w:div>
    <w:div w:id="1539856321">
      <w:bodyDiv w:val="1"/>
      <w:marLeft w:val="0"/>
      <w:marRight w:val="0"/>
      <w:marTop w:val="0"/>
      <w:marBottom w:val="0"/>
      <w:divBdr>
        <w:top w:val="none" w:sz="0" w:space="0" w:color="auto"/>
        <w:left w:val="none" w:sz="0" w:space="0" w:color="auto"/>
        <w:bottom w:val="none" w:sz="0" w:space="0" w:color="auto"/>
        <w:right w:val="none" w:sz="0" w:space="0" w:color="auto"/>
      </w:divBdr>
      <w:divsChild>
        <w:div w:id="816604053">
          <w:marLeft w:val="150"/>
          <w:marRight w:val="150"/>
          <w:marTop w:val="150"/>
          <w:marBottom w:val="150"/>
          <w:divBdr>
            <w:top w:val="none" w:sz="0" w:space="0" w:color="auto"/>
            <w:left w:val="none" w:sz="0" w:space="0" w:color="auto"/>
            <w:bottom w:val="none" w:sz="0" w:space="0" w:color="auto"/>
            <w:right w:val="none" w:sz="0" w:space="0" w:color="auto"/>
          </w:divBdr>
        </w:div>
        <w:div w:id="1883783849">
          <w:marLeft w:val="150"/>
          <w:marRight w:val="150"/>
          <w:marTop w:val="150"/>
          <w:marBottom w:val="150"/>
          <w:divBdr>
            <w:top w:val="none" w:sz="0" w:space="0" w:color="auto"/>
            <w:left w:val="none" w:sz="0" w:space="0" w:color="auto"/>
            <w:bottom w:val="none" w:sz="0" w:space="0" w:color="auto"/>
            <w:right w:val="none" w:sz="0" w:space="0" w:color="auto"/>
          </w:divBdr>
        </w:div>
        <w:div w:id="2005813465">
          <w:marLeft w:val="150"/>
          <w:marRight w:val="150"/>
          <w:marTop w:val="150"/>
          <w:marBottom w:val="150"/>
          <w:divBdr>
            <w:top w:val="none" w:sz="0" w:space="0" w:color="auto"/>
            <w:left w:val="none" w:sz="0" w:space="0" w:color="auto"/>
            <w:bottom w:val="none" w:sz="0" w:space="0" w:color="auto"/>
            <w:right w:val="none" w:sz="0" w:space="0" w:color="auto"/>
          </w:divBdr>
        </w:div>
      </w:divsChild>
    </w:div>
    <w:div w:id="1642340850">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4476643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 w:id="942617343">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706175710">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71911665">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703169086">
      <w:bodyDiv w:val="1"/>
      <w:marLeft w:val="0"/>
      <w:marRight w:val="0"/>
      <w:marTop w:val="0"/>
      <w:marBottom w:val="0"/>
      <w:divBdr>
        <w:top w:val="none" w:sz="0" w:space="0" w:color="auto"/>
        <w:left w:val="none" w:sz="0" w:space="0" w:color="auto"/>
        <w:bottom w:val="none" w:sz="0" w:space="0" w:color="auto"/>
        <w:right w:val="none" w:sz="0" w:space="0" w:color="auto"/>
      </w:divBdr>
    </w:div>
    <w:div w:id="1704869202">
      <w:bodyDiv w:val="1"/>
      <w:marLeft w:val="0"/>
      <w:marRight w:val="0"/>
      <w:marTop w:val="0"/>
      <w:marBottom w:val="0"/>
      <w:divBdr>
        <w:top w:val="none" w:sz="0" w:space="0" w:color="auto"/>
        <w:left w:val="none" w:sz="0" w:space="0" w:color="auto"/>
        <w:bottom w:val="none" w:sz="0" w:space="0" w:color="auto"/>
        <w:right w:val="none" w:sz="0" w:space="0" w:color="auto"/>
      </w:divBdr>
      <w:divsChild>
        <w:div w:id="390422453">
          <w:blockQuote w:val="1"/>
          <w:marLeft w:val="0"/>
          <w:marRight w:val="0"/>
          <w:marTop w:val="240"/>
          <w:marBottom w:val="240"/>
          <w:divBdr>
            <w:top w:val="none" w:sz="0" w:space="0" w:color="auto"/>
            <w:left w:val="none" w:sz="0" w:space="0" w:color="auto"/>
            <w:bottom w:val="none" w:sz="0" w:space="0" w:color="auto"/>
            <w:right w:val="none" w:sz="0" w:space="0" w:color="auto"/>
          </w:divBdr>
        </w:div>
        <w:div w:id="630596887">
          <w:blockQuote w:val="1"/>
          <w:marLeft w:val="0"/>
          <w:marRight w:val="0"/>
          <w:marTop w:val="240"/>
          <w:marBottom w:val="240"/>
          <w:divBdr>
            <w:top w:val="none" w:sz="0" w:space="0" w:color="auto"/>
            <w:left w:val="none" w:sz="0" w:space="0" w:color="auto"/>
            <w:bottom w:val="none" w:sz="0" w:space="0" w:color="auto"/>
            <w:right w:val="none" w:sz="0" w:space="0" w:color="auto"/>
          </w:divBdr>
        </w:div>
        <w:div w:id="953169075">
          <w:blockQuote w:val="1"/>
          <w:marLeft w:val="0"/>
          <w:marRight w:val="0"/>
          <w:marTop w:val="240"/>
          <w:marBottom w:val="240"/>
          <w:divBdr>
            <w:top w:val="none" w:sz="0" w:space="0" w:color="auto"/>
            <w:left w:val="none" w:sz="0" w:space="0" w:color="auto"/>
            <w:bottom w:val="none" w:sz="0" w:space="0" w:color="auto"/>
            <w:right w:val="none" w:sz="0" w:space="0" w:color="auto"/>
          </w:divBdr>
        </w:div>
        <w:div w:id="963847143">
          <w:blockQuote w:val="1"/>
          <w:marLeft w:val="0"/>
          <w:marRight w:val="0"/>
          <w:marTop w:val="240"/>
          <w:marBottom w:val="240"/>
          <w:divBdr>
            <w:top w:val="none" w:sz="0" w:space="0" w:color="auto"/>
            <w:left w:val="none" w:sz="0" w:space="0" w:color="auto"/>
            <w:bottom w:val="none" w:sz="0" w:space="0" w:color="auto"/>
            <w:right w:val="none" w:sz="0" w:space="0" w:color="auto"/>
          </w:divBdr>
        </w:div>
        <w:div w:id="1258782624">
          <w:blockQuote w:val="1"/>
          <w:marLeft w:val="0"/>
          <w:marRight w:val="0"/>
          <w:marTop w:val="240"/>
          <w:marBottom w:val="240"/>
          <w:divBdr>
            <w:top w:val="none" w:sz="0" w:space="0" w:color="auto"/>
            <w:left w:val="none" w:sz="0" w:space="0" w:color="auto"/>
            <w:bottom w:val="none" w:sz="0" w:space="0" w:color="auto"/>
            <w:right w:val="none" w:sz="0" w:space="0" w:color="auto"/>
          </w:divBdr>
        </w:div>
        <w:div w:id="1278636754">
          <w:blockQuote w:val="1"/>
          <w:marLeft w:val="0"/>
          <w:marRight w:val="0"/>
          <w:marTop w:val="240"/>
          <w:marBottom w:val="240"/>
          <w:divBdr>
            <w:top w:val="none" w:sz="0" w:space="0" w:color="auto"/>
            <w:left w:val="none" w:sz="0" w:space="0" w:color="auto"/>
            <w:bottom w:val="none" w:sz="0" w:space="0" w:color="auto"/>
            <w:right w:val="none" w:sz="0" w:space="0" w:color="auto"/>
          </w:divBdr>
        </w:div>
        <w:div w:id="182473271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721124937">
      <w:bodyDiv w:val="1"/>
      <w:marLeft w:val="0"/>
      <w:marRight w:val="0"/>
      <w:marTop w:val="0"/>
      <w:marBottom w:val="0"/>
      <w:divBdr>
        <w:top w:val="none" w:sz="0" w:space="0" w:color="auto"/>
        <w:left w:val="none" w:sz="0" w:space="0" w:color="auto"/>
        <w:bottom w:val="none" w:sz="0" w:space="0" w:color="auto"/>
        <w:right w:val="none" w:sz="0" w:space="0" w:color="auto"/>
      </w:divBdr>
    </w:div>
    <w:div w:id="1751461071">
      <w:bodyDiv w:val="1"/>
      <w:marLeft w:val="0"/>
      <w:marRight w:val="0"/>
      <w:marTop w:val="0"/>
      <w:marBottom w:val="0"/>
      <w:divBdr>
        <w:top w:val="none" w:sz="0" w:space="0" w:color="auto"/>
        <w:left w:val="none" w:sz="0" w:space="0" w:color="auto"/>
        <w:bottom w:val="none" w:sz="0" w:space="0" w:color="auto"/>
        <w:right w:val="none" w:sz="0" w:space="0" w:color="auto"/>
      </w:divBdr>
    </w:div>
    <w:div w:id="1882983978">
      <w:bodyDiv w:val="1"/>
      <w:marLeft w:val="0"/>
      <w:marRight w:val="0"/>
      <w:marTop w:val="0"/>
      <w:marBottom w:val="0"/>
      <w:divBdr>
        <w:top w:val="none" w:sz="0" w:space="0" w:color="auto"/>
        <w:left w:val="none" w:sz="0" w:space="0" w:color="auto"/>
        <w:bottom w:val="none" w:sz="0" w:space="0" w:color="auto"/>
        <w:right w:val="none" w:sz="0" w:space="0" w:color="auto"/>
      </w:divBdr>
      <w:divsChild>
        <w:div w:id="62878815">
          <w:blockQuote w:val="1"/>
          <w:marLeft w:val="0"/>
          <w:marRight w:val="0"/>
          <w:marTop w:val="240"/>
          <w:marBottom w:val="240"/>
          <w:divBdr>
            <w:top w:val="none" w:sz="0" w:space="0" w:color="auto"/>
            <w:left w:val="none" w:sz="0" w:space="0" w:color="auto"/>
            <w:bottom w:val="none" w:sz="0" w:space="0" w:color="auto"/>
            <w:right w:val="none" w:sz="0" w:space="0" w:color="auto"/>
          </w:divBdr>
        </w:div>
        <w:div w:id="329522548">
          <w:blockQuote w:val="1"/>
          <w:marLeft w:val="0"/>
          <w:marRight w:val="0"/>
          <w:marTop w:val="240"/>
          <w:marBottom w:val="240"/>
          <w:divBdr>
            <w:top w:val="none" w:sz="0" w:space="0" w:color="auto"/>
            <w:left w:val="none" w:sz="0" w:space="0" w:color="auto"/>
            <w:bottom w:val="none" w:sz="0" w:space="0" w:color="auto"/>
            <w:right w:val="none" w:sz="0" w:space="0" w:color="auto"/>
          </w:divBdr>
        </w:div>
        <w:div w:id="207835980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94661437">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 w:id="1954241630">
      <w:bodyDiv w:val="1"/>
      <w:marLeft w:val="0"/>
      <w:marRight w:val="0"/>
      <w:marTop w:val="0"/>
      <w:marBottom w:val="0"/>
      <w:divBdr>
        <w:top w:val="none" w:sz="0" w:space="0" w:color="auto"/>
        <w:left w:val="none" w:sz="0" w:space="0" w:color="auto"/>
        <w:bottom w:val="none" w:sz="0" w:space="0" w:color="auto"/>
        <w:right w:val="none" w:sz="0" w:space="0" w:color="auto"/>
      </w:divBdr>
    </w:div>
    <w:div w:id="2092189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11217744181577511517&amp;q=Ford+773+F.2d&amp;hl=en&amp;as_sdt=6,33" TargetMode="External"/><Relationship Id="rId299" Type="http://schemas.openxmlformats.org/officeDocument/2006/relationships/hyperlink" Target="javascript:invokeFlexDocument('XM1LEV&amp;jcsearch=95%20us%20704&amp;summary=yes" TargetMode="External"/><Relationship Id="rId21" Type="http://schemas.openxmlformats.org/officeDocument/2006/relationships/hyperlink" Target="https://scholar.google.com/scholar_case?case=8107436400939860073&amp;q=399+U.S.+235&amp;hl=en&amp;as_sdt=6,33" TargetMode="External"/><Relationship Id="rId63" Type="http://schemas.openxmlformats.org/officeDocument/2006/relationships/hyperlink" Target="https://scholar.google.com/scholar_case?case=17857027455813458931&amp;q=498+U.S.+42&amp;hl=en&amp;as_sdt=6,33" TargetMode="External"/><Relationship Id="rId159" Type="http://schemas.openxmlformats.org/officeDocument/2006/relationships/hyperlink" Target="https://scholar.google.com/scholar_case?case=469700837055772695&amp;q=607+F.3d+957+&amp;hl=en&amp;as_sdt=6,33" TargetMode="External"/><Relationship Id="rId324" Type="http://schemas.openxmlformats.org/officeDocument/2006/relationships/hyperlink" Target="https://scholar.google.com/scholar_case?case=12800653247761237150&amp;q=485+U.S.+197+&amp;hl=en&amp;as_sdt=6,33" TargetMode="External"/><Relationship Id="rId366" Type="http://schemas.openxmlformats.org/officeDocument/2006/relationships/image" Target="media/image10.png"/><Relationship Id="rId170" Type="http://schemas.openxmlformats.org/officeDocument/2006/relationships/hyperlink" Target="https://scholar.google.com/scholar_case?case=1087202104445559765&amp;q=64+B.R.+156+&amp;hl=en&amp;as_sdt=6,33" TargetMode="External"/><Relationship Id="rId226" Type="http://schemas.openxmlformats.org/officeDocument/2006/relationships/hyperlink" Target="https://scholar.google.com/scholar_case?case=13859586450413514490&amp;q=160+F.3d+843+&amp;hl=en&amp;as_sdt=6,33" TargetMode="External"/><Relationship Id="rId268" Type="http://schemas.openxmlformats.org/officeDocument/2006/relationships/hyperlink" Target="https://scholar.google.com/scholar_case?case=7453690703091687600&amp;q=911+F.2d+560+&amp;hl=en&amp;as_sdt=6,33" TargetMode="External"/><Relationship Id="rId32" Type="http://schemas.openxmlformats.org/officeDocument/2006/relationships/hyperlink" Target="https://www.dol.gov/whd/regs/compliance/whdfs30.pdf" TargetMode="External"/><Relationship Id="rId74" Type="http://schemas.openxmlformats.org/officeDocument/2006/relationships/hyperlink" Target="https://scholar.google.com/scholar_case?case=5175930322275357628&amp;q=222+F.3d+1184&amp;hl=en&amp;as_sdt=6,33" TargetMode="External"/><Relationship Id="rId128" Type="http://schemas.openxmlformats.org/officeDocument/2006/relationships/hyperlink" Target="https://scholar.google.com/scholar_case?case=11471516040262230378&amp;q=106+B.R.+485&amp;hl=en&amp;as_sdt=6,33" TargetMode="External"/><Relationship Id="rId335" Type="http://schemas.openxmlformats.org/officeDocument/2006/relationships/hyperlink" Target="https://scholar.google.com/scholar_case?case=1243934148487702883&amp;q=722+F.2d+1063+&amp;hl=en&amp;as_sdt=6,33" TargetMode="External"/><Relationship Id="rId5" Type="http://schemas.openxmlformats.org/officeDocument/2006/relationships/webSettings" Target="webSettings.xml"/><Relationship Id="rId181" Type="http://schemas.openxmlformats.org/officeDocument/2006/relationships/hyperlink" Target="https://scholar.google.com/scholar_case?case=3524424338722348791&amp;q=152+B.R.+939+&amp;hl=en&amp;as_sdt=6,33" TargetMode="External"/><Relationship Id="rId237" Type="http://schemas.openxmlformats.org/officeDocument/2006/relationships/hyperlink" Target="https://scholar.google.com/scholar_case?case=49260192695374134&amp;q=839+F.2d+198+&amp;hl=en&amp;as_sdt=6,33" TargetMode="External"/><Relationship Id="rId279" Type="http://schemas.openxmlformats.org/officeDocument/2006/relationships/hyperlink" Target="https://scholar.google.com/scholar_case?case=12243411048382222886&amp;q=999+F.2d+1132&amp;hl=en&amp;as_sdt=6,33" TargetMode="External"/><Relationship Id="rId43" Type="http://schemas.openxmlformats.org/officeDocument/2006/relationships/hyperlink" Target="https://scholar.google.com/scholar_case?case=73520136755756319&amp;q=921+S.W.2d+52&amp;hl=en&amp;as_sdt=6,33" TargetMode="External"/><Relationship Id="rId139" Type="http://schemas.openxmlformats.org/officeDocument/2006/relationships/hyperlink" Target="https://scholar.google.com/scholar_case?case=5275721006227660785&amp;q=117+B.R.+789&amp;hl=en&amp;as_sdt=6,33" TargetMode="External"/><Relationship Id="rId290" Type="http://schemas.openxmlformats.org/officeDocument/2006/relationships/hyperlink" Target="https://scholar.google.com/scholar_case?case=15858392058311735149&amp;q=In+re+Hashemi+&amp;hl=en&amp;as_sdt=6,33" TargetMode="External"/><Relationship Id="rId304" Type="http://schemas.openxmlformats.org/officeDocument/2006/relationships/hyperlink" Target="https://scholar.google.com/scholar_case?case=3097794874081589584&amp;q=788+F.+2d+994&amp;hl=en&amp;as_sdt=6,33" TargetMode="External"/><Relationship Id="rId346" Type="http://schemas.openxmlformats.org/officeDocument/2006/relationships/hyperlink" Target="https://scholar.google.com/scholar_case?case=3799759007199566913&amp;q=229+F.3d+750&amp;hl=en&amp;as_sdt=6,33" TargetMode="External"/><Relationship Id="rId85" Type="http://schemas.openxmlformats.org/officeDocument/2006/relationships/package" Target="embeddings/Microsoft_Excel_Worksheet1.xlsx"/><Relationship Id="rId150" Type="http://schemas.openxmlformats.org/officeDocument/2006/relationships/hyperlink" Target="https://scholar.google.com/scholar_case?case=10821616766293642529&amp;q=391+U.S.+471+&amp;hl=en&amp;as_sdt=6,33" TargetMode="External"/><Relationship Id="rId192" Type="http://schemas.openxmlformats.org/officeDocument/2006/relationships/hyperlink" Target="https://scholar.google.com/scholar_case?case=6605872033492861229&amp;q=80+B.R.+210&amp;hl=en&amp;as_sdt=6,33" TargetMode="External"/><Relationship Id="rId206" Type="http://schemas.openxmlformats.org/officeDocument/2006/relationships/package" Target="embeddings/Microsoft_Excel_Worksheet3.xlsx"/><Relationship Id="rId248" Type="http://schemas.openxmlformats.org/officeDocument/2006/relationships/hyperlink" Target="https://scholar.google.com/scholar_case?case=37144460416169439&amp;q=Ohio+kovacs&amp;hl=en&amp;as_sdt=6,33" TargetMode="External"/><Relationship Id="rId12" Type="http://schemas.openxmlformats.org/officeDocument/2006/relationships/hyperlink" Target="http://www.elangdell.cali.org" TargetMode="External"/><Relationship Id="rId108" Type="http://schemas.openxmlformats.org/officeDocument/2006/relationships/hyperlink" Target="https://scholar.google.com/scholar_case?case=8790520056537238897&amp;q=503+U.S.+638+&amp;hl=en&amp;as_sdt=6,33" TargetMode="External"/><Relationship Id="rId315" Type="http://schemas.openxmlformats.org/officeDocument/2006/relationships/hyperlink" Target="https://scholar.google.com/scholar_case?case=3110027228641532807&amp;hl=en&amp;as_sdt=5,33&amp;sciodt=6,33" TargetMode="External"/><Relationship Id="rId357" Type="http://schemas.openxmlformats.org/officeDocument/2006/relationships/hyperlink" Target="https://codes.findlaw.com/ny/civil-practice-law-and-rules/cvp-sect-5201.html" TargetMode="External"/><Relationship Id="rId54" Type="http://schemas.openxmlformats.org/officeDocument/2006/relationships/hyperlink" Target="https://scholar.google.com/scholar_case?case=18180321675080615248&amp;q=433+A.2d+888&amp;hl=en&amp;as_sdt=6,33" TargetMode="External"/><Relationship Id="rId96" Type="http://schemas.openxmlformats.org/officeDocument/2006/relationships/hyperlink" Target="https://scholar.google.com/scholar_case?case=9534348278087451617&amp;q=173+B.R.+411+&amp;hl=en&amp;as_sdt=6,33" TargetMode="External"/><Relationship Id="rId161" Type="http://schemas.openxmlformats.org/officeDocument/2006/relationships/hyperlink" Target="https://scholar.google.com/scholar_case?case=11451232998733140147&amp;q=6+B.R.+370&amp;hl=en&amp;as_sdt=6,33" TargetMode="External"/><Relationship Id="rId217" Type="http://schemas.openxmlformats.org/officeDocument/2006/relationships/hyperlink" Target="https://scholar.google.com/scholar_case?case=12896021628386218207&amp;q=520+U.S.+953+&amp;hl=en&amp;as_sdt=6,33" TargetMode="External"/><Relationship Id="rId259" Type="http://schemas.openxmlformats.org/officeDocument/2006/relationships/hyperlink" Target="https://scholar.google.com/scholar_case?case=3486762931376103161&amp;q=189+B.R.+413+&amp;hl=en&amp;as_sdt=6,33" TargetMode="External"/><Relationship Id="rId23" Type="http://schemas.openxmlformats.org/officeDocument/2006/relationships/hyperlink" Target="https://www.supremecourt.gov/opinions/16pdf/16-348_h315.pdf" TargetMode="External"/><Relationship Id="rId119" Type="http://schemas.openxmlformats.org/officeDocument/2006/relationships/hyperlink" Target="https://scholar.google.com/scholar_case?case=1242337241159533031&amp;q=848+F.2d+866+&amp;hl=en&amp;as_sdt=6,33" TargetMode="External"/><Relationship Id="rId270" Type="http://schemas.openxmlformats.org/officeDocument/2006/relationships/hyperlink" Target="https://scholar.google.com/scholar_case?case=11348231051613371601&amp;q=352+F.3d+902&amp;hl=en&amp;as_sdt=6,33" TargetMode="External"/><Relationship Id="rId326" Type="http://schemas.openxmlformats.org/officeDocument/2006/relationships/hyperlink" Target="https://scholar.google.com/scholar_case?case=3557678333031131634&amp;q=70+B.R.+330+&amp;hl=en&amp;as_sdt=6,33" TargetMode="External"/><Relationship Id="rId65" Type="http://schemas.openxmlformats.org/officeDocument/2006/relationships/hyperlink" Target="https://scholar.google.com/scholar_case?case=1197833712036957098&amp;q=665+F.+3d+906+&amp;hl=en&amp;as_sdt=6,33" TargetMode="External"/><Relationship Id="rId130" Type="http://schemas.openxmlformats.org/officeDocument/2006/relationships/hyperlink" Target="https://scholar.google.com/scholar_case?case=13136932262598326186&amp;q=958+F.+2d+738+&amp;hl=en&amp;as_sdt=6,33" TargetMode="External"/><Relationship Id="rId368" Type="http://schemas.openxmlformats.org/officeDocument/2006/relationships/footer" Target="footer4.xml"/><Relationship Id="rId172" Type="http://schemas.openxmlformats.org/officeDocument/2006/relationships/hyperlink" Target="https://scholar.google.com/scholar_case?case=6187218931849646587&amp;q=194+B.R.+703&amp;hl=en&amp;as_sdt=6,33" TargetMode="External"/><Relationship Id="rId228" Type="http://schemas.openxmlformats.org/officeDocument/2006/relationships/hyperlink" Target="https://scholar.google.com/scholar_case?case=5122241988197630620&amp;q=364+B.R.+211&amp;hl=en&amp;as_sdt=6,33" TargetMode="External"/><Relationship Id="rId281" Type="http://schemas.openxmlformats.org/officeDocument/2006/relationships/hyperlink" Target="http://law.justia.com/cases/federal/appellate-courts/ca1/14-1328/14-1328-2015-02-18.html" TargetMode="External"/><Relationship Id="rId337" Type="http://schemas.openxmlformats.org/officeDocument/2006/relationships/hyperlink" Target="https://scholar.google.com/scholar_case?case=6519618196243198858&amp;q=141+F.2d+747&amp;hl=en&amp;as_sdt=6,33" TargetMode="External"/><Relationship Id="rId34" Type="http://schemas.openxmlformats.org/officeDocument/2006/relationships/image" Target="media/image2.emf"/><Relationship Id="rId76" Type="http://schemas.openxmlformats.org/officeDocument/2006/relationships/hyperlink" Target="https://scholar.google.com/scholar_case?case=534503563854632441&amp;q=497+F.3d+364&amp;hl=en&amp;as_sdt=6,33" TargetMode="External"/><Relationship Id="rId141" Type="http://schemas.openxmlformats.org/officeDocument/2006/relationships/hyperlink" Target="https://scholar.google.com/scholar_case?case=17706578349113896456&amp;q=27+B.R.+460+&amp;hl=en&amp;as_sdt=6,33" TargetMode="External"/><Relationship Id="rId7" Type="http://schemas.openxmlformats.org/officeDocument/2006/relationships/endnotes" Target="endnotes.xml"/><Relationship Id="rId183" Type="http://schemas.openxmlformats.org/officeDocument/2006/relationships/hyperlink" Target="https://scholar.google.com/scholar_case?case=5567620409035044874&amp;q=59+B.R.+815+&amp;hl=en&amp;as_sdt=6,33" TargetMode="External"/><Relationship Id="rId239" Type="http://schemas.openxmlformats.org/officeDocument/2006/relationships/hyperlink" Target="https://scholar.google.com/scholar_case?case=304713179637664387&amp;q=58+F.3d+1573+&amp;hl=en&amp;as_sdt=6,33" TargetMode="External"/><Relationship Id="rId250" Type="http://schemas.openxmlformats.org/officeDocument/2006/relationships/hyperlink" Target="https://scholar.google.com/scholar_case?case=4494055564310920970&amp;q=106+F.2d+22+&amp;hl=en&amp;as_sdt=6,33" TargetMode="External"/><Relationship Id="rId292" Type="http://schemas.openxmlformats.org/officeDocument/2006/relationships/hyperlink" Target="https://scholar.google.com/scholar_case?case=1510041682889415484&amp;q=538+U.S.+314+&amp;hl=en&amp;as_sdt=6,33" TargetMode="External"/><Relationship Id="rId306" Type="http://schemas.openxmlformats.org/officeDocument/2006/relationships/hyperlink" Target="https://scholar.google.com/scholar_case?case=5933279483801854100&amp;q=254+B.R.+492+&amp;hl=en&amp;as_sdt=6,33" TargetMode="External"/><Relationship Id="rId45" Type="http://schemas.openxmlformats.org/officeDocument/2006/relationships/hyperlink" Target="https://scholar.google.com/scholar_case?case=13380908386479580578&amp;q=278+S.C.+449+&amp;hl=en&amp;as_sdt=6,33" TargetMode="External"/><Relationship Id="rId87" Type="http://schemas.openxmlformats.org/officeDocument/2006/relationships/hyperlink" Target="https://scholar.google.com/scholar_case?case=15400415731479048957&amp;q=110+B.R.+819+&amp;hl=en&amp;as_sdt=6,33" TargetMode="External"/><Relationship Id="rId110" Type="http://schemas.openxmlformats.org/officeDocument/2006/relationships/hyperlink" Target="https://scholar.google.com/scholar_case?case=6927188954436319020&amp;q=848+F.2d+871+&amp;hl=en&amp;as_sdt=6,33" TargetMode="External"/><Relationship Id="rId348" Type="http://schemas.openxmlformats.org/officeDocument/2006/relationships/hyperlink" Target="https://scholar.google.com/scholar_case?case=3799759007199566913&amp;q=229+F.3d+750+&amp;hl=en&amp;as_sdt=6,33" TargetMode="External"/><Relationship Id="rId152" Type="http://schemas.openxmlformats.org/officeDocument/2006/relationships/hyperlink" Target="https://scholar.google.com/scholar_case?case=10821616766293642529&amp;q=391+U.S.+471+&amp;hl=en&amp;as_sdt=6,33" TargetMode="External"/><Relationship Id="rId194" Type="http://schemas.openxmlformats.org/officeDocument/2006/relationships/hyperlink" Target="https://scholar.google.com/scholar_case?case=6167575495030874872&amp;q=496+U.S.+53+&amp;hl=en&amp;as_sdt=6,33" TargetMode="External"/><Relationship Id="rId208" Type="http://schemas.openxmlformats.org/officeDocument/2006/relationships/hyperlink" Target="https://scholar.google.com/scholar_case?case=7991846364510781916&amp;q=Orexigen+Therapeutics&amp;hl=en&amp;as_sdt=6,33" TargetMode="External"/><Relationship Id="rId261" Type="http://schemas.openxmlformats.org/officeDocument/2006/relationships/hyperlink" Target="https://scholar.google.com/scholar_case?case=15400415731479048957&amp;q=110+B.R.+819&amp;hl=en&amp;as_sdt=6,33" TargetMode="External"/><Relationship Id="rId14" Type="http://schemas.openxmlformats.org/officeDocument/2006/relationships/hyperlink" Target="mailto:feedback@cali.org" TargetMode="External"/><Relationship Id="rId56" Type="http://schemas.openxmlformats.org/officeDocument/2006/relationships/hyperlink" Target="https://scholar.google.com/scholar_case?case=10507315481518958506&amp;q=94+N.M.+760+&amp;hl=en&amp;as_sdt=6,33" TargetMode="External"/><Relationship Id="rId317" Type="http://schemas.openxmlformats.org/officeDocument/2006/relationships/hyperlink" Target="https://scholar.google.com/scholar_case?case=12372082957602972678&amp;q=292+B.R.+109+&amp;hl=en&amp;as_sdt=6,33" TargetMode="External"/><Relationship Id="rId359" Type="http://schemas.openxmlformats.org/officeDocument/2006/relationships/hyperlink" Target="https://codes.findlaw.com/ny/civil-practice-law-and-rules/cvp-sect-5203.html" TargetMode="External"/><Relationship Id="rId98" Type="http://schemas.openxmlformats.org/officeDocument/2006/relationships/hyperlink" Target="https://scholar.google.com/scholar_case?case=451509545423876087&amp;q=253+B.R.+204+&amp;hl=en&amp;as_sdt=6,33" TargetMode="External"/><Relationship Id="rId121" Type="http://schemas.openxmlformats.org/officeDocument/2006/relationships/hyperlink" Target="https://scholar.google.com/scholar_case?case=6579502612096253447&amp;q=500+U.S.+291+&amp;hl=en&amp;as_sdt=6,33" TargetMode="External"/><Relationship Id="rId163" Type="http://schemas.openxmlformats.org/officeDocument/2006/relationships/hyperlink" Target="https://scholar.google.com/scholar_case?case=7082297356294396670&amp;q=139+S.+Ct.+1652+&amp;hl=en&amp;as_sdt=6,33" TargetMode="External"/><Relationship Id="rId219" Type="http://schemas.openxmlformats.org/officeDocument/2006/relationships/hyperlink" Target="https://scholar.google.com/scholar_case?case=3605140572542691352&amp;q=329+U.S.+156+&amp;hl=en&amp;as_sdt=6,33" TargetMode="External"/><Relationship Id="rId370" Type="http://schemas.openxmlformats.org/officeDocument/2006/relationships/theme" Target="theme/theme1.xml"/><Relationship Id="rId230" Type="http://schemas.openxmlformats.org/officeDocument/2006/relationships/hyperlink" Target="https://scholar.google.com/scholar_case?case=11049440995269440043&amp;q=371+B.R.+434+&amp;hl=en&amp;as_sdt=6,33" TargetMode="External"/><Relationship Id="rId25" Type="http://schemas.openxmlformats.org/officeDocument/2006/relationships/hyperlink" Target="https://scholar.google.com/scholar_case?case=12685440404901349212&amp;q=407+U.S.+67+&amp;hl=en&amp;as_sdt=6,33" TargetMode="External"/><Relationship Id="rId67" Type="http://schemas.openxmlformats.org/officeDocument/2006/relationships/hyperlink" Target="https://scholar.google.com/scholar_case?case=1316675450041704353&amp;q=490+U.+S.+858+&amp;hl=en&amp;as_sdt=6,33" TargetMode="External"/><Relationship Id="rId272" Type="http://schemas.openxmlformats.org/officeDocument/2006/relationships/hyperlink" Target="https://scholar.google.com/scholar_case?case=6257601461085343713&amp;q=994+F.2d+1433+&amp;hl=en&amp;as_sdt=6,33" TargetMode="External"/><Relationship Id="rId328" Type="http://schemas.openxmlformats.org/officeDocument/2006/relationships/hyperlink" Target="https://scholar.google.com/scholar_case?case=12608334122928742978&amp;q=526+U.S.+434+&amp;hl=en&amp;as_sdt=6,33" TargetMode="External"/><Relationship Id="rId132" Type="http://schemas.openxmlformats.org/officeDocument/2006/relationships/hyperlink" Target="https://scholar.google.com/scholar_case?case=381070115260372523&amp;q=41+B.R.+838+&amp;hl=en&amp;as_sdt=6,33" TargetMode="External"/><Relationship Id="rId174" Type="http://schemas.openxmlformats.org/officeDocument/2006/relationships/hyperlink" Target="https://scholar.google.com/scholar_case?case=4911272812709751948&amp;q=284+U.S.+4+&amp;hl=en&amp;as_sdt=6,33" TargetMode="External"/><Relationship Id="rId241" Type="http://schemas.openxmlformats.org/officeDocument/2006/relationships/hyperlink" Target="https://scholar.google.com/scholar_case?case=649668332261742407&amp;q=18+F.3d+1268+&amp;hl=en&amp;as_sdt=6,33" TargetMode="External"/><Relationship Id="rId15" Type="http://schemas.openxmlformats.org/officeDocument/2006/relationships/hyperlink" Target="https://www.cali.org" TargetMode="External"/><Relationship Id="rId36" Type="http://schemas.openxmlformats.org/officeDocument/2006/relationships/hyperlink" Target="http://www.legalconsumer.com/bankruptcy/laws/" TargetMode="External"/><Relationship Id="rId57" Type="http://schemas.openxmlformats.org/officeDocument/2006/relationships/hyperlink" Target="https://scholar.google.com/scholar_case?case=8375184343895174641&amp;q=360+f.+supp+946&amp;hl=en&amp;as_sdt=6,33" TargetMode="External"/><Relationship Id="rId262" Type="http://schemas.openxmlformats.org/officeDocument/2006/relationships/hyperlink" Target="https://scholar.google.com/scholar_case?case=6539226614066180492&amp;q=182+B.R.+156+&amp;hl=en&amp;as_sdt=6,33" TargetMode="External"/><Relationship Id="rId283" Type="http://schemas.openxmlformats.org/officeDocument/2006/relationships/hyperlink" Target="http://bankruptcylaw.bna.com.lawezproxy.syr.edu/barc/display/link_res.adp?fedfid=63279119&amp;fname=usc_11_523_a_1_b_i_&amp;vname=barcdec" TargetMode="External"/><Relationship Id="rId318" Type="http://schemas.openxmlformats.org/officeDocument/2006/relationships/hyperlink" Target="https://scholar.google.com/scholar_case?case=13203180399569133495&amp;q=995+F.2d+1274++&amp;hl=en&amp;as_sdt=6,33" TargetMode="External"/><Relationship Id="rId339" Type="http://schemas.openxmlformats.org/officeDocument/2006/relationships/hyperlink" Target="https://scholar.google.com/scholar_case?case=2922261737264807568&amp;q=176+F.2d+493+&amp;hl=en&amp;as_sdt=6,33" TargetMode="External"/><Relationship Id="rId78" Type="http://schemas.openxmlformats.org/officeDocument/2006/relationships/hyperlink" Target="https://scholar.google.com/scholar_case?case=4521072562396182359&amp;q=200+F.3d+154+&amp;hl=en&amp;as_sdt=6,33" TargetMode="External"/><Relationship Id="rId99" Type="http://schemas.openxmlformats.org/officeDocument/2006/relationships/hyperlink" Target="https://scholar.google.com/scholar_case?case=3423322031701870949&amp;q=679+F.2d+718+&amp;hl=en&amp;as_sdt=6,33" TargetMode="External"/><Relationship Id="rId101" Type="http://schemas.openxmlformats.org/officeDocument/2006/relationships/hyperlink" Target="https://scholar.google.com/scholar_case?case=13742461518848998710&amp;q=5+B.R.+239+&amp;hl=en&amp;as_sdt=6,33" TargetMode="External"/><Relationship Id="rId122" Type="http://schemas.openxmlformats.org/officeDocument/2006/relationships/hyperlink" Target="https://scholar.google.com/scholar_case?case=11438722341028076779&amp;q=ferry+v+sanderfoot&amp;hl=en&amp;as_sdt=6,33" TargetMode="External"/><Relationship Id="rId143" Type="http://schemas.openxmlformats.org/officeDocument/2006/relationships/hyperlink" Target="https://scholar.google.com/scholar_case?case=687295560954917073&amp;q=141+S.+Ct.+585+&amp;hl=en&amp;as_sdt=6,33" TargetMode="External"/><Relationship Id="rId164" Type="http://schemas.openxmlformats.org/officeDocument/2006/relationships/hyperlink" Target="https://scholar.google.com/scholar_case?case=2085667150743757788&amp;q=831+F.2d+974+&amp;hl=en&amp;as_sdt=6,33" TargetMode="External"/><Relationship Id="rId185" Type="http://schemas.openxmlformats.org/officeDocument/2006/relationships/hyperlink" Target="https://scholar.google.com/scholar_case?case=7314883697828493483&amp;q=969+F.2d+806&amp;hl=en&amp;as_sdt=6,33" TargetMode="External"/><Relationship Id="rId350" Type="http://schemas.openxmlformats.org/officeDocument/2006/relationships/hyperlink" Target="https://scholar.google.com/scholar_case?case=17856983966397167492&amp;q=810+F.2d+270+&amp;hl=en&amp;as_sdt=6,33" TargetMode="External"/><Relationship Id="rId9" Type="http://schemas.openxmlformats.org/officeDocument/2006/relationships/footer" Target="footer1.xml"/><Relationship Id="rId210" Type="http://schemas.openxmlformats.org/officeDocument/2006/relationships/hyperlink" Target="https://scholar.google.com/scholar_case?case=7500629466441100983&amp;q=239+B.R.+261+&amp;hl=en&amp;as_sdt=6,33" TargetMode="External"/><Relationship Id="rId26" Type="http://schemas.openxmlformats.org/officeDocument/2006/relationships/hyperlink" Target="https://scholar.google.com/scholar_case?case=6876788155063609868&amp;q=416+U.S.+600+&amp;hl=en&amp;as_sdt=6,33" TargetMode="External"/><Relationship Id="rId231" Type="http://schemas.openxmlformats.org/officeDocument/2006/relationships/hyperlink" Target="https://scholar.google.com/scholar_case?case=6651890296527068030&amp;q=492+B.R.+537+&amp;hl=en&amp;as_sdt=6,33" TargetMode="External"/><Relationship Id="rId252" Type="http://schemas.openxmlformats.org/officeDocument/2006/relationships/hyperlink" Target="https://scholar.google.com/scholar_case?case=17504351416160675290&amp;q=184+B.R.+91+&amp;hl=en&amp;as_sdt=6,33" TargetMode="External"/><Relationship Id="rId273" Type="http://schemas.openxmlformats.org/officeDocument/2006/relationships/hyperlink" Target="https://scholar.google.com/scholar_case?case=15027383903041906255&amp;q=10+F.3d+285+&amp;hl=en&amp;as_sdt=6,33" TargetMode="External"/><Relationship Id="rId294" Type="http://schemas.openxmlformats.org/officeDocument/2006/relationships/hyperlink" Target="https://scholar.google.com/scholar_case?case=9665460079707273557&amp;q=22+F.+3d+775,&amp;hl=en&amp;as_sdt=6,33" TargetMode="External"/><Relationship Id="rId308" Type="http://schemas.openxmlformats.org/officeDocument/2006/relationships/hyperlink" Target="https://scholar.google.com/scholar_case?case=10163809175097474285&amp;q=Chapter+13+duplex&amp;hl=en&amp;as_sdt=6,33" TargetMode="External"/><Relationship Id="rId329" Type="http://schemas.openxmlformats.org/officeDocument/2006/relationships/hyperlink" Target="https://scholar.google.com/scholar_case?case=5299331316769878017&amp;q=308+U.+S.+106&amp;hl=en&amp;as_sdt=6,33" TargetMode="External"/><Relationship Id="rId47" Type="http://schemas.openxmlformats.org/officeDocument/2006/relationships/hyperlink" Target="https://scholar.google.com/scholar_case?case=15794337091501447574&amp;q=432+So.2d+483+&amp;hl=en&amp;as_sdt=6,33" TargetMode="External"/><Relationship Id="rId68" Type="http://schemas.openxmlformats.org/officeDocument/2006/relationships/hyperlink" Target="https://scholar.google.com/scholar_case?case=4599256788625539839&amp;q=501+U.+S.+923+&amp;hl=en&amp;as_sdt=6,33" TargetMode="External"/><Relationship Id="rId89" Type="http://schemas.openxmlformats.org/officeDocument/2006/relationships/hyperlink" Target="https://scholar.google.com/scholar_case?case=14323355828766399350&amp;q=99+B.R.+412+&amp;hl=en&amp;as_sdt=6,33" TargetMode="External"/><Relationship Id="rId112" Type="http://schemas.openxmlformats.org/officeDocument/2006/relationships/hyperlink" Target="https://scholar.google.com/scholar_case?case=14420218820786351696&amp;q=848+F.2d+871+&amp;hl=en&amp;as_sdt=6,33" TargetMode="External"/><Relationship Id="rId133" Type="http://schemas.openxmlformats.org/officeDocument/2006/relationships/hyperlink" Target="https://scholar.google.com/scholar_case?case=2817614457866790109&amp;q=733+F.2d+267+&amp;hl=en&amp;as_sdt=6,33" TargetMode="External"/><Relationship Id="rId154" Type="http://schemas.openxmlformats.org/officeDocument/2006/relationships/hyperlink" Target="https://scholar.google.com/scholar_case?case=10248337258166905873&amp;q=114+F.3d+379&amp;hl=en&amp;as_sdt=6,33" TargetMode="External"/><Relationship Id="rId175" Type="http://schemas.openxmlformats.org/officeDocument/2006/relationships/hyperlink" Target="https://scholar.google.com/scholar_case?case=4911272812709751948&amp;q=284+U.S.+4+&amp;hl=en&amp;as_sdt=6,33" TargetMode="External"/><Relationship Id="rId340" Type="http://schemas.openxmlformats.org/officeDocument/2006/relationships/hyperlink" Target="https://scholar.google.com/scholar_case?case=3918154617487545791&amp;q=188+F.2d+851+&amp;hl=en&amp;as_sdt=6,33" TargetMode="External"/><Relationship Id="rId361" Type="http://schemas.openxmlformats.org/officeDocument/2006/relationships/hyperlink" Target="https://codes.findlaw.com/ny/civil-practice-law-and-rules/cvp-sect-5206.html" TargetMode="External"/><Relationship Id="rId196" Type="http://schemas.openxmlformats.org/officeDocument/2006/relationships/hyperlink" Target="https://scholar.google.com/scholar_case?case=846695862560388828&amp;q=550+F.3d+1251+&amp;hl=en&amp;as_sdt=6,33" TargetMode="External"/><Relationship Id="rId200" Type="http://schemas.openxmlformats.org/officeDocument/2006/relationships/hyperlink" Target="https://scholar.google.com/scholar_case?case=9711696777016674032&amp;q=502+U.S.+151+&amp;hl=en&amp;as_sdt=6,33" TargetMode="External"/><Relationship Id="rId16" Type="http://schemas.openxmlformats.org/officeDocument/2006/relationships/hyperlink" Target="https://www.cali.org/faq/15779" TargetMode="External"/><Relationship Id="rId221" Type="http://schemas.openxmlformats.org/officeDocument/2006/relationships/hyperlink" Target="https://scholar.google.com/scholar_case?case=6601020025980571557&amp;q=44+B.R.+244&amp;hl=en&amp;as_sdt=6,33" TargetMode="External"/><Relationship Id="rId242" Type="http://schemas.openxmlformats.org/officeDocument/2006/relationships/hyperlink" Target="https://scholar.google.com/scholar_case?case=11884846695294362131&amp;q=607+F.+3d+114+&amp;hl=en&amp;as_sdt=6,33" TargetMode="External"/><Relationship Id="rId263" Type="http://schemas.openxmlformats.org/officeDocument/2006/relationships/hyperlink" Target="https://scholar.google.com/scholar_case?case=14323355828766399350&amp;q=99+B.R.+412+&amp;hl=en&amp;as_sdt=6,33" TargetMode="External"/><Relationship Id="rId284" Type="http://schemas.openxmlformats.org/officeDocument/2006/relationships/hyperlink" Target="http://bankruptcylaw.bna.com.lawezproxy.syr.edu/barc/display/link_res.adp?fedfid=63279119&amp;fname=f3d_352_902&amp;vname=barcdec" TargetMode="External"/><Relationship Id="rId319" Type="http://schemas.openxmlformats.org/officeDocument/2006/relationships/hyperlink" Target="https://scholar.google.com/scholar_case?case=6413952767061543408&amp;q=160+B.R.+202++&amp;hl=en&amp;as_sdt=6,33" TargetMode="External"/><Relationship Id="rId37" Type="http://schemas.openxmlformats.org/officeDocument/2006/relationships/hyperlink" Target="https://www.uniformlaws.org/HigherLogic/System/DownloadDocumentFile.ashx?DocumentFileKey=1a5715f1-679d-1a43-e82c-c2aaa2238f86" TargetMode="External"/><Relationship Id="rId58" Type="http://schemas.openxmlformats.org/officeDocument/2006/relationships/hyperlink" Target="https://scholar.google.com/scholar_case?case=16085950680447603062&amp;q=885+N.Y.S.2d+905+&amp;hl=en&amp;as_sdt=6,33" TargetMode="External"/><Relationship Id="rId79" Type="http://schemas.openxmlformats.org/officeDocument/2006/relationships/hyperlink" Target="https://scholar.google.com/scholar_case?case=10521644947576954525&amp;q=351+B.R.+790+&amp;hl=en&amp;as_sdt=6,33" TargetMode="External"/><Relationship Id="rId102" Type="http://schemas.openxmlformats.org/officeDocument/2006/relationships/hyperlink" Target="https://scholar.google.com/scholar_case?case=11772418319578003605&amp;q=194+B.R.+818+&amp;hl=en&amp;as_sdt=6,33" TargetMode="External"/><Relationship Id="rId123" Type="http://schemas.openxmlformats.org/officeDocument/2006/relationships/hyperlink" Target="https://scholar.google.com/scholar_case?case=4977446496776803222&amp;q=ferry+v+sanderfoot&amp;hl=en&amp;as_sdt=6,33" TargetMode="External"/><Relationship Id="rId144" Type="http://schemas.openxmlformats.org/officeDocument/2006/relationships/hyperlink" Target="https://scholar.google.com/scholar_case?case=6713667493961817217&amp;q=676+f3d+45&amp;hl=en&amp;as_sdt=6,33" TargetMode="External"/><Relationship Id="rId330" Type="http://schemas.openxmlformats.org/officeDocument/2006/relationships/hyperlink" Target="https://scholar.google.com/scholar_case?case=5299331316769878017&amp;q=BofA+v.+203+North+LaSalle&amp;hl=en&amp;as_sdt=6,33" TargetMode="External"/><Relationship Id="rId90" Type="http://schemas.openxmlformats.org/officeDocument/2006/relationships/hyperlink" Target="https://scholar.google.com/scholar_case?case=7048288883169020909&amp;q=82+B.R.+637+&amp;hl=en&amp;as_sdt=6,33" TargetMode="External"/><Relationship Id="rId165" Type="http://schemas.openxmlformats.org/officeDocument/2006/relationships/hyperlink" Target="https://scholar.google.com/scholar_case?case=8515552778735420833&amp;q=201+B.R.+73+&amp;hl=en&amp;as_sdt=6,33" TargetMode="External"/><Relationship Id="rId186" Type="http://schemas.openxmlformats.org/officeDocument/2006/relationships/hyperlink" Target="https://scholar.google.com/scholar_case?case=10007622550586229873&amp;q=203+B.R.+653+&amp;hl=en&amp;as_sdt=6,33" TargetMode="External"/><Relationship Id="rId351" Type="http://schemas.openxmlformats.org/officeDocument/2006/relationships/hyperlink" Target="https://scholar.google.com/scholar_case?case=11057387992216597660&amp;q=419+F.3d+195&amp;hl=en&amp;as_sdt=6,33" TargetMode="External"/><Relationship Id="rId211" Type="http://schemas.openxmlformats.org/officeDocument/2006/relationships/hyperlink" Target="https://scholar.google.com/scholar_case?case=8455600172572864905&amp;q=534+F.3d+502+&amp;hl=en&amp;as_sdt=6,33" TargetMode="External"/><Relationship Id="rId232" Type="http://schemas.openxmlformats.org/officeDocument/2006/relationships/hyperlink" Target="https://scholar.google.com/scholar_case?case=14748335167889012377&amp;q=484+U.S.+365+&amp;hl=en&amp;as_sdt=6,33" TargetMode="External"/><Relationship Id="rId253" Type="http://schemas.openxmlformats.org/officeDocument/2006/relationships/hyperlink" Target="https://scholar.google.com/scholar_case?case=4645703100320813991&amp;q=Wilson+v.+Brooks+Supermarket&amp;hl=en&amp;as_sdt=6,33" TargetMode="External"/><Relationship Id="rId274" Type="http://schemas.openxmlformats.org/officeDocument/2006/relationships/hyperlink" Target="https://scholar.google.com/scholar_case?case=1849155227681581572&amp;q=78+F.3d+110+&amp;hl=en&amp;as_sdt=6,33" TargetMode="External"/><Relationship Id="rId295" Type="http://schemas.openxmlformats.org/officeDocument/2006/relationships/hyperlink" Target="https://scholar.google.com/scholar_case?case=15318245728245347162&amp;q=523+U.S.+57+&amp;hl=en&amp;as_sdt=6,33" TargetMode="External"/><Relationship Id="rId309" Type="http://schemas.openxmlformats.org/officeDocument/2006/relationships/hyperlink" Target="https://scholar.google.com/scholar_case?case=10722058415710025861&amp;q=Chapter+13+duplex&amp;hl=en&amp;as_sdt=6,33" TargetMode="External"/><Relationship Id="rId27" Type="http://schemas.openxmlformats.org/officeDocument/2006/relationships/hyperlink" Target="https://scholar.google.com/scholar_case?case=14889355691689441798&amp;q=419+U.S.+601+&amp;hl=en&amp;as_sdt=6,33" TargetMode="External"/><Relationship Id="rId48" Type="http://schemas.openxmlformats.org/officeDocument/2006/relationships/hyperlink" Target="https://scholar.google.com/scholar_case?case=391875529700612098&amp;q=135+Ill.+App.3d+264+&amp;hl=en&amp;as_sdt=6,33" TargetMode="External"/><Relationship Id="rId69" Type="http://schemas.openxmlformats.org/officeDocument/2006/relationships/hyperlink" Target="https://scholar.google.com/scholar_case?case=17655362016925106848&amp;q=Executive+Benefits+Arkison&amp;hl=en&amp;as_sdt=6,33" TargetMode="External"/><Relationship Id="rId113" Type="http://schemas.openxmlformats.org/officeDocument/2006/relationships/hyperlink" Target="https://scholar.google.com/scholar_case?case=434468960913516990&amp;q=848+F.2d+871+&amp;hl=en&amp;as_sdt=6,33" TargetMode="External"/><Relationship Id="rId134" Type="http://schemas.openxmlformats.org/officeDocument/2006/relationships/hyperlink" Target="https://scholar.google.com/scholar_case?case=37144460416169439&amp;q=469+U.S.+274+&amp;hl=en&amp;as_sdt=6,33" TargetMode="External"/><Relationship Id="rId320" Type="http://schemas.openxmlformats.org/officeDocument/2006/relationships/hyperlink" Target="https://scholar.google.com/scholar_case?case=7154313444127630537&amp;q=107+B.R.+at+587&amp;hl=en&amp;as_sdt=6,33" TargetMode="External"/><Relationship Id="rId80" Type="http://schemas.openxmlformats.org/officeDocument/2006/relationships/hyperlink" Target="https://scholar.google.com/scholar_case?case=10383991401287061625&amp;q=779+F.+2d+1068,&amp;hl=en&amp;as_sdt=6,33" TargetMode="External"/><Relationship Id="rId155" Type="http://schemas.openxmlformats.org/officeDocument/2006/relationships/hyperlink" Target="https://scholar.google.com/scholar_case?case=512377042106424708&amp;q=756+F.2d+1043&amp;hl=en&amp;as_sdt=6,33" TargetMode="External"/><Relationship Id="rId176" Type="http://schemas.openxmlformats.org/officeDocument/2006/relationships/hyperlink" Target="https://scholar.google.com/scholar_case?case=937976758637430043&amp;q=511+U.S.+531+&amp;hl=en&amp;as_sdt=6,33" TargetMode="External"/><Relationship Id="rId197" Type="http://schemas.openxmlformats.org/officeDocument/2006/relationships/hyperlink" Target="https://scholar.google.com/scholar_case?case=6167575495030874872&amp;q=496+U.S.+53+&amp;hl=en&amp;as_sdt=6,33" TargetMode="External"/><Relationship Id="rId341" Type="http://schemas.openxmlformats.org/officeDocument/2006/relationships/hyperlink" Target="https://scholar.google.com/scholar_case?case=4927956921494224687&amp;q=332+F.2d+497+&amp;hl=en&amp;as_sdt=6,33" TargetMode="External"/><Relationship Id="rId362" Type="http://schemas.openxmlformats.org/officeDocument/2006/relationships/hyperlink" Target="https://codes.findlaw.com/ny/debtor-and-creditor-law/dcd-sect-282.html" TargetMode="External"/><Relationship Id="rId201" Type="http://schemas.openxmlformats.org/officeDocument/2006/relationships/hyperlink" Target="https://scholar.google.com/scholar_case?case=17029222944419557914&amp;q=3+F.3d+1029+&amp;hl=en&amp;as_sdt=6,33" TargetMode="External"/><Relationship Id="rId222" Type="http://schemas.openxmlformats.org/officeDocument/2006/relationships/hyperlink" Target="https://scholar.google.com/scholar_case?case=11507159988380204440&amp;q=Hartford+Union+Planters&amp;hl=en&amp;as_sdt=6,33" TargetMode="External"/><Relationship Id="rId243" Type="http://schemas.openxmlformats.org/officeDocument/2006/relationships/hyperlink" Target="https://scholar.google.com/scholar_case?case=5942737682600413485&amp;q=744+F.2d+332+&amp;hl=en&amp;as_sdt=6,33" TargetMode="External"/><Relationship Id="rId264" Type="http://schemas.openxmlformats.org/officeDocument/2006/relationships/hyperlink" Target="https://scholar.google.com/scholar_case?case=7048288883169020909&amp;q=82+B.R.+637++&amp;hl=en&amp;as_sdt=6,33" TargetMode="External"/><Relationship Id="rId285" Type="http://schemas.openxmlformats.org/officeDocument/2006/relationships/hyperlink" Target="https://scholar.google.com/scholar_case?case=17108444873443481625&amp;q=Mallo+v.+Internal+Revenue+Service&amp;hl=en&amp;as_sdt=6,33" TargetMode="External"/><Relationship Id="rId17" Type="http://schemas.openxmlformats.org/officeDocument/2006/relationships/hyperlink" Target="https://www.cali.org/the-elangdell-bookstore" TargetMode="External"/><Relationship Id="rId38" Type="http://schemas.openxmlformats.org/officeDocument/2006/relationships/hyperlink" Target="https://leginfo.legislature.ca.gov/faces/codes_displayText.xhtml?lawCode=CCP&amp;division=2.&amp;title=9.&amp;part=2.&amp;chapter=2.&amp;article=2." TargetMode="External"/><Relationship Id="rId59" Type="http://schemas.openxmlformats.org/officeDocument/2006/relationships/hyperlink" Target="https://scholar.google.com/scholar_case?case=17768408304219861886&amp;q=458+U.S.+50+(1982)&amp;hl=en&amp;as_sdt=6,33" TargetMode="External"/><Relationship Id="rId103" Type="http://schemas.openxmlformats.org/officeDocument/2006/relationships/hyperlink" Target="https://scholar.google.com/scholar_case?case=4096592918799816713&amp;q=403+F.3d+611++&amp;hl=en&amp;as_sdt=6,33" TargetMode="External"/><Relationship Id="rId124" Type="http://schemas.openxmlformats.org/officeDocument/2006/relationships/hyperlink" Target="https://scholar.google.com/scholar_case?case=997180859369682004&amp;q=516+U.S.+16&amp;hl=en&amp;as_sdt=6,33" TargetMode="External"/><Relationship Id="rId310" Type="http://schemas.openxmlformats.org/officeDocument/2006/relationships/hyperlink" Target="https://scholar.google.com/scholar_case?case=15239771243231089861&amp;q=296+F.3d+1203+&amp;hl=en&amp;as_sdt=6,33" TargetMode="External"/><Relationship Id="rId70" Type="http://schemas.openxmlformats.org/officeDocument/2006/relationships/hyperlink" Target="https://scholar.google.com/scholar_case?case=13543745391792754170&amp;q=274+B.R.+327+&amp;hl=en&amp;as_sdt=6,33" TargetMode="External"/><Relationship Id="rId91" Type="http://schemas.openxmlformats.org/officeDocument/2006/relationships/hyperlink" Target="https://scholar.google.com/scholar_case?case=15614209122676150163&amp;q=44+S.Ct+232&amp;hl=en&amp;as_sdt=6,33" TargetMode="External"/><Relationship Id="rId145" Type="http://schemas.openxmlformats.org/officeDocument/2006/relationships/hyperlink" Target="https://scholar.google.com/scholar_case?case=61282765257652529&amp;q=599+F.3d+1255+&amp;hl=en&amp;as_sdt=6,33" TargetMode="External"/><Relationship Id="rId166" Type="http://schemas.openxmlformats.org/officeDocument/2006/relationships/hyperlink" Target="https://scholar.google.com/scholar_case?case=6583769451325414805&amp;q=824+F.2d+725+&amp;hl=en&amp;as_sdt=6,33" TargetMode="External"/><Relationship Id="rId187" Type="http://schemas.openxmlformats.org/officeDocument/2006/relationships/hyperlink" Target="https://scholar.google.com/scholar_case?case=9427027173351602825&amp;q=382+U.S.+375&amp;hl=en&amp;as_sdt=6,33" TargetMode="External"/><Relationship Id="rId331" Type="http://schemas.openxmlformats.org/officeDocument/2006/relationships/hyperlink" Target="https://scholar.google.com/scholar_case?case=12800653247761237150&amp;q=485+U.+S.+197&amp;hl=en&amp;as_sdt=6,33" TargetMode="External"/><Relationship Id="rId352" Type="http://schemas.openxmlformats.org/officeDocument/2006/relationships/hyperlink" Target="https://scholar.google.com/scholar_case?case=11057387992216597660&amp;q=419+F.3d+195&amp;hl=en&amp;as_sdt=6,33" TargetMode="External"/><Relationship Id="rId1" Type="http://schemas.openxmlformats.org/officeDocument/2006/relationships/customXml" Target="../customXml/item1.xml"/><Relationship Id="rId212" Type="http://schemas.openxmlformats.org/officeDocument/2006/relationships/hyperlink" Target="https://scholar.google.com/scholar_case?case=9383968031935241131&amp;q=874+F.2d+1186&amp;hl=en&amp;as_sdt=6,33" TargetMode="External"/><Relationship Id="rId233" Type="http://schemas.openxmlformats.org/officeDocument/2006/relationships/hyperlink" Target="https://scholar.google.com/scholar_case?case=3605140572542691352&amp;q=329+U.S.+156&amp;hl=en&amp;as_sdt=6,33" TargetMode="External"/><Relationship Id="rId254" Type="http://schemas.openxmlformats.org/officeDocument/2006/relationships/hyperlink" Target="https://scholar.google.com/scholar_case?case=12454743976980102629&amp;q=185+B.R.+79+&amp;hl=en&amp;as_sdt=6,33" TargetMode="External"/><Relationship Id="rId28" Type="http://schemas.openxmlformats.org/officeDocument/2006/relationships/hyperlink" Target="https://scholar.google.com/scholar_case?case=6737687845557823257&amp;q=501+U.S.+1+&amp;hl=en&amp;as_sdt=6,33" TargetMode="External"/><Relationship Id="rId49" Type="http://schemas.openxmlformats.org/officeDocument/2006/relationships/hyperlink" Target="https://scholar.google.com/scholar_case?case=12038022321283122096&amp;q=72+Cal.+App.3d+764&amp;hl=en&amp;as_sdt=6,33" TargetMode="External"/><Relationship Id="rId114" Type="http://schemas.openxmlformats.org/officeDocument/2006/relationships/hyperlink" Target="https://scholar.google.com/scholar_case?case=1242337241159533031&amp;q=848+F.2d+866+&amp;hl=en&amp;as_sdt=6,33" TargetMode="External"/><Relationship Id="rId275" Type="http://schemas.openxmlformats.org/officeDocument/2006/relationships/hyperlink" Target="https://scholar.google.com/scholar_case?case=14202970622254950976&amp;q=149+F3d+467+&amp;hl=en&amp;as_sdt=6,33" TargetMode="External"/><Relationship Id="rId296" Type="http://schemas.openxmlformats.org/officeDocument/2006/relationships/hyperlink" Target="https://scholar.google.com/scholar_case?case=16020168269107520694&amp;q=133+S.+Ct.+1754+&amp;hl=en&amp;as_sdt=6,33" TargetMode="External"/><Relationship Id="rId300" Type="http://schemas.openxmlformats.org/officeDocument/2006/relationships/hyperlink" Target="javascript:invokeFlexDocument('XM1LEV&amp;jcsearch=95%20us%20704&amp;summary=yes" TargetMode="External"/><Relationship Id="rId60" Type="http://schemas.openxmlformats.org/officeDocument/2006/relationships/hyperlink" Target="https://scholar.google.com/scholar_case?case=17369464907088650858&amp;q=449+U.+S.+200&amp;hl=en&amp;as_sdt=6,33" TargetMode="External"/><Relationship Id="rId81" Type="http://schemas.openxmlformats.org/officeDocument/2006/relationships/hyperlink" Target="https://scholar.google.com/scholar_case?case=11072676881762061993&amp;q=393+B.R.+409&amp;hl=en&amp;as_sdt=6,33" TargetMode="External"/><Relationship Id="rId135" Type="http://schemas.openxmlformats.org/officeDocument/2006/relationships/hyperlink" Target="https://scholar.google.com/scholar_case?case=11497138854927435110&amp;q=502+U.S.+32&amp;hl=en&amp;as_sdt=6,33" TargetMode="External"/><Relationship Id="rId156" Type="http://schemas.openxmlformats.org/officeDocument/2006/relationships/hyperlink" Target="https://scholar.google.com/scholar_case?case=145080110319072915&amp;q=138+B.R.+687&amp;hl=en&amp;as_sdt=6,33" TargetMode="External"/><Relationship Id="rId177" Type="http://schemas.openxmlformats.org/officeDocument/2006/relationships/hyperlink" Target="https://scholar.google.com/scholar_case?case=10526994617302839221&amp;q=621+F.+2d+201+&amp;hl=en&amp;as_sdt=6,33" TargetMode="External"/><Relationship Id="rId198" Type="http://schemas.openxmlformats.org/officeDocument/2006/relationships/hyperlink" Target="https://scholar.google.com/scholar_case?case=6167575495030874872&amp;q=496+U.S.+53+&amp;hl=en&amp;as_sdt=6,33" TargetMode="External"/><Relationship Id="rId321" Type="http://schemas.openxmlformats.org/officeDocument/2006/relationships/hyperlink" Target="https://scholar.google.com/scholar_case?case=7154313444127630537&amp;q=160+B.R.+202&amp;hl=en&amp;as_sdt=6,33" TargetMode="External"/><Relationship Id="rId342" Type="http://schemas.openxmlformats.org/officeDocument/2006/relationships/hyperlink" Target="https://scholar.google.com/scholar_case?case=482409869451817527&amp;q=576+F.+3d+108+&amp;hl=en&amp;as_sdt=6,33" TargetMode="External"/><Relationship Id="rId363" Type="http://schemas.openxmlformats.org/officeDocument/2006/relationships/hyperlink" Target="https://codes.findlaw.com/ny/debtor-and-creditor-law/dcd-sect-283.html" TargetMode="External"/><Relationship Id="rId202" Type="http://schemas.openxmlformats.org/officeDocument/2006/relationships/hyperlink" Target="https://scholar.google.com/scholar_case?case=17240029559706825633&amp;q=231+US+50+(1913)&amp;hl=en&amp;as_sdt=6,33" TargetMode="External"/><Relationship Id="rId223" Type="http://schemas.openxmlformats.org/officeDocument/2006/relationships/hyperlink" Target="https://scholar.google.com/scholar_case?case=9332365034811096063&amp;q=502+U.S.+410&amp;hl=en&amp;as_sdt=6,33" TargetMode="External"/><Relationship Id="rId244" Type="http://schemas.openxmlformats.org/officeDocument/2006/relationships/hyperlink" Target="https://scholar.google.com/scholar_case?case=8633153192774552657&amp;q=944+F.2d+997&amp;hl=en&amp;as_sdt=6,33" TargetMode="External"/><Relationship Id="rId18" Type="http://schemas.openxmlformats.org/officeDocument/2006/relationships/hyperlink" Target="https://www.cali.org/the-elangdell-bookstore" TargetMode="External"/><Relationship Id="rId39" Type="http://schemas.openxmlformats.org/officeDocument/2006/relationships/hyperlink" Target="http://public.leginfo.state.ny.us/lawssrch.cgi?NVLWO:" TargetMode="External"/><Relationship Id="rId265" Type="http://schemas.openxmlformats.org/officeDocument/2006/relationships/hyperlink" Target="https://scholar.google.com/scholar_case?case=7453690703091687600&amp;q=911+F.2d+560&amp;hl=en&amp;as_sdt=6,33" TargetMode="External"/><Relationship Id="rId286" Type="http://schemas.openxmlformats.org/officeDocument/2006/relationships/hyperlink" Target="https://scholar.google.com/scholar_case?case=6549526616502087691&amp;q=666+F.3d+924&amp;hl=en&amp;as_sdt=6,33" TargetMode="External"/><Relationship Id="rId50" Type="http://schemas.openxmlformats.org/officeDocument/2006/relationships/hyperlink" Target="https://scholar.google.com/scholar_case?case=6395185176112139549&amp;q=821+P.2d+1025&amp;hl=en&amp;as_sdt=6,33" TargetMode="External"/><Relationship Id="rId104" Type="http://schemas.openxmlformats.org/officeDocument/2006/relationships/hyperlink" Target="https://scholar.google.com/scholar_case?case=16781202632831215211&amp;q=287+B.R.+557+&amp;hl=en&amp;as_sdt=6,33" TargetMode="External"/><Relationship Id="rId125" Type="http://schemas.openxmlformats.org/officeDocument/2006/relationships/hyperlink" Target="https://scholar.google.com/scholar_case?case=13156761637028164221&amp;q=283+F.3d+392+&amp;hl=en&amp;as_sdt=6,33" TargetMode="External"/><Relationship Id="rId146" Type="http://schemas.openxmlformats.org/officeDocument/2006/relationships/hyperlink" Target="https://scholar.google.com/scholar_case?case=12334035800449718940&amp;q=963+F.2d+1490+&amp;hl=en&amp;as_sdt=6,33" TargetMode="External"/><Relationship Id="rId167" Type="http://schemas.openxmlformats.org/officeDocument/2006/relationships/hyperlink" Target="https://scholar.google.com/scholar_case?case=10427060720142833686&amp;q=49+B.R.+440+&amp;hl=en&amp;as_sdt=6,33" TargetMode="External"/><Relationship Id="rId188" Type="http://schemas.openxmlformats.org/officeDocument/2006/relationships/hyperlink" Target="https://scholar.google.com/scholar_case?case=9467128401207805819&amp;q=374+B.R.+193+&amp;hl=en&amp;as_sdt=6,33" TargetMode="External"/><Relationship Id="rId311" Type="http://schemas.openxmlformats.org/officeDocument/2006/relationships/hyperlink" Target="https://scholar.google.com/scholar_case?case=6465365538689627770&amp;q=113+F.3d+508+&amp;hl=en&amp;as_sdt=6,33" TargetMode="External"/><Relationship Id="rId332" Type="http://schemas.openxmlformats.org/officeDocument/2006/relationships/image" Target="media/image7.emf"/><Relationship Id="rId353" Type="http://schemas.openxmlformats.org/officeDocument/2006/relationships/hyperlink" Target="https://scholar.google.com/scholar_case?case=15286953753650008230&amp;q=Nesbit+347+F.3d+&amp;hl=en&amp;as_sdt=6,33" TargetMode="External"/><Relationship Id="rId71" Type="http://schemas.openxmlformats.org/officeDocument/2006/relationships/hyperlink" Target="https://scholar.google.com/scholar_case?case=7259286474075884048&amp;q=230+B.R.+46+&amp;hl=en&amp;as_sdt=6,33" TargetMode="External"/><Relationship Id="rId92" Type="http://schemas.openxmlformats.org/officeDocument/2006/relationships/hyperlink" Target="https://scholar.google.com/scholar_case?case=14891213477003980169&amp;q=440+U.S.+48&amp;hl=en&amp;as_sdt=6,33" TargetMode="External"/><Relationship Id="rId213" Type="http://schemas.openxmlformats.org/officeDocument/2006/relationships/hyperlink" Target="https://scholar.google.com/scholar_case?case=12408810756039625664&amp;q=838+F.2d+890+&amp;hl=en&amp;as_sdt=6,33" TargetMode="External"/><Relationship Id="rId234" Type="http://schemas.openxmlformats.org/officeDocument/2006/relationships/hyperlink" Target="https://scholar.google.com/scholar_case?case=10968316372539321878&amp;q=12+B.R.+803+&amp;hl=en&amp;as_sdt=6,33" TargetMode="External"/><Relationship Id="rId2" Type="http://schemas.openxmlformats.org/officeDocument/2006/relationships/numbering" Target="numbering.xml"/><Relationship Id="rId29" Type="http://schemas.openxmlformats.org/officeDocument/2006/relationships/hyperlink" Target="https://www.legalconsumer.com/bankruptcy/laws/" TargetMode="External"/><Relationship Id="rId255" Type="http://schemas.openxmlformats.org/officeDocument/2006/relationships/hyperlink" Target="https://scholar.google.com/scholar_case?case=16935000023332208722&amp;q=306+U.S.+307+&amp;hl=en&amp;as_sdt=6,33" TargetMode="External"/><Relationship Id="rId276" Type="http://schemas.openxmlformats.org/officeDocument/2006/relationships/hyperlink" Target="https://scholar.google.com/scholar_case?case=13414464556953034480&amp;q=143+B.R.+330+&amp;hl=en&amp;as_sdt=6,33" TargetMode="External"/><Relationship Id="rId297" Type="http://schemas.openxmlformats.org/officeDocument/2006/relationships/hyperlink" Target="javascript:invokeFlexDocument('XEH80E003&amp;jcsearch=11%20U.%20S.%20C.%20%20523(a)(4)&amp;summary=yes" TargetMode="External"/><Relationship Id="rId40" Type="http://schemas.openxmlformats.org/officeDocument/2006/relationships/hyperlink" Target="https://leginfo.legislature.ca.gov/faces/codes_displayText.xhtml?lawCode=CCP&amp;division=2.&amp;title=9.&amp;part=2.&amp;chapter=2.&amp;article=3." TargetMode="External"/><Relationship Id="rId115" Type="http://schemas.openxmlformats.org/officeDocument/2006/relationships/hyperlink" Target="https://scholar.google.com/scholar_case?case=14022932627467710145&amp;q=822+F.2d+806+&amp;hl=en&amp;as_sdt=6,33" TargetMode="External"/><Relationship Id="rId136" Type="http://schemas.openxmlformats.org/officeDocument/2006/relationships/hyperlink" Target="https://scholar.google.com/scholar_case?case=17808698370335278707&amp;q=230+F.3d.+1165&amp;hl=en&amp;as_sdt=6,33" TargetMode="External"/><Relationship Id="rId157" Type="http://schemas.openxmlformats.org/officeDocument/2006/relationships/hyperlink" Target="https://scholar.google.com/scholar_case?case=1022177301231243510&amp;q=281+B.R.+660+&amp;hl=en&amp;as_sdt=6,33" TargetMode="External"/><Relationship Id="rId178" Type="http://schemas.openxmlformats.org/officeDocument/2006/relationships/hyperlink" Target="https://scholar.google.com/scholar_case?case=11572243505309139823&amp;q=856+F.+2d+815&amp;hl=en&amp;as_sdt=6,33" TargetMode="External"/><Relationship Id="rId301" Type="http://schemas.openxmlformats.org/officeDocument/2006/relationships/hyperlink" Target="https://scholar.google.com/scholar_case?case=12109027377054273054&amp;q=Burnett+v.+Stewart+Title&amp;hl=en&amp;as_sdt=6,33" TargetMode="External"/><Relationship Id="rId322" Type="http://schemas.openxmlformats.org/officeDocument/2006/relationships/image" Target="media/image6.emf"/><Relationship Id="rId343" Type="http://schemas.openxmlformats.org/officeDocument/2006/relationships/hyperlink" Target="https://scholar.google.com/scholar_case?case=6878953355379373511&amp;q=700+F.2d+935&amp;hl=en&amp;as_sdt=6,33" TargetMode="External"/><Relationship Id="rId364" Type="http://schemas.openxmlformats.org/officeDocument/2006/relationships/hyperlink" Target="https://codes.findlaw.com/ny/debtor-and-creditor-law/dcd-sect-285.html" TargetMode="External"/><Relationship Id="rId61" Type="http://schemas.openxmlformats.org/officeDocument/2006/relationships/hyperlink" Target="https://scholar.google.com/scholar_case?case=11326246174676628083&amp;q=264+B.R.+609&amp;hl=en&amp;as_sdt=6,33" TargetMode="External"/><Relationship Id="rId82" Type="http://schemas.openxmlformats.org/officeDocument/2006/relationships/hyperlink" Target="https://scholar.google.com/scholar_case?case=15919877576295119146&amp;q=886+F.2d+693&amp;hl=en&amp;as_sdt=6,33" TargetMode="External"/><Relationship Id="rId199" Type="http://schemas.openxmlformats.org/officeDocument/2006/relationships/hyperlink" Target="https://scholar.google.com/scholar_case?case=10417202527592990206&amp;q=13+F.3d+321+&amp;hl=en&amp;as_sdt=6,33" TargetMode="External"/><Relationship Id="rId203" Type="http://schemas.openxmlformats.org/officeDocument/2006/relationships/image" Target="media/image4.emf"/><Relationship Id="rId19" Type="http://schemas.openxmlformats.org/officeDocument/2006/relationships/hyperlink" Target="https://twitter.com/caliorg" TargetMode="External"/><Relationship Id="rId224" Type="http://schemas.openxmlformats.org/officeDocument/2006/relationships/hyperlink" Target="https://scholar.google.com/scholar_case?case=12608334122928742978&amp;q=526+U.+S.+434&amp;hl=en&amp;as_sdt=6,33" TargetMode="External"/><Relationship Id="rId245" Type="http://schemas.openxmlformats.org/officeDocument/2006/relationships/hyperlink" Target="https://scholar.google.com/scholar_case?case=7655817448479468134&amp;q=339+U.S.+306&amp;hl=en&amp;as_sdt=6,33" TargetMode="External"/><Relationship Id="rId266" Type="http://schemas.openxmlformats.org/officeDocument/2006/relationships/hyperlink" Target="https://scholar.google.com/scholar_case?case=10451621861775522614&amp;q=787+F.2d+1339&amp;hl=en&amp;as_sdt=6,33" TargetMode="External"/><Relationship Id="rId287" Type="http://schemas.openxmlformats.org/officeDocument/2006/relationships/hyperlink" Target="https://scholar.google.com/scholar_case?case=8240029464833786549&amp;q=431+F.3d+1055&amp;hl=en&amp;as_sdt=6,33" TargetMode="External"/><Relationship Id="rId30" Type="http://schemas.openxmlformats.org/officeDocument/2006/relationships/hyperlink" Target="http://www.irs.gov/pub/irs-pdf/p1494.pdf" TargetMode="External"/><Relationship Id="rId105" Type="http://schemas.openxmlformats.org/officeDocument/2006/relationships/hyperlink" Target="https://scholar.google.com/scholar_case?case=12157333756076142313&amp;q=269+B.R.+716+&amp;hl=en&amp;as_sdt=6,33" TargetMode="External"/><Relationship Id="rId126" Type="http://schemas.openxmlformats.org/officeDocument/2006/relationships/hyperlink" Target="https://scholar.google.com/scholar_case?case=14358962707787937716&amp;q=79+F.3d+43+&amp;hl=en&amp;as_sdt=6,33" TargetMode="External"/><Relationship Id="rId147" Type="http://schemas.openxmlformats.org/officeDocument/2006/relationships/hyperlink" Target="https://scholar.google.com/scholar_case?case=5571954331426804095&amp;q=596+F.2d+1092&amp;hl=en&amp;as_sdt=6,33" TargetMode="External"/><Relationship Id="rId168" Type="http://schemas.openxmlformats.org/officeDocument/2006/relationships/hyperlink" Target="https://scholar.google.com/scholar_case?case=11524656383617125501&amp;q=323+B.R.+566+&amp;hl=en&amp;as_sdt=6,33" TargetMode="External"/><Relationship Id="rId312" Type="http://schemas.openxmlformats.org/officeDocument/2006/relationships/hyperlink" Target="https://scholar.google.com/scholar_case?case=11626434958045946545&amp;q=541+U.S.+465++&amp;hl=en&amp;as_sdt=6,33" TargetMode="External"/><Relationship Id="rId333" Type="http://schemas.openxmlformats.org/officeDocument/2006/relationships/image" Target="media/image8.emf"/><Relationship Id="rId354" Type="http://schemas.openxmlformats.org/officeDocument/2006/relationships/hyperlink" Target="https://scholar.google.com/scholar_case?case=13816524306587198297&amp;q=Genesis+402+F.3d+&amp;hl=en&amp;as_sdt=6,33" TargetMode="External"/><Relationship Id="rId51" Type="http://schemas.openxmlformats.org/officeDocument/2006/relationships/hyperlink" Target="https://scholar.google.com/scholar_case?case=14315968478651821389&amp;q=956+P.2d+858&amp;hl=en&amp;as_sdt=6,33" TargetMode="External"/><Relationship Id="rId72" Type="http://schemas.openxmlformats.org/officeDocument/2006/relationships/hyperlink" Target="https://scholar.google.com/scholar_case?case=10257095172390429020&amp;q=370+B.R.+236+&amp;hl=en&amp;as_sdt=6,33" TargetMode="External"/><Relationship Id="rId93" Type="http://schemas.openxmlformats.org/officeDocument/2006/relationships/hyperlink" Target="https://scholar.google.com/scholar_case?case=891731076608524003&amp;q=186+B.R.+824+&amp;hl=en&amp;as_sdt=6,33" TargetMode="External"/><Relationship Id="rId189" Type="http://schemas.openxmlformats.org/officeDocument/2006/relationships/hyperlink" Target="https://scholar.google.com/scholar_case?case=7632312521554663143&amp;q=236+B.R.+219&amp;hl=en&amp;as_sdt=6,33" TargetMode="External"/><Relationship Id="rId3" Type="http://schemas.openxmlformats.org/officeDocument/2006/relationships/styles" Target="styles.xml"/><Relationship Id="rId214" Type="http://schemas.openxmlformats.org/officeDocument/2006/relationships/hyperlink" Target="https://scholar.google.com/scholar_case?case=3475349917973060968&amp;q=831+F.2d+586+&amp;hl=en&amp;as_sdt=6,33" TargetMode="External"/><Relationship Id="rId235" Type="http://schemas.openxmlformats.org/officeDocument/2006/relationships/hyperlink" Target="https://scholar.google.com/scholar_case?case=2336658463984931695&amp;q=35+F.3d+860+&amp;hl=en&amp;as_sdt=6,33" TargetMode="External"/><Relationship Id="rId256" Type="http://schemas.openxmlformats.org/officeDocument/2006/relationships/hyperlink" Target="https://scholar.google.com/scholar_case?case=14953961991633084900&amp;q=563+F.2d+692&amp;hl=en&amp;as_sdt=6,33" TargetMode="External"/><Relationship Id="rId277" Type="http://schemas.openxmlformats.org/officeDocument/2006/relationships/hyperlink" Target="https://scholar.google.com/scholar_case?case=15752919958339997822&amp;q=717+F.2d+322+&amp;hl=en&amp;as_sdt=6,33" TargetMode="External"/><Relationship Id="rId298" Type="http://schemas.openxmlformats.org/officeDocument/2006/relationships/hyperlink" Target="javascript:invokeFlexDocument('XEH80E003&amp;jcsearch=11%20U.%20S.%20C.%20%20523(a)(4)&amp;summary=yes" TargetMode="External"/><Relationship Id="rId116" Type="http://schemas.openxmlformats.org/officeDocument/2006/relationships/hyperlink" Target="https://scholar.google.com/scholar_case?case=14420218820786351696&amp;q=848+F.2d+871+&amp;hl=en&amp;as_sdt=6,33" TargetMode="External"/><Relationship Id="rId137" Type="http://schemas.openxmlformats.org/officeDocument/2006/relationships/hyperlink" Target="https://scholar.google.com/scholar_case?case=2423754215581514456&amp;q=595+F.3d+937&amp;hl=en&amp;as_sdt=6,33" TargetMode="External"/><Relationship Id="rId158" Type="http://schemas.openxmlformats.org/officeDocument/2006/relationships/hyperlink" Target="https://scholar.google.com/scholar_case?case=14705702691244621192&amp;q=260+B.R.+71&amp;hl=en&amp;as_sdt=6,33" TargetMode="External"/><Relationship Id="rId302" Type="http://schemas.openxmlformats.org/officeDocument/2006/relationships/hyperlink" Target="https://scholar.google.com/scholar_case?case=5357888254836930482&amp;q=251+B.R.+656&amp;hl=en&amp;as_sdt=6,33" TargetMode="External"/><Relationship Id="rId323" Type="http://schemas.openxmlformats.org/officeDocument/2006/relationships/package" Target="embeddings/Microsoft_Excel_Worksheet4.xlsx"/><Relationship Id="rId344" Type="http://schemas.openxmlformats.org/officeDocument/2006/relationships/hyperlink" Target="https://scholar.google.com/scholar_case?case=5546459551577342058&amp;q=359+F.3d+866+&amp;hl=en&amp;as_sdt=6,33" TargetMode="External"/><Relationship Id="rId20" Type="http://schemas.openxmlformats.org/officeDocument/2006/relationships/footer" Target="footer3.xml"/><Relationship Id="rId41" Type="http://schemas.openxmlformats.org/officeDocument/2006/relationships/hyperlink" Target="http://www.law.cornell.edu/ucc/9/article9.htm" TargetMode="External"/><Relationship Id="rId62" Type="http://schemas.openxmlformats.org/officeDocument/2006/relationships/hyperlink" Target="https://scholar.google.com/scholar_case?case=9683721947005602171&amp;q=382+U.S.+323&amp;hl=en&amp;as_sdt=6,33" TargetMode="External"/><Relationship Id="rId83" Type="http://schemas.openxmlformats.org/officeDocument/2006/relationships/hyperlink" Target="https://scholar.google.com/scholar_case?case=9275570847605707999&amp;q=134+s+ct+1188&amp;hl=en&amp;as_sdt=6,33" TargetMode="External"/><Relationship Id="rId179" Type="http://schemas.openxmlformats.org/officeDocument/2006/relationships/hyperlink" Target="https://scholar.google.com/scholar_case?case=16571187230555986497&amp;q=69+F.3d+769+&amp;hl=en&amp;as_sdt=6,33" TargetMode="External"/><Relationship Id="rId365" Type="http://schemas.openxmlformats.org/officeDocument/2006/relationships/hyperlink" Target="http://public.leginfo.state.ny.us/lawssrch.cgi?NVLWO:" TargetMode="External"/><Relationship Id="rId190" Type="http://schemas.openxmlformats.org/officeDocument/2006/relationships/hyperlink" Target="https://scholar.google.com/scholar_case?case=10847262444722627369&amp;q=293+B.R.+777+&amp;hl=en&amp;as_sdt=6,33" TargetMode="External"/><Relationship Id="rId204" Type="http://schemas.openxmlformats.org/officeDocument/2006/relationships/package" Target="embeddings/Microsoft_Excel_Worksheet2.xlsx"/><Relationship Id="rId225" Type="http://schemas.openxmlformats.org/officeDocument/2006/relationships/hyperlink" Target="https://scholar.google.com/scholar_case?case=13209982855477841840&amp;q=962+F.2d+345&amp;hl=en&amp;as_sdt=6,33" TargetMode="External"/><Relationship Id="rId246" Type="http://schemas.openxmlformats.org/officeDocument/2006/relationships/hyperlink" Target="https://scholar.google.com/scholar_case?case=8633153192774552657&amp;q=944+F.2d+997&amp;hl=en&amp;as_sdt=6,33" TargetMode="External"/><Relationship Id="rId267" Type="http://schemas.openxmlformats.org/officeDocument/2006/relationships/hyperlink" Target="https://scholar.google.com/scholar_case?case=17456989652220983478&amp;q=104+F.3d+495+&amp;hl=en&amp;as_sdt=6,33" TargetMode="External"/><Relationship Id="rId288" Type="http://schemas.openxmlformats.org/officeDocument/2006/relationships/hyperlink" Target="https://scholar.google.com/scholar_case?case=10041241328655587834&amp;q=516+B.R.+434&amp;hl=en&amp;as_sdt=6,33" TargetMode="External"/><Relationship Id="rId106" Type="http://schemas.openxmlformats.org/officeDocument/2006/relationships/hyperlink" Target="https://scholar.google.com/scholar_case?case=14066781231345363498&amp;q=149+B.R.+181+&amp;hl=en&amp;as_sdt=6,33" TargetMode="External"/><Relationship Id="rId127" Type="http://schemas.openxmlformats.org/officeDocument/2006/relationships/hyperlink" Target="https://scholar.google.com/scholar_case?case=8468981928732640513&amp;q=226+B.R.+340&amp;hl=en&amp;as_sdt=6,33" TargetMode="External"/><Relationship Id="rId313" Type="http://schemas.openxmlformats.org/officeDocument/2006/relationships/hyperlink" Target="https://scholar.google.com/scholar_case?case=16560790893328374905&amp;q=508+U.S.+324+&amp;hl=en&amp;as_sdt=6,33" TargetMode="External"/><Relationship Id="rId10" Type="http://schemas.openxmlformats.org/officeDocument/2006/relationships/footer" Target="footer2.xml"/><Relationship Id="rId31" Type="http://schemas.openxmlformats.org/officeDocument/2006/relationships/hyperlink" Target="https://www.law.cornell.edu/uscode/text/31/3720D" TargetMode="External"/><Relationship Id="rId52" Type="http://schemas.openxmlformats.org/officeDocument/2006/relationships/hyperlink" Target="https://scholar.google.com/scholar_case?case=12575870451438174457&amp;q=818+S.W.2d+23&amp;hl=en&amp;as_sdt=6,33" TargetMode="External"/><Relationship Id="rId73" Type="http://schemas.openxmlformats.org/officeDocument/2006/relationships/hyperlink" Target="https://scholar.google.com/scholar_case?case=4638077985227854464&amp;q=291+F.2d+22&amp;hl=en&amp;as_sdt=6,33" TargetMode="External"/><Relationship Id="rId94" Type="http://schemas.openxmlformats.org/officeDocument/2006/relationships/hyperlink" Target="https://scholar.google.com/scholar_case?case=4920000896762260791&amp;q=87+F.2d+753+&amp;hl=en&amp;as_sdt=6,33" TargetMode="External"/><Relationship Id="rId148" Type="http://schemas.openxmlformats.org/officeDocument/2006/relationships/hyperlink" Target="https://scholar.google.com/scholar_case?case=12385085454846961684&amp;q=829+F.2d+1484+&amp;hl=en&amp;as_sdt=6,33" TargetMode="External"/><Relationship Id="rId169" Type="http://schemas.openxmlformats.org/officeDocument/2006/relationships/hyperlink" Target="https://scholar.google.com/scholar_case?case=104937868266419425&amp;q=165+F.3d+747+&amp;hl=en&amp;as_sdt=6,33" TargetMode="External"/><Relationship Id="rId334" Type="http://schemas.openxmlformats.org/officeDocument/2006/relationships/image" Target="media/image9.emf"/><Relationship Id="rId355" Type="http://schemas.openxmlformats.org/officeDocument/2006/relationships/hyperlink" Target="https://scholar.google.com/scholar_case?case=6011107684081996286&amp;q=301+B.R.+217+&amp;hl=en&amp;as_sdt=6,33" TargetMode="External"/><Relationship Id="rId4" Type="http://schemas.openxmlformats.org/officeDocument/2006/relationships/settings" Target="settings.xml"/><Relationship Id="rId180" Type="http://schemas.openxmlformats.org/officeDocument/2006/relationships/hyperlink" Target="https://scholar.google.com/scholar_case?case=9407159263450150245&amp;q=148+B.R.+886+&amp;hl=en&amp;as_sdt=6,33" TargetMode="External"/><Relationship Id="rId215" Type="http://schemas.openxmlformats.org/officeDocument/2006/relationships/hyperlink" Target="https://scholar.google.com/scholar_case?case=12358661569713382059&amp;q=1+B.R.+284+&amp;hl=en&amp;as_sdt=6,33" TargetMode="External"/><Relationship Id="rId236" Type="http://schemas.openxmlformats.org/officeDocument/2006/relationships/hyperlink" Target="https://scholar.google.com/scholar_case?case=7655817448479468134&amp;q=339+U.S.+306+&amp;hl=en&amp;as_sdt=6,33" TargetMode="External"/><Relationship Id="rId257" Type="http://schemas.openxmlformats.org/officeDocument/2006/relationships/hyperlink" Target="https://scholar.google.com/scholar_case?case=6311542224917963942&amp;q=474+U.S.+494+&amp;hl=en&amp;as_sdt=6,33" TargetMode="External"/><Relationship Id="rId278" Type="http://schemas.openxmlformats.org/officeDocument/2006/relationships/hyperlink" Target="https://scholar.google.com/scholar_case?case=11938957838420480850&amp;q=564+F.3d+526+&amp;hl=en&amp;as_sdt=6,33" TargetMode="External"/><Relationship Id="rId303" Type="http://schemas.openxmlformats.org/officeDocument/2006/relationships/hyperlink" Target="https://scholar.google.com/scholar_case?case=13912182227612379968&amp;q=310+F.3d+653+&amp;hl=en&amp;as_sdt=6,33" TargetMode="External"/><Relationship Id="rId42" Type="http://schemas.openxmlformats.org/officeDocument/2006/relationships/hyperlink" Target="http://www.law.cornell.edu/ucc/9/article9.htm" TargetMode="External"/><Relationship Id="rId84" Type="http://schemas.openxmlformats.org/officeDocument/2006/relationships/image" Target="media/image3.emf"/><Relationship Id="rId138" Type="http://schemas.openxmlformats.org/officeDocument/2006/relationships/hyperlink" Target="https://scholar.google.com/scholar_case?case=9364256685196554290&amp;q=536+F.3d+512+&amp;hl=en&amp;as_sdt=6,33" TargetMode="External"/><Relationship Id="rId345" Type="http://schemas.openxmlformats.org/officeDocument/2006/relationships/hyperlink" Target="https://scholar.google.com/scholar_case?case=8080831353869076867&amp;q=966+F.2d+57&amp;hl=en&amp;as_sdt=6,33" TargetMode="External"/><Relationship Id="rId191" Type="http://schemas.openxmlformats.org/officeDocument/2006/relationships/hyperlink" Target="https://scholar.google.com/scholar_case?case=6605872033492861229&amp;q=80+B.R.+210&amp;hl=en&amp;as_sdt=6,33" TargetMode="External"/><Relationship Id="rId205" Type="http://schemas.openxmlformats.org/officeDocument/2006/relationships/image" Target="media/image5.emf"/><Relationship Id="rId247" Type="http://schemas.openxmlformats.org/officeDocument/2006/relationships/hyperlink" Target="https://scholar.google.com/scholar_case?case=6187218931849646587&amp;q=194+B.R.+703+&amp;hl=en&amp;as_sdt=6,33" TargetMode="External"/><Relationship Id="rId107" Type="http://schemas.openxmlformats.org/officeDocument/2006/relationships/hyperlink" Target="https://scholar.google.com/scholar_case?case=8866559205943386257&amp;q=91+B.R.+401&amp;hl=en&amp;as_sdt=6,33" TargetMode="External"/><Relationship Id="rId289" Type="http://schemas.openxmlformats.org/officeDocument/2006/relationships/hyperlink" Target="https://scholar.google.com/scholar_case?case=1110218317340713312&amp;q=212+B.R.+326+&amp;hl=en&amp;as_sdt=6,33" TargetMode="External"/><Relationship Id="rId11" Type="http://schemas.openxmlformats.org/officeDocument/2006/relationships/hyperlink" Target="http://elangdell.cali.org/" TargetMode="External"/><Relationship Id="rId53" Type="http://schemas.openxmlformats.org/officeDocument/2006/relationships/hyperlink" Target="https://scholar.google.com/scholar_case?case=9654027843204246739&amp;q=664+F.2d+at+1121+&amp;hl=en&amp;as_sdt=6,33" TargetMode="External"/><Relationship Id="rId149" Type="http://schemas.openxmlformats.org/officeDocument/2006/relationships/hyperlink" Target="https://scholar.google.com/scholar_case?case=11724645464862497484&amp;q=31+B.R.+364&amp;hl=en&amp;as_sdt=6,33" TargetMode="External"/><Relationship Id="rId314" Type="http://schemas.openxmlformats.org/officeDocument/2006/relationships/hyperlink" Target="https://scholar.google.com/scholar_case?case=13602620707748731291&amp;q=In+re+Pond&amp;hl=en&amp;as_sdt=6,33" TargetMode="External"/><Relationship Id="rId356" Type="http://schemas.openxmlformats.org/officeDocument/2006/relationships/hyperlink" Target="https://www.ftc.gov/enforcement/rules/rulemaking-regulatory-reform-proceedings/fair-debt-collection-practices-act-text" TargetMode="External"/><Relationship Id="rId95" Type="http://schemas.openxmlformats.org/officeDocument/2006/relationships/hyperlink" Target="https://scholar.google.com/scholar_case?case=14981433179963768616&amp;q=32+B.R.+607+&amp;hl=en&amp;as_sdt=6,33" TargetMode="External"/><Relationship Id="rId160" Type="http://schemas.openxmlformats.org/officeDocument/2006/relationships/hyperlink" Target="https://scholar.google.com/scholar_case?case=6023421001644754391&amp;q=972+F.2d+689+&amp;hl=en&amp;as_sdt=6,33" TargetMode="External"/><Relationship Id="rId216" Type="http://schemas.openxmlformats.org/officeDocument/2006/relationships/hyperlink" Target="https://scholar.google.com/scholar_case?case=12896021628386218207&amp;q=520+U.S.+953+&amp;hl=en&amp;as_sdt=6,33" TargetMode="External"/><Relationship Id="rId258" Type="http://schemas.openxmlformats.org/officeDocument/2006/relationships/hyperlink" Target="https://scholar.google.com/scholar_case?case=4789846713010395301&amp;q=691+F.2d+134+&amp;hl=en&amp;as_sdt=6,33" TargetMode="External"/><Relationship Id="rId22" Type="http://schemas.openxmlformats.org/officeDocument/2006/relationships/hyperlink" Target="https://scholar.google.com/scholar_case?case=13903398873753836115&amp;q=401+U.S.+395+&amp;hl=en&amp;as_sdt=6,33" TargetMode="External"/><Relationship Id="rId64" Type="http://schemas.openxmlformats.org/officeDocument/2006/relationships/hyperlink" Target="https://scholar.google.com/scholar_case?case=1726045641934009746&amp;q=135+S.Ct.+1932&amp;hl=en&amp;as_sdt=6,33" TargetMode="External"/><Relationship Id="rId118" Type="http://schemas.openxmlformats.org/officeDocument/2006/relationships/hyperlink" Target="https://scholar.google.com/scholar_case?case=8279877961499459014&amp;q=10+B.R.+154+&amp;hl=en&amp;as_sdt=6,33" TargetMode="External"/><Relationship Id="rId325" Type="http://schemas.openxmlformats.org/officeDocument/2006/relationships/hyperlink" Target="https://scholar.google.com/scholar_case?case=7182096010520504240&amp;q=85+F.3d+1415+&amp;hl=en&amp;as_sdt=6,33" TargetMode="External"/><Relationship Id="rId367" Type="http://schemas.openxmlformats.org/officeDocument/2006/relationships/header" Target="header1.xml"/><Relationship Id="rId171" Type="http://schemas.openxmlformats.org/officeDocument/2006/relationships/hyperlink" Target="https://scholar.google.com/scholar_case?case=4325643459288735044&amp;q=100+B.R.+360+&amp;hl=en&amp;as_sdt=6,33" TargetMode="External"/><Relationship Id="rId227" Type="http://schemas.openxmlformats.org/officeDocument/2006/relationships/hyperlink" Target="https://scholar.google.com/scholar_case?case=6184634813991138989&amp;q=383+B.R.+481+&amp;hl=en&amp;as_sdt=6,33" TargetMode="External"/><Relationship Id="rId269" Type="http://schemas.openxmlformats.org/officeDocument/2006/relationships/hyperlink" Target="https://scholar.google.com/scholar_case?case=10451621861775522614&amp;q=787+F.2d+1339&amp;hl=en&amp;as_sdt=6,33" TargetMode="External"/><Relationship Id="rId33" Type="http://schemas.openxmlformats.org/officeDocument/2006/relationships/hyperlink" Target="https://www.law.cornell.edu/cfr/text/29/part-870" TargetMode="External"/><Relationship Id="rId129" Type="http://schemas.openxmlformats.org/officeDocument/2006/relationships/hyperlink" Target="https://scholar.google.com/scholar_case?case=12247998219044904116&amp;q=328+B.R.+664+&amp;hl=en&amp;as_sdt=6,33" TargetMode="External"/><Relationship Id="rId280" Type="http://schemas.openxmlformats.org/officeDocument/2006/relationships/hyperlink" Target="https://scholar.google.com/scholar_case?case=18084827464869708709&amp;q=479+U.S.+36+&amp;hl=en&amp;as_sdt=6,33" TargetMode="External"/><Relationship Id="rId336" Type="http://schemas.openxmlformats.org/officeDocument/2006/relationships/hyperlink" Target="https://scholar.google.com/scholar_case?case=13222255394476011905&amp;q=136+F.2d+906+&amp;hl=en&amp;as_sdt=6,33" TargetMode="External"/><Relationship Id="rId75" Type="http://schemas.openxmlformats.org/officeDocument/2006/relationships/hyperlink" Target="https://scholar.google.com/scholar_case?case=1403181523757435362&amp;q=441+B.R.+909+&amp;hl=en&amp;as_sdt=6,33" TargetMode="External"/><Relationship Id="rId140" Type="http://schemas.openxmlformats.org/officeDocument/2006/relationships/hyperlink" Target="https://scholar.google.com/scholar_case?case=16620572791303505043&amp;q=40+B.R.+47+&amp;hl=en&amp;as_sdt=6,33" TargetMode="External"/><Relationship Id="rId182" Type="http://schemas.openxmlformats.org/officeDocument/2006/relationships/hyperlink" Target="https://scholar.google.com/scholar_case?case=9444695016813817162&amp;q=24+B.R.+973+&amp;hl=en&amp;as_sdt=6,33" TargetMode="External"/><Relationship Id="rId6" Type="http://schemas.openxmlformats.org/officeDocument/2006/relationships/footnotes" Target="footnotes.xml"/><Relationship Id="rId238" Type="http://schemas.openxmlformats.org/officeDocument/2006/relationships/hyperlink" Target="https://scholar.google.com/scholar_case?case=7878575853600641381&amp;q=843+F.2d+636&amp;hl=en&amp;as_sdt=6,33" TargetMode="External"/><Relationship Id="rId291" Type="http://schemas.openxmlformats.org/officeDocument/2006/relationships/hyperlink" Target="https://scholar.google.com/scholar_case?case=4695051957569069898&amp;q=351+B.R.+409+&amp;hl=en&amp;as_sdt=6,33" TargetMode="External"/><Relationship Id="rId305" Type="http://schemas.openxmlformats.org/officeDocument/2006/relationships/hyperlink" Target="https://scholar.google.com/scholar_case?case=6540570017012003252&amp;q=508+U.S.+464+&amp;hl=en&amp;as_sdt=6,33" TargetMode="External"/><Relationship Id="rId347" Type="http://schemas.openxmlformats.org/officeDocument/2006/relationships/hyperlink" Target="https://scholar.google.com/scholar_case?case=13059648842077212021&amp;q=860+F.2d+515+&amp;hl=en&amp;as_sdt=6,33" TargetMode="External"/><Relationship Id="rId44" Type="http://schemas.openxmlformats.org/officeDocument/2006/relationships/hyperlink" Target="https://scholar.google.com/scholar_case?case=14076085208173226241&amp;q=620+So.2d+796+&amp;hl=en&amp;as_sdt=6,33" TargetMode="External"/><Relationship Id="rId86" Type="http://schemas.openxmlformats.org/officeDocument/2006/relationships/hyperlink" Target="https://scholar.google.com/scholar_case?case=16925876763626104983&amp;q=122+B.R.+575+&amp;hl=en&amp;as_sdt=6,33" TargetMode="External"/><Relationship Id="rId151" Type="http://schemas.openxmlformats.org/officeDocument/2006/relationships/hyperlink" Target="https://scholar.google.com/scholar_case?case=2374617300769739785&amp;q=662+F.3d+472&amp;hl=en&amp;as_sdt=6,33" TargetMode="External"/><Relationship Id="rId193" Type="http://schemas.openxmlformats.org/officeDocument/2006/relationships/hyperlink" Target="https://scholar.google.com/scholar_case?case=8987809782531126482&amp;q=503+US+393+&amp;hl=en&amp;as_sdt=6,33" TargetMode="External"/><Relationship Id="rId207" Type="http://schemas.openxmlformats.org/officeDocument/2006/relationships/hyperlink" Target="https://scholar.google.com/scholar_case?case=997180859369682004&amp;q=516+U.S.+16+(1995)&amp;hl=en&amp;as_sdt=6,33" TargetMode="External"/><Relationship Id="rId249" Type="http://schemas.openxmlformats.org/officeDocument/2006/relationships/hyperlink" Target="https://scholar.google.com/scholar_case?case=12441766019748044645&amp;q=In+re+Udell&amp;hl=en&amp;as_sdt=6,33"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scholar.google.com/scholar_case?case=8790520056537238897&amp;q=503+U.S.+638+&amp;hl=en&amp;as_sdt=6,33" TargetMode="External"/><Relationship Id="rId260" Type="http://schemas.openxmlformats.org/officeDocument/2006/relationships/hyperlink" Target="https://scholar.google.com/scholar_case?case=16925876763626104983&amp;q=122+B.R.+575+&amp;hl=en&amp;as_sdt=6,33" TargetMode="External"/><Relationship Id="rId316" Type="http://schemas.openxmlformats.org/officeDocument/2006/relationships/hyperlink" Target="https://scholar.google.com/scholar_case?case=15444790493302328138&amp;q=800+F.2d+581+&amp;hl=en&amp;as_sdt=6,33" TargetMode="External"/><Relationship Id="rId55" Type="http://schemas.openxmlformats.org/officeDocument/2006/relationships/hyperlink" Target="https://scholar.google.com/scholar_case?case=5447647971022288115&amp;q=1+Wash.+App.+750&amp;hl=en&amp;as_sdt=6,33" TargetMode="External"/><Relationship Id="rId97" Type="http://schemas.openxmlformats.org/officeDocument/2006/relationships/hyperlink" Target="https://scholar.google.com/scholar_case?case=11118598629394193290&amp;q=725+F.2d+1208&amp;hl=en&amp;as_sdt=6,33" TargetMode="External"/><Relationship Id="rId120" Type="http://schemas.openxmlformats.org/officeDocument/2006/relationships/hyperlink" Target="https://scholar.google.com/scholar_case?case=9580536154871313589&amp;q=328+F.3d+406++&amp;hl=en&amp;as_sdt=6,33" TargetMode="External"/><Relationship Id="rId358" Type="http://schemas.openxmlformats.org/officeDocument/2006/relationships/hyperlink" Target="https://codes.findlaw.com/ny/civil-practice-law-and-rules/cvp-sect-5202.html" TargetMode="External"/><Relationship Id="rId162" Type="http://schemas.openxmlformats.org/officeDocument/2006/relationships/hyperlink" Target="https://scholar.google.com/scholar_case?case=17826062449542603605&amp;q=729+F.2d+27+&amp;hl=en&amp;as_sdt=6,33" TargetMode="External"/><Relationship Id="rId218" Type="http://schemas.openxmlformats.org/officeDocument/2006/relationships/hyperlink" Target="https://scholar.google.com/scholar_case?case=10470592897886886801&amp;q=746+F.3d+1236+&amp;hl=en&amp;as_sdt=6,33" TargetMode="External"/><Relationship Id="rId271" Type="http://schemas.openxmlformats.org/officeDocument/2006/relationships/hyperlink" Target="https://scholar.google.com/scholar_case?case=14710873000022574239&amp;q=72+B.R.+783&amp;hl=en&amp;as_sdt=6,33" TargetMode="External"/><Relationship Id="rId24" Type="http://schemas.openxmlformats.org/officeDocument/2006/relationships/hyperlink" Target="https://scholar.google.com/scholar_case?case=15272636124373466401&amp;q=395+U.S.+337+&amp;hl=en&amp;as_sdt=6,33" TargetMode="External"/><Relationship Id="rId66" Type="http://schemas.openxmlformats.org/officeDocument/2006/relationships/hyperlink" Target="https://scholar.google.com/scholar_case?case=15282072966741545295&amp;q=478+U.+S.+833+&amp;hl=en&amp;as_sdt=6,33" TargetMode="External"/><Relationship Id="rId131" Type="http://schemas.openxmlformats.org/officeDocument/2006/relationships/hyperlink" Target="https://scholar.google.com/scholar_case?case=7796494934381061191&amp;q=78+B.R.+232+&amp;hl=en&amp;as_sdt=6,33" TargetMode="External"/><Relationship Id="rId327" Type="http://schemas.openxmlformats.org/officeDocument/2006/relationships/hyperlink" Target="https://scholar.google.com/scholar_case?case=16038907585741938170&amp;q=881+F.2d+1346+&amp;hl=en&amp;as_sdt=6,33" TargetMode="External"/><Relationship Id="rId369" Type="http://schemas.openxmlformats.org/officeDocument/2006/relationships/fontTable" Target="fontTable.xml"/><Relationship Id="rId173" Type="http://schemas.openxmlformats.org/officeDocument/2006/relationships/hyperlink" Target="https://scholar.google.com/scholar_case?case=9586460165487953392&amp;q=721+F.3d+54+&amp;hl=en&amp;as_sdt=6,33" TargetMode="External"/><Relationship Id="rId229" Type="http://schemas.openxmlformats.org/officeDocument/2006/relationships/hyperlink" Target="https://scholar.google.com/scholar_case?case=7572009884430292114&amp;q=363+B.R.+225&amp;hl=en&amp;as_sdt=6,33" TargetMode="External"/><Relationship Id="rId240" Type="http://schemas.openxmlformats.org/officeDocument/2006/relationships/hyperlink" Target="https://scholar.google.com/scholar_case?case=7336135484625169079&amp;q=In+re+Fairchild+Aircraft+Corp.+184+B.R.+910+(Bankr.+WD+Tex+1995)&amp;hl=en&amp;as_sdt=6,33" TargetMode="External"/><Relationship Id="rId35" Type="http://schemas.openxmlformats.org/officeDocument/2006/relationships/package" Target="embeddings/Microsoft_Excel_Worksheet.xlsx"/><Relationship Id="rId77" Type="http://schemas.openxmlformats.org/officeDocument/2006/relationships/hyperlink" Target="https://scholar.google.com/scholar_case?case=706419923971006684&amp;q=36+B.R.+727+&amp;hl=en&amp;as_sdt=6,33" TargetMode="External"/><Relationship Id="rId100" Type="http://schemas.openxmlformats.org/officeDocument/2006/relationships/hyperlink" Target="https://scholar.google.com/scholar_case?case=9534348278087451617&amp;q=173+B.R.+411+&amp;hl=en&amp;as_sdt=6,33" TargetMode="External"/><Relationship Id="rId282" Type="http://schemas.openxmlformats.org/officeDocument/2006/relationships/hyperlink" Target="http://bankruptcylaw.bna.com.lawezproxy.syr.edu/barc/display/link_res.adp?fedfid=63279119&amp;fname=usc_11_523_a_&amp;vname=barcdec" TargetMode="External"/><Relationship Id="rId338" Type="http://schemas.openxmlformats.org/officeDocument/2006/relationships/hyperlink" Target="https://scholar.google.com/scholar_case?case=7031030183348861033&amp;q=149+F.2d+711+&amp;hl=en&amp;as_sdt=6,33" TargetMode="External"/><Relationship Id="rId8" Type="http://schemas.openxmlformats.org/officeDocument/2006/relationships/image" Target="media/image1.jpeg"/><Relationship Id="rId142" Type="http://schemas.openxmlformats.org/officeDocument/2006/relationships/hyperlink" Target="https://scholar.google.com/scholar_case?case=7441712293704840042&amp;q=25+B.R.+882&amp;hl=en&amp;as_sdt=6,33" TargetMode="External"/><Relationship Id="rId184" Type="http://schemas.openxmlformats.org/officeDocument/2006/relationships/hyperlink" Target="https://scholar.google.com/scholar_case?case=6007834258375040895&amp;q=226+B.R.+227+&amp;hl=en&amp;as_sdt=6,33" TargetMode="External"/><Relationship Id="rId251" Type="http://schemas.openxmlformats.org/officeDocument/2006/relationships/hyperlink" Target="https://scholar.google.com/scholar_case?case=3612139808193438303&amp;q=504+F.3d+978+&amp;hl=en&amp;as_sdt=6,33" TargetMode="External"/><Relationship Id="rId46" Type="http://schemas.openxmlformats.org/officeDocument/2006/relationships/hyperlink" Target="https://scholar.google.com/scholar_case?case=17837392165797872163&amp;q=54+Misc.2d+277+&amp;hl=en&amp;as_sdt=6,33" TargetMode="External"/><Relationship Id="rId293" Type="http://schemas.openxmlformats.org/officeDocument/2006/relationships/hyperlink" Target="https://scholar.google.com/scholar_case?case=17150762220557220185&amp;q=442+U.+S.+127+&amp;hl=en&amp;as_sdt=6,33" TargetMode="External"/><Relationship Id="rId307" Type="http://schemas.openxmlformats.org/officeDocument/2006/relationships/hyperlink" Target="https://scholar.google.com/scholar_case?case=18433151485504404748&amp;q=459+B.R.+167&amp;hl=en&amp;as_sdt=6,33" TargetMode="External"/><Relationship Id="rId349" Type="http://schemas.openxmlformats.org/officeDocument/2006/relationships/hyperlink" Target="https://scholar.google.com/scholar_case?case=8029387673323859554&amp;q=935+F.2d+245+&amp;hl=en&amp;as_sdt=6,33" TargetMode="External"/><Relationship Id="rId88" Type="http://schemas.openxmlformats.org/officeDocument/2006/relationships/hyperlink" Target="https://scholar.google.com/scholar_case?case=6539226614066180492&amp;q=182+B.R.+156+&amp;hl=en&amp;as_sdt=6,33" TargetMode="External"/><Relationship Id="rId111" Type="http://schemas.openxmlformats.org/officeDocument/2006/relationships/hyperlink" Target="https://scholar.google.com/scholar_case?case=11217744181577511517&amp;q=Ford+773+F.2d&amp;hl=en&amp;as_sdt=6,33" TargetMode="External"/><Relationship Id="rId153" Type="http://schemas.openxmlformats.org/officeDocument/2006/relationships/hyperlink" Target="https://scholar.google.com/scholar_case?case=9900069764038352439&amp;q=343+B.R.+486+&amp;hl=en&amp;as_sdt=6,33" TargetMode="External"/><Relationship Id="rId195" Type="http://schemas.openxmlformats.org/officeDocument/2006/relationships/hyperlink" Target="https://scholar.google.com/scholar_case?case=7277517849641319726&amp;q=39+B.R.+45+&amp;hl=en&amp;as_sdt=6,33" TargetMode="External"/><Relationship Id="rId209" Type="http://schemas.openxmlformats.org/officeDocument/2006/relationships/hyperlink" Target="https://scholar.google.com/scholar_case?case=7991846364510781916&amp;q=Orexigen+Therapeutics&amp;hl=en&amp;as_sdt=6,33" TargetMode="External"/><Relationship Id="rId360" Type="http://schemas.openxmlformats.org/officeDocument/2006/relationships/hyperlink" Target="https://codes.findlaw.com/ny/civil-practice-law-and-rules/cvp-sect-5205.html" TargetMode="External"/><Relationship Id="rId220" Type="http://schemas.openxmlformats.org/officeDocument/2006/relationships/hyperlink" Target="https://scholar.google.com/scholar_case?case=2297719776675887194&amp;q=217+F.3d+1256&amp;hl=en&amp;as_sdt=6,3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cholar.google.com/scholar_case?case=14592626189280594860&amp;q=888+F.3d+944&amp;hl=en&amp;as_sdt=6,33" TargetMode="External"/><Relationship Id="rId1" Type="http://schemas.openxmlformats.org/officeDocument/2006/relationships/hyperlink" Target="https://scholar.google.com/scholar_case?case=17119833881624317669&amp;q=937+F.3d+1214&amp;hl=en&amp;as_sdt=6,3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86F9B-C7D1-41FB-9555-6032ADB8F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48HrBooks_8.5x11_template</Template>
  <TotalTime>32</TotalTime>
  <Pages>82</Pages>
  <Words>305029</Words>
  <Characters>1738670</Characters>
  <Application>Microsoft Office Word</Application>
  <DocSecurity>0</DocSecurity>
  <Lines>14488</Lines>
  <Paragraphs>4079</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2039620</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Sara Smith</cp:lastModifiedBy>
  <cp:revision>15</cp:revision>
  <cp:lastPrinted>2021-12-21T03:39:00Z</cp:lastPrinted>
  <dcterms:created xsi:type="dcterms:W3CDTF">2021-12-21T18:13:00Z</dcterms:created>
  <dcterms:modified xsi:type="dcterms:W3CDTF">2022-01-05T18:31:00Z</dcterms:modified>
</cp:coreProperties>
</file>